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1EF107">
      <w:pPr>
        <w:pStyle w:val="286"/>
        <w:rPr>
          <w:rFonts w:hint="default" w:ascii="Times New Roman" w:hAnsi="Times New Roman" w:cs="Times New Roman"/>
          <w:color w:val="auto"/>
          <w:highlight w:val="none"/>
        </w:rPr>
      </w:pPr>
      <w:bookmarkStart w:id="0" w:name="标准封面"/>
      <w:bookmarkEnd w:id="0"/>
      <w:r>
        <w:rPr>
          <w:rFonts w:hint="default" w:ascii="Times New Roman" w:hAnsi="Times New Roman" w:cs="Times New Roman"/>
          <w:color w:val="auto"/>
          <w:highlight w:val="none"/>
        </w:rPr>
        <mc:AlternateContent>
          <mc:Choice Requires="wps">
            <w:drawing>
              <wp:anchor distT="0" distB="0" distL="114300" distR="114300" simplePos="0" relativeHeight="251659264" behindDoc="0" locked="0" layoutInCell="1" allowOverlap="1">
                <wp:simplePos x="0" y="0"/>
                <wp:positionH relativeFrom="page">
                  <wp:posOffset>965200</wp:posOffset>
                </wp:positionH>
                <wp:positionV relativeFrom="page">
                  <wp:posOffset>386080</wp:posOffset>
                </wp:positionV>
                <wp:extent cx="1800225" cy="720090"/>
                <wp:effectExtent l="0" t="0" r="9525" b="10160"/>
                <wp:wrapNone/>
                <wp:docPr id="12" name="首页自画框图2"/>
                <wp:cNvGraphicFramePr/>
                <a:graphic xmlns:a="http://schemas.openxmlformats.org/drawingml/2006/main">
                  <a:graphicData uri="http://schemas.microsoft.com/office/word/2010/wordprocessingShape">
                    <wps:wsp>
                      <wps:cNvSpPr txBox="1"/>
                      <wps:spPr>
                        <a:xfrm>
                          <a:off x="0" y="0"/>
                          <a:ext cx="1800225" cy="7200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FF8D14">
                            <w:pPr>
                              <w:pStyle w:val="298"/>
                              <w:rPr>
                                <w:rFonts w:hint="eastAsia" w:ascii="Times New Roman" w:hAnsi="Times New Roman" w:eastAsia="黑体" w:cs="Times New Roman"/>
                                <w:b/>
                                <w:bCs/>
                                <w:kern w:val="2"/>
                                <w:sz w:val="21"/>
                                <w:szCs w:val="21"/>
                                <w:lang w:val="en-US" w:eastAsia="zh-CN" w:bidi="ar-SA"/>
                              </w:rPr>
                            </w:pPr>
                            <w:r>
                              <w:rPr>
                                <w:rFonts w:hint="eastAsia" w:ascii="Times New Roman" w:hAnsi="Times New Roman" w:eastAsia="黑体" w:cs="Times New Roman"/>
                                <w:b/>
                                <w:bCs/>
                                <w:kern w:val="2"/>
                                <w:sz w:val="21"/>
                                <w:szCs w:val="21"/>
                                <w:lang w:val="en-US" w:eastAsia="zh-CN" w:bidi="ar-SA"/>
                              </w:rPr>
                              <w:t xml:space="preserve">ICS </w:t>
                            </w:r>
                            <w:r>
                              <w:rPr>
                                <w:rFonts w:hint="eastAsia" w:ascii="黑体" w:hAnsi="黑体" w:eastAsia="黑体" w:cs="黑体"/>
                                <w:b/>
                                <w:bCs/>
                                <w:kern w:val="2"/>
                                <w:sz w:val="21"/>
                                <w:szCs w:val="21"/>
                                <w:lang w:val="en-US" w:eastAsia="zh-CN" w:bidi="ar-SA"/>
                              </w:rPr>
                              <w:t>13.100</w:t>
                            </w:r>
                          </w:p>
                          <w:p w14:paraId="35A37477">
                            <w:pPr>
                              <w:pStyle w:val="298"/>
                              <w:rPr>
                                <w:rFonts w:hint="eastAsia" w:ascii="Times New Roman" w:hAnsi="Times New Roman" w:eastAsia="黑体" w:cs="Times New Roman"/>
                                <w:b/>
                                <w:bCs/>
                                <w:kern w:val="2"/>
                                <w:sz w:val="21"/>
                                <w:szCs w:val="21"/>
                                <w:lang w:val="en-US" w:eastAsia="zh-CN" w:bidi="ar-SA"/>
                              </w:rPr>
                            </w:pPr>
                            <w:r>
                              <w:rPr>
                                <w:rFonts w:hint="eastAsia" w:ascii="Times New Roman" w:hAnsi="Times New Roman" w:eastAsia="黑体" w:cs="Times New Roman"/>
                                <w:b/>
                                <w:bCs/>
                                <w:kern w:val="2"/>
                                <w:sz w:val="21"/>
                                <w:szCs w:val="21"/>
                                <w:lang w:val="en-US" w:eastAsia="zh-CN" w:bidi="ar-SA"/>
                              </w:rPr>
                              <w:t xml:space="preserve">CCS </w:t>
                            </w:r>
                            <w:r>
                              <w:rPr>
                                <w:rFonts w:hint="eastAsia" w:ascii="黑体" w:hAnsi="黑体" w:eastAsia="黑体" w:cs="黑体"/>
                                <w:b/>
                                <w:bCs/>
                                <w:kern w:val="2"/>
                                <w:sz w:val="21"/>
                                <w:szCs w:val="21"/>
                                <w:lang w:val="en-US" w:eastAsia="zh-CN" w:bidi="ar-SA"/>
                              </w:rPr>
                              <w:t>E09</w:t>
                            </w:r>
                          </w:p>
                          <w:p w14:paraId="5A634956">
                            <w:pPr>
                              <w:pStyle w:val="333"/>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2" o:spid="_x0000_s1026" o:spt="202" type="#_x0000_t202" style="position:absolute;left:0pt;margin-left:76pt;margin-top:30.4pt;height:56.7pt;width:141.75pt;mso-position-horizontal-relative:page;mso-position-vertical-relative:page;z-index:251659264;mso-width-relative:page;mso-height-relative:page;" fillcolor="#FFFFFF [3201]" filled="t" stroked="f" coordsize="21600,21600" o:gfxdata="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QQD1oNkAAAAKAQAADwAAAAAAAAABACAAAAAiAAAAZHJzL2Rvd25yZXYueG1sUEsBAhQAFAAAAAgA&#10;h07iQHIo/L5dAgAAjAQAAA4AAAAAAAAAAQAgAAAAKAEAAGRycy9lMm9Eb2MueG1sUEsFBgAAAAAG&#10;AAYAWQEAAPcFAAAAAA==&#10;">
                <v:fill on="t" focussize="0,0"/>
                <v:stroke on="f" weight="0.5pt"/>
                <v:imagedata o:title=""/>
                <o:lock v:ext="edit" aspectratio="f"/>
                <v:textbox inset="0mm,0mm,2.54mm,0mm">
                  <w:txbxContent>
                    <w:p w14:paraId="2EFF8D14">
                      <w:pPr>
                        <w:pStyle w:val="298"/>
                        <w:rPr>
                          <w:rFonts w:hint="eastAsia" w:ascii="Times New Roman" w:hAnsi="Times New Roman" w:eastAsia="黑体" w:cs="Times New Roman"/>
                          <w:b/>
                          <w:bCs/>
                          <w:kern w:val="2"/>
                          <w:sz w:val="21"/>
                          <w:szCs w:val="21"/>
                          <w:lang w:val="en-US" w:eastAsia="zh-CN" w:bidi="ar-SA"/>
                        </w:rPr>
                      </w:pPr>
                      <w:r>
                        <w:rPr>
                          <w:rFonts w:hint="eastAsia" w:ascii="Times New Roman" w:hAnsi="Times New Roman" w:eastAsia="黑体" w:cs="Times New Roman"/>
                          <w:b/>
                          <w:bCs/>
                          <w:kern w:val="2"/>
                          <w:sz w:val="21"/>
                          <w:szCs w:val="21"/>
                          <w:lang w:val="en-US" w:eastAsia="zh-CN" w:bidi="ar-SA"/>
                        </w:rPr>
                        <w:t xml:space="preserve">ICS </w:t>
                      </w:r>
                      <w:r>
                        <w:rPr>
                          <w:rFonts w:hint="eastAsia" w:ascii="黑体" w:hAnsi="黑体" w:eastAsia="黑体" w:cs="黑体"/>
                          <w:b/>
                          <w:bCs/>
                          <w:kern w:val="2"/>
                          <w:sz w:val="21"/>
                          <w:szCs w:val="21"/>
                          <w:lang w:val="en-US" w:eastAsia="zh-CN" w:bidi="ar-SA"/>
                        </w:rPr>
                        <w:t>13.100</w:t>
                      </w:r>
                    </w:p>
                    <w:p w14:paraId="35A37477">
                      <w:pPr>
                        <w:pStyle w:val="298"/>
                        <w:rPr>
                          <w:rFonts w:hint="eastAsia" w:ascii="Times New Roman" w:hAnsi="Times New Roman" w:eastAsia="黑体" w:cs="Times New Roman"/>
                          <w:b/>
                          <w:bCs/>
                          <w:kern w:val="2"/>
                          <w:sz w:val="21"/>
                          <w:szCs w:val="21"/>
                          <w:lang w:val="en-US" w:eastAsia="zh-CN" w:bidi="ar-SA"/>
                        </w:rPr>
                      </w:pPr>
                      <w:r>
                        <w:rPr>
                          <w:rFonts w:hint="eastAsia" w:ascii="Times New Roman" w:hAnsi="Times New Roman" w:eastAsia="黑体" w:cs="Times New Roman"/>
                          <w:b/>
                          <w:bCs/>
                          <w:kern w:val="2"/>
                          <w:sz w:val="21"/>
                          <w:szCs w:val="21"/>
                          <w:lang w:val="en-US" w:eastAsia="zh-CN" w:bidi="ar-SA"/>
                        </w:rPr>
                        <w:t xml:space="preserve">CCS </w:t>
                      </w:r>
                      <w:r>
                        <w:rPr>
                          <w:rFonts w:hint="eastAsia" w:ascii="黑体" w:hAnsi="黑体" w:eastAsia="黑体" w:cs="黑体"/>
                          <w:b/>
                          <w:bCs/>
                          <w:kern w:val="2"/>
                          <w:sz w:val="21"/>
                          <w:szCs w:val="21"/>
                          <w:lang w:val="en-US" w:eastAsia="zh-CN" w:bidi="ar-SA"/>
                        </w:rPr>
                        <w:t>E09</w:t>
                      </w:r>
                    </w:p>
                    <w:p w14:paraId="5A634956">
                      <w:pPr>
                        <w:pStyle w:val="333"/>
                      </w:pP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60288" behindDoc="0" locked="0" layoutInCell="1" allowOverlap="1">
                <wp:simplePos x="0" y="0"/>
                <wp:positionH relativeFrom="page">
                  <wp:posOffset>5184775</wp:posOffset>
                </wp:positionH>
                <wp:positionV relativeFrom="page">
                  <wp:posOffset>467995</wp:posOffset>
                </wp:positionV>
                <wp:extent cx="1440180" cy="727075"/>
                <wp:effectExtent l="0" t="0" r="4445" b="3175"/>
                <wp:wrapNone/>
                <wp:docPr id="16" name="首页自画框图3"/>
                <wp:cNvGraphicFramePr/>
                <a:graphic xmlns:a="http://schemas.openxmlformats.org/drawingml/2006/main">
                  <a:graphicData uri="http://schemas.microsoft.com/office/word/2010/wordprocessingShape">
                    <wps:wsp>
                      <wps:cNvSpPr txBox="1"/>
                      <wps:spPr>
                        <a:xfrm>
                          <a:off x="0" y="0"/>
                          <a:ext cx="1440180" cy="727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4556A6">
                            <w:pPr>
                              <w:jc w:val="right"/>
                            </w:pPr>
                            <w:r>
                              <w:rPr>
                                <w:rFonts w:hint="eastAsia"/>
                              </w:rPr>
                              <w:drawing>
                                <wp:inline distT="0" distB="0" distL="114300" distR="114300">
                                  <wp:extent cx="1322070" cy="678180"/>
                                  <wp:effectExtent l="0" t="0" r="11430" b="4445"/>
                                  <wp:docPr id="19" name="图片 19" descr="GB"/>
                                  <wp:cNvGraphicFramePr/>
                                  <a:graphic xmlns:a="http://schemas.openxmlformats.org/drawingml/2006/main">
                                    <a:graphicData uri="http://schemas.openxmlformats.org/drawingml/2006/picture">
                                      <pic:pic xmlns:pic="http://schemas.openxmlformats.org/drawingml/2006/picture">
                                        <pic:nvPicPr>
                                          <pic:cNvPr id="19" name="图片 19" descr="GB"/>
                                          <pic:cNvPicPr/>
                                        </pic:nvPicPr>
                                        <pic:blipFill>
                                          <a:blip r:embed="rId27"/>
                                          <a:stretch>
                                            <a:fillRect/>
                                          </a:stretch>
                                        </pic:blipFill>
                                        <pic:spPr>
                                          <a:xfrm>
                                            <a:off x="0" y="0"/>
                                            <a:ext cx="1322070" cy="678180"/>
                                          </a:xfrm>
                                          <a:prstGeom prst="rect">
                                            <a:avLst/>
                                          </a:prstGeom>
                                        </pic:spPr>
                                      </pic:pic>
                                    </a:graphicData>
                                  </a:graphic>
                                </wp:inline>
                              </w:drawing>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3" o:spid="_x0000_s1026" o:spt="202" type="#_x0000_t202" style="position:absolute;left:0pt;margin-left:408.25pt;margin-top:36.85pt;height:57.25pt;width:113.4pt;mso-position-horizontal-relative:page;mso-position-vertical-relative:page;z-index:251660288;mso-width-relative:page;mso-height-relative:page;" fillcolor="#FFFFFF [3201]" filled="t" stroked="f" coordsize="21600,21600" o:gfxdata="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Whx5ndoAAAALAQAADwAAAAAAAAABACAAAAAiAAAAZHJzL2Rvd25yZXYueG1sUEsBAhQAFAAAAAgA&#10;h07iQJ90Rn5cAgAAjAQAAA4AAAAAAAAAAQAgAAAAKQEAAGRycy9lMm9Eb2MueG1sUEsFBgAAAAAG&#10;AAYAWQEAAPcFAAAAAA==&#10;">
                <v:fill on="t" focussize="0,0"/>
                <v:stroke on="f" weight="0.5pt"/>
                <v:imagedata o:title=""/>
                <o:lock v:ext="edit" aspectratio="f"/>
                <v:textbox inset="0mm,0mm,2.54mm,0mm">
                  <w:txbxContent>
                    <w:p w14:paraId="724556A6">
                      <w:pPr>
                        <w:jc w:val="right"/>
                      </w:pPr>
                      <w:r>
                        <w:rPr>
                          <w:rFonts w:hint="eastAsia"/>
                        </w:rPr>
                        <w:drawing>
                          <wp:inline distT="0" distB="0" distL="114300" distR="114300">
                            <wp:extent cx="1322070" cy="678180"/>
                            <wp:effectExtent l="0" t="0" r="11430" b="4445"/>
                            <wp:docPr id="19" name="图片 19" descr="GB"/>
                            <wp:cNvGraphicFramePr/>
                            <a:graphic xmlns:a="http://schemas.openxmlformats.org/drawingml/2006/main">
                              <a:graphicData uri="http://schemas.openxmlformats.org/drawingml/2006/picture">
                                <pic:pic xmlns:pic="http://schemas.openxmlformats.org/drawingml/2006/picture">
                                  <pic:nvPicPr>
                                    <pic:cNvPr id="19" name="图片 19" descr="GB"/>
                                    <pic:cNvPicPr/>
                                  </pic:nvPicPr>
                                  <pic:blipFill>
                                    <a:blip r:embed="rId27"/>
                                    <a:stretch>
                                      <a:fillRect/>
                                    </a:stretch>
                                  </pic:blipFill>
                                  <pic:spPr>
                                    <a:xfrm>
                                      <a:off x="0" y="0"/>
                                      <a:ext cx="1322070" cy="678180"/>
                                    </a:xfrm>
                                    <a:prstGeom prst="rect">
                                      <a:avLst/>
                                    </a:prstGeom>
                                  </pic:spPr>
                                </pic:pic>
                              </a:graphicData>
                            </a:graphic>
                          </wp:inline>
                        </w:drawing>
                      </w:r>
                    </w:p>
                  </w:txbxContent>
                </v:textbox>
              </v:shape>
            </w:pict>
          </mc:Fallback>
        </mc:AlternateContent>
      </w:r>
    </w:p>
    <w:p w14:paraId="64C2CBF6">
      <w:pPr>
        <w:pStyle w:val="258"/>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mc:AlternateContent>
          <mc:Choice Requires="wps">
            <w:drawing>
              <wp:anchor distT="0" distB="0" distL="114300" distR="114300" simplePos="0" relativeHeight="251661312" behindDoc="0" locked="0" layoutInCell="1" allowOverlap="1">
                <wp:simplePos x="0" y="0"/>
                <wp:positionH relativeFrom="page">
                  <wp:posOffset>900430</wp:posOffset>
                </wp:positionH>
                <wp:positionV relativeFrom="page">
                  <wp:posOffset>1511935</wp:posOffset>
                </wp:positionV>
                <wp:extent cx="6120765" cy="648335"/>
                <wp:effectExtent l="0" t="0" r="6985" b="2540"/>
                <wp:wrapNone/>
                <wp:docPr id="20" name="首页自画框图4"/>
                <wp:cNvGraphicFramePr/>
                <a:graphic xmlns:a="http://schemas.openxmlformats.org/drawingml/2006/main">
                  <a:graphicData uri="http://schemas.microsoft.com/office/word/2010/wordprocessingShape">
                    <wps:wsp>
                      <wps:cNvSpPr txBox="1"/>
                      <wps:spPr>
                        <a:xfrm>
                          <a:off x="0" y="0"/>
                          <a:ext cx="6120765" cy="648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9F7CEC">
                            <w:pPr>
                              <w:pStyle w:val="250"/>
                              <w:rPr>
                                <w:rFonts w:hint="default"/>
                                <w:b/>
                                <w:bCs/>
                                <w:sz w:val="52"/>
                              </w:rPr>
                            </w:pPr>
                            <w:r>
                              <w:rPr>
                                <w:b/>
                                <w:bCs/>
                                <w:sz w:val="52"/>
                              </w:rPr>
                              <w:t>中华人民共和国国家标准</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4" o:spid="_x0000_s1026" o:spt="202" type="#_x0000_t202" style="position:absolute;left:0pt;margin-left:70.9pt;margin-top:119.05pt;height:51.05pt;width:481.95pt;mso-position-horizontal-relative:page;mso-position-vertical-relative:page;z-index:251661312;mso-width-relative:page;mso-height-relative:page;" fillcolor="#FFFFFF [3201]" filled="t" stroked="f" coordsize="21600,21600" o:gfxdata="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C2nf1NsAAAAMAQAADwAAAAAAAAABACAAAAAiAAAAZHJzL2Rvd25yZXYueG1sUEsBAhQAFAAA&#10;AAgAh07iQFoA+fpeAgAAjAQAAA4AAAAAAAAAAQAgAAAAKgEAAGRycy9lMm9Eb2MueG1sUEsFBgAA&#10;AAAGAAYAWQEAAPoFAAAAAA==&#10;">
                <v:fill on="t" focussize="0,0"/>
                <v:stroke on="f" weight="0.5pt"/>
                <v:imagedata o:title=""/>
                <o:lock v:ext="edit" aspectratio="f"/>
                <v:textbox inset="0mm,0mm,2.54mm,0mm">
                  <w:txbxContent>
                    <w:p w14:paraId="479F7CEC">
                      <w:pPr>
                        <w:pStyle w:val="250"/>
                        <w:rPr>
                          <w:rFonts w:hint="default"/>
                          <w:b/>
                          <w:bCs/>
                          <w:sz w:val="52"/>
                        </w:rPr>
                      </w:pPr>
                      <w:r>
                        <w:rPr>
                          <w:b/>
                          <w:bCs/>
                          <w:sz w:val="52"/>
                        </w:rPr>
                        <w:t>中华人民共和国国家标准</w:t>
                      </w:r>
                    </w:p>
                  </w:txbxContent>
                </v:textbox>
              </v:shape>
            </w:pict>
          </mc:Fallback>
        </mc:AlternateContent>
      </w:r>
    </w:p>
    <w:p w14:paraId="5DA01429">
      <w:pPr>
        <w:pStyle w:val="258"/>
        <w:ind w:firstLine="420"/>
        <w:rPr>
          <w:rFonts w:hint="default" w:ascii="Times New Roman" w:hAnsi="Times New Roman" w:cs="Times New Roman"/>
          <w:color w:val="auto"/>
          <w:highlight w:val="none"/>
        </w:rPr>
      </w:pPr>
    </w:p>
    <w:p w14:paraId="2B20DB33">
      <w:pPr>
        <w:pStyle w:val="544"/>
        <w:framePr w:h="6974" w:hRule="exact" w:x="1419" w:anchorLock="1"/>
        <w:rPr>
          <w:rFonts w:hint="eastAsia"/>
        </w:rPr>
      </w:pPr>
      <w:r>
        <w:rPr>
          <w:rFonts w:hint="eastAsia"/>
        </w:rPr>
        <w:t>浮式生产储油装置（FPSO）安全规范</w:t>
      </w:r>
    </w:p>
    <w:p w14:paraId="373A51CC">
      <w:pPr>
        <w:framePr w:w="9639" w:h="6974" w:hRule="exact" w:wrap="around" w:vAnchor="page" w:hAnchor="page" w:x="1419" w:y="6408" w:anchorLock="1"/>
        <w:ind w:left="-1418"/>
      </w:pPr>
    </w:p>
    <w:p w14:paraId="4EFCDB61">
      <w:pPr>
        <w:pStyle w:val="271"/>
        <w:keepNext w:val="0"/>
        <w:keepLines w:val="0"/>
        <w:pageBreakBefore w:val="0"/>
        <w:framePr w:w="9639" w:h="6974" w:hRule="exact" w:wrap="around" w:vAnchor="page" w:hAnchor="page" w:x="1419" w:y="6408" w:anchorLock="1"/>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textAlignment w:val="auto"/>
        <w:rPr>
          <w:rFonts w:hint="default" w:ascii="Times New Roman" w:hAnsi="Times New Roman" w:eastAsia="黑体" w:cs="Times New Roman"/>
          <w:b/>
        </w:rPr>
      </w:pPr>
      <w:r>
        <w:rPr>
          <w:rFonts w:hint="default" w:ascii="Times New Roman" w:hAnsi="Times New Roman" w:eastAsia="黑体" w:cs="Times New Roman"/>
          <w:b/>
        </w:rPr>
        <w:t>Safety specification for floating production storage offloading unit (FPSO )</w:t>
      </w:r>
    </w:p>
    <w:p w14:paraId="1B5446D1">
      <w:pPr>
        <w:framePr w:w="9639" w:h="6974" w:hRule="exact" w:wrap="around" w:vAnchor="page" w:hAnchor="page" w:x="1419" w:y="6408" w:anchorLock="1"/>
        <w:spacing w:line="760" w:lineRule="exact"/>
        <w:ind w:left="-1418"/>
      </w:pPr>
    </w:p>
    <w:p w14:paraId="070CAA97">
      <w:pPr>
        <w:pStyle w:val="272"/>
        <w:framePr w:w="9639" w:h="6974" w:hRule="exact" w:wrap="around" w:vAnchor="page" w:hAnchor="page" w:x="1419" w:y="6408" w:anchorLock="1"/>
        <w:rPr>
          <w:rFonts w:hint="eastAsia" w:hAnsi="Times New Roman" w:cs="Times New Roman"/>
        </w:rPr>
      </w:pPr>
      <w:r>
        <w:rPr>
          <w:rFonts w:hint="eastAsia" w:hAnsi="Times New Roman" w:cs="Times New Roman"/>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 w:name="下拉1"/>
      <w:r>
        <w:rPr>
          <w:rFonts w:hint="eastAsia" w:hAnsi="Times New Roman" w:cs="Times New Roman"/>
        </w:rPr>
        <w:instrText xml:space="preserve"> FORMDROPDOWN </w:instrText>
      </w:r>
      <w:r>
        <w:rPr>
          <w:rFonts w:hint="eastAsia" w:hAnsi="Times New Roman" w:cs="Times New Roman"/>
        </w:rPr>
        <w:fldChar w:fldCharType="separate"/>
      </w:r>
      <w:r>
        <w:rPr>
          <w:rFonts w:hint="eastAsia" w:hAnsi="Times New Roman" w:cs="Times New Roman"/>
        </w:rPr>
        <w:fldChar w:fldCharType="end"/>
      </w:r>
      <w:bookmarkEnd w:id="1"/>
    </w:p>
    <w:p w14:paraId="0A522251">
      <w:pPr>
        <w:pStyle w:val="271"/>
        <w:framePr w:w="9639" w:h="6974" w:hRule="exact" w:wrap="around" w:vAnchor="page" w:hAnchor="page" w:x="1419" w:y="6408" w:anchorLock="1"/>
        <w:spacing w:before="180" w:line="240" w:lineRule="atLeast"/>
        <w:textAlignment w:val="bottom"/>
        <w:rPr>
          <w:sz w:val="21"/>
          <w:szCs w:val="28"/>
        </w:rPr>
      </w:pPr>
    </w:p>
    <w:p w14:paraId="6C4A2437">
      <w:pPr>
        <w:pStyle w:val="271"/>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2" w:name="下拉2"/>
      <w:r>
        <w:rPr>
          <w:b/>
          <w:sz w:val="21"/>
          <w:szCs w:val="28"/>
        </w:rPr>
        <w:instrText xml:space="preserve"> FORMDROPDOWN </w:instrText>
      </w:r>
      <w:r>
        <w:rPr>
          <w:b/>
          <w:sz w:val="21"/>
          <w:szCs w:val="28"/>
        </w:rPr>
        <w:fldChar w:fldCharType="separate"/>
      </w:r>
      <w:r>
        <w:rPr>
          <w:b/>
          <w:sz w:val="21"/>
          <w:szCs w:val="28"/>
        </w:rPr>
        <w:fldChar w:fldCharType="end"/>
      </w:r>
      <w:bookmarkEnd w:id="2"/>
    </w:p>
    <w:p w14:paraId="5B7A3C43">
      <w:pPr>
        <w:pStyle w:val="258"/>
        <w:ind w:firstLine="420"/>
        <w:rPr>
          <w:rFonts w:hint="default" w:ascii="Times New Roman" w:hAnsi="Times New Roman" w:cs="Times New Roman"/>
          <w:color w:val="auto"/>
          <w:highlight w:val="none"/>
        </w:rPr>
        <w:sectPr>
          <w:headerReference r:id="rId5" w:type="first"/>
          <w:footerReference r:id="rId8" w:type="first"/>
          <w:headerReference r:id="rId3" w:type="default"/>
          <w:footerReference r:id="rId6" w:type="default"/>
          <w:headerReference r:id="rId4" w:type="even"/>
          <w:footerReference r:id="rId7" w:type="even"/>
          <w:pgSz w:w="11920" w:h="16840"/>
          <w:pgMar w:top="284" w:right="851" w:bottom="1134" w:left="1418" w:header="284" w:footer="1134" w:gutter="0"/>
          <w:pgBorders>
            <w:top w:val="none" w:sz="0" w:space="0"/>
            <w:left w:val="none" w:sz="0" w:space="0"/>
            <w:bottom w:val="none" w:sz="0" w:space="0"/>
            <w:right w:val="none" w:sz="0" w:space="0"/>
          </w:pgBorders>
          <w:pgNumType w:fmt="upperRoman" w:start="1"/>
          <w:cols w:space="720" w:num="1"/>
        </w:sectPr>
      </w:pPr>
      <w:r>
        <w:rPr>
          <w:rFonts w:hint="eastAsia" w:ascii="宋体" w:hAnsi="宋体"/>
          <w:sz w:val="28"/>
          <w:szCs w:val="28"/>
        </w:rPr>
        <w:drawing>
          <wp:anchor distT="0" distB="0" distL="114300" distR="114300" simplePos="0" relativeHeight="251669504" behindDoc="0" locked="0" layoutInCell="1" allowOverlap="1">
            <wp:simplePos x="0" y="0"/>
            <wp:positionH relativeFrom="column">
              <wp:posOffset>1610360</wp:posOffset>
            </wp:positionH>
            <wp:positionV relativeFrom="paragraph">
              <wp:posOffset>7580630</wp:posOffset>
            </wp:positionV>
            <wp:extent cx="2868930" cy="545465"/>
            <wp:effectExtent l="0" t="0" r="1270" b="63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68930" cy="545465"/>
                    </a:xfrm>
                    <a:prstGeom prst="rect">
                      <a:avLst/>
                    </a:prstGeom>
                  </pic:spPr>
                </pic:pic>
              </a:graphicData>
            </a:graphic>
          </wp:anchor>
        </w:drawing>
      </w:r>
      <w:r>
        <w:rPr>
          <w:rFonts w:hint="default" w:ascii="Times New Roman" w:hAnsi="Times New Roman" w:cs="Times New Roman"/>
          <w:color w:val="auto"/>
          <w:highlight w:val="none"/>
        </w:rPr>
        <mc:AlternateContent>
          <mc:Choice Requires="wps">
            <w:drawing>
              <wp:anchor distT="0" distB="0" distL="114300" distR="114300" simplePos="0" relativeHeight="251670528" behindDoc="0" locked="0" layoutInCell="1" allowOverlap="1">
                <wp:simplePos x="0" y="0"/>
                <wp:positionH relativeFrom="column">
                  <wp:posOffset>-128905</wp:posOffset>
                </wp:positionH>
                <wp:positionV relativeFrom="paragraph">
                  <wp:posOffset>7477760</wp:posOffset>
                </wp:positionV>
                <wp:extent cx="6121400" cy="0"/>
                <wp:effectExtent l="0" t="0" r="0" b="0"/>
                <wp:wrapNone/>
                <wp:docPr id="13" name="首页自画框图6"/>
                <wp:cNvGraphicFramePr/>
                <a:graphic xmlns:a="http://schemas.openxmlformats.org/drawingml/2006/main">
                  <a:graphicData uri="http://schemas.microsoft.com/office/word/2010/wordprocessingShape">
                    <wps:wsp>
                      <wps:cNvCnPr/>
                      <wps:spPr>
                        <a:xfrm>
                          <a:off x="0" y="0"/>
                          <a:ext cx="6121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6" o:spid="_x0000_s1026" o:spt="20" style="position:absolute;left:0pt;margin-left:-10.15pt;margin-top:588.8pt;height:0pt;width:482pt;z-index:251670528;mso-width-relative:page;mso-height-relative:page;" filled="f" stroked="t" coordsize="21600,21600" o:gfxdata="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d&#10;dGaf2AAAAA0BAAAPAAAAAAAAAAEAIAAAACIAAABkcnMvZG93bnJldi54bWxQSwECFAAUAAAACACH&#10;TuJA4Dms1usBAAC0AwAADgAAAAAAAAABACAAAAAnAQAAZHJzL2Uyb0RvYy54bWxQSwUGAAAAAAYA&#10;BgBZAQAAhAUAAAAA&#10;">
                <v:fill on="f" focussize="0,0"/>
                <v:stroke weight="0.5pt" color="#000000 [3204]" miterlimit="8" joinstyle="miter"/>
                <v:imagedata o:title=""/>
                <o:lock v:ext="edit" aspectratio="f"/>
              </v:line>
            </w:pict>
          </mc:Fallback>
        </mc:AlternateContent>
      </w:r>
      <w:r>
        <w:rPr>
          <w:color w:val="auto"/>
          <w:sz w:val="24"/>
          <w:highlight w:val="none"/>
        </w:rPr>
        <mc:AlternateContent>
          <mc:Choice Requires="wpg">
            <w:drawing>
              <wp:anchor distT="0" distB="0" distL="114300" distR="114300" simplePos="0" relativeHeight="251665408" behindDoc="0" locked="0" layoutInCell="1" allowOverlap="1">
                <wp:simplePos x="0" y="0"/>
                <wp:positionH relativeFrom="column">
                  <wp:posOffset>-112395</wp:posOffset>
                </wp:positionH>
                <wp:positionV relativeFrom="paragraph">
                  <wp:posOffset>7178040</wp:posOffset>
                </wp:positionV>
                <wp:extent cx="3639185" cy="999490"/>
                <wp:effectExtent l="0" t="0" r="3175" b="6350"/>
                <wp:wrapNone/>
                <wp:docPr id="33" name="组合 33"/>
                <wp:cNvGraphicFramePr/>
                <a:graphic xmlns:a="http://schemas.openxmlformats.org/drawingml/2006/main">
                  <a:graphicData uri="http://schemas.microsoft.com/office/word/2010/wordprocessingGroup">
                    <wpg:wgp>
                      <wpg:cNvGrpSpPr/>
                      <wpg:grpSpPr>
                        <a:xfrm>
                          <a:off x="0" y="0"/>
                          <a:ext cx="3639185" cy="999490"/>
                          <a:chOff x="6140" y="13426"/>
                          <a:chExt cx="5731" cy="1574"/>
                        </a:xfrm>
                      </wpg:grpSpPr>
                      <wps:wsp>
                        <wps:cNvPr id="3" name="矩形 26"/>
                        <wps:cNvSpPr/>
                        <wps:spPr>
                          <a:xfrm>
                            <a:off x="9871" y="14520"/>
                            <a:ext cx="2000" cy="480"/>
                          </a:xfrm>
                          <a:prstGeom prst="rect">
                            <a:avLst/>
                          </a:prstGeom>
                          <a:solidFill>
                            <a:srgbClr val="FFFFFF"/>
                          </a:solidFill>
                          <a:ln>
                            <a:noFill/>
                          </a:ln>
                        </wps:spPr>
                        <wps:bodyPr upright="1"/>
                      </wps:wsp>
                      <wps:wsp>
                        <wps:cNvPr id="27" name="文本框 27"/>
                        <wps:cNvSpPr txBox="1"/>
                        <wps:spPr>
                          <a:xfrm>
                            <a:off x="6140" y="13426"/>
                            <a:ext cx="3180" cy="492"/>
                          </a:xfrm>
                          <a:prstGeom prst="rect">
                            <a:avLst/>
                          </a:prstGeom>
                          <a:solidFill>
                            <a:srgbClr val="FFFFFF"/>
                          </a:solidFill>
                          <a:ln>
                            <a:noFill/>
                          </a:ln>
                        </wps:spPr>
                        <wps:txbx>
                          <w:txbxContent>
                            <w:p w14:paraId="32F52764">
                              <w:pPr>
                                <w:pStyle w:val="543"/>
                              </w:pPr>
                              <w:r>
                                <w:rPr>
                                  <w:rFonts w:ascii="黑体" w:hAnsi="Times New Roman" w:cs="Times New Roman"/>
                                </w:rPr>
                                <w:fldChar w:fldCharType="begin">
                                  <w:ffData>
                                    <w:name w:val="PLSH_DATE_Y"/>
                                    <w:enabled/>
                                    <w:calcOnExit w:val="0"/>
                                    <w:textInput>
                                      <w:default w:val="XXXX"/>
                                      <w:maxLength w:val="4"/>
                                    </w:textInput>
                                  </w:ffData>
                                </w:fldChar>
                              </w:r>
                              <w:bookmarkStart w:id="2340" w:name="PLSH_DATE_Y"/>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XXXX</w:t>
                              </w:r>
                              <w:r>
                                <w:rPr>
                                  <w:rFonts w:ascii="黑体" w:hAnsi="Times New Roman" w:cs="Times New Roman"/>
                                </w:rPr>
                                <w:fldChar w:fldCharType="end"/>
                              </w:r>
                              <w:bookmarkEnd w:id="2340"/>
                              <w:r>
                                <w:rPr>
                                  <w:rFonts w:ascii="黑体" w:hAnsi="Times New Roman" w:cs="Times New Roman"/>
                                  <w:lang w:val="fr-FR"/>
                                </w:rPr>
                                <w:t xml:space="preserve"> - </w:t>
                              </w:r>
                              <w:r>
                                <w:rPr>
                                  <w:rFonts w:ascii="黑体" w:hAnsi="Times New Roman" w:cs="Times New Roman"/>
                                </w:rPr>
                                <w:fldChar w:fldCharType="begin">
                                  <w:ffData>
                                    <w:name w:val="PLSH_DATE_M"/>
                                    <w:enabled/>
                                    <w:calcOnExit w:val="0"/>
                                    <w:textInput>
                                      <w:default w:val="XX"/>
                                      <w:maxLength w:val="2"/>
                                    </w:textInput>
                                  </w:ffData>
                                </w:fldChar>
                              </w:r>
                              <w:bookmarkStart w:id="2341" w:name="PLSH_DATE_M"/>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w:t>
                              </w:r>
                              <w:r>
                                <w:rPr>
                                  <w:rFonts w:ascii="黑体" w:hAnsi="Times New Roman" w:cs="Times New Roman"/>
                                </w:rPr>
                                <w:fldChar w:fldCharType="end"/>
                              </w:r>
                              <w:bookmarkEnd w:id="2341"/>
                              <w:r>
                                <w:rPr>
                                  <w:rFonts w:ascii="黑体" w:hAnsi="Times New Roman" w:cs="Times New Roman"/>
                                  <w:lang w:val="fr-FR"/>
                                </w:rPr>
                                <w:t xml:space="preserve"> - </w:t>
                              </w:r>
                              <w:r>
                                <w:rPr>
                                  <w:rFonts w:ascii="黑体" w:hAnsi="Times New Roman" w:cs="Times New Roman"/>
                                </w:rPr>
                                <w:fldChar w:fldCharType="begin">
                                  <w:ffData>
                                    <w:name w:val="PLSH_DATE_D"/>
                                    <w:enabled/>
                                    <w:calcOnExit w:val="0"/>
                                    <w:textInput>
                                      <w:default w:val="XX"/>
                                      <w:maxLength w:val="2"/>
                                    </w:textInput>
                                  </w:ffData>
                                </w:fldChar>
                              </w:r>
                              <w:bookmarkStart w:id="2342" w:name="PLSH_DATE_D"/>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w:t>
                              </w:r>
                              <w:r>
                                <w:rPr>
                                  <w:rFonts w:ascii="黑体" w:hAnsi="Times New Roman" w:cs="Times New Roman"/>
                                </w:rPr>
                                <w:fldChar w:fldCharType="end"/>
                              </w:r>
                              <w:bookmarkEnd w:id="2342"/>
                              <w:r>
                                <w:rPr>
                                  <w:rFonts w:hint="eastAsia" w:ascii="黑体" w:hAnsi="Times New Roman" w:cs="Times New Roman"/>
                                </w:rPr>
                                <w:t>发布</w:t>
                              </w:r>
                            </w:p>
                          </w:txbxContent>
                        </wps:txbx>
                        <wps:bodyPr lIns="0" tIns="0" rIns="0" bIns="0" upright="1"/>
                      </wps:wsp>
                    </wpg:wgp>
                  </a:graphicData>
                </a:graphic>
              </wp:anchor>
            </w:drawing>
          </mc:Choice>
          <mc:Fallback>
            <w:pict>
              <v:group id="_x0000_s1026" o:spid="_x0000_s1026" o:spt="203" style="position:absolute;left:0pt;margin-left:-8.85pt;margin-top:565.2pt;height:78.7pt;width:286.55pt;z-index:251665408;mso-width-relative:page;mso-height-relative:page;" coordorigin="6140,13426" coordsize="5731,1574" o:gfxdata="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Pni98XcAAAADQEAAA8A&#10;AAAAAAAAAQAgAAAAIgAAAGRycy9kb3ducmV2LnhtbFBLAQIUABQAAAAIAIdO4kC3lFUBhQIAAFQG&#10;AAAOAAAAAAAAAAEAIAAAACsBAABkcnMvZTJvRG9jLnhtbFBLBQYAAAAABgAGAFkBAAAiBgAAAAA=&#10;">
                <o:lock v:ext="edit" aspectratio="f"/>
                <v:rect id="矩形 26" o:spid="_x0000_s1026" o:spt="1" style="position:absolute;left:9871;top:14520;height:480;width:2000;" fillcolor="#FFFFFF" filled="t" stroked="f" coordsize="21600,21600" o:gfxdata="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0kXOvQAA&#10;ANoAAAAPAAAAAAAAAAEAIAAAACIAAABkcnMvZG93bnJldi54bWxQSwECFAAUAAAACACHTuJAMy8F&#10;njsAAAA5AAAAEAAAAAAAAAABACAAAAAMAQAAZHJzL3NoYXBleG1sLnhtbFBLBQYAAAAABgAGAFsB&#10;AAC2AwAAAAA=&#10;">
                  <v:fill on="t" focussize="0,0"/>
                  <v:stroke on="f"/>
                  <v:imagedata o:title=""/>
                  <o:lock v:ext="edit" aspectratio="f"/>
                </v:rect>
                <v:shape id="_x0000_s1026" o:spid="_x0000_s1026" o:spt="202" type="#_x0000_t202" style="position:absolute;left:6140;top:13426;height:492;width:3180;" fillcolor="#FFFFFF" filled="t" stroked="f" coordsize="21600,21600" o:gfxdata="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5TVmL4A&#10;AADbAAAADwAAAAAAAAABACAAAAAiAAAAZHJzL2Rvd25yZXYueG1sUEsBAhQAFAAAAAgAh07iQDMv&#10;BZ47AAAAOQAAABAAAAAAAAAAAQAgAAAADQEAAGRycy9zaGFwZXhtbC54bWxQSwUGAAAAAAYABgBb&#10;AQAAtwMAAAAA&#10;">
                  <v:fill on="t" focussize="0,0"/>
                  <v:stroke on="f"/>
                  <v:imagedata o:title=""/>
                  <o:lock v:ext="edit" aspectratio="f"/>
                  <v:textbox inset="0mm,0mm,0mm,0mm">
                    <w:txbxContent>
                      <w:p w14:paraId="32F52764">
                        <w:pPr>
                          <w:pStyle w:val="543"/>
                        </w:pPr>
                        <w:r>
                          <w:rPr>
                            <w:rFonts w:ascii="黑体" w:hAnsi="Times New Roman" w:cs="Times New Roman"/>
                          </w:rPr>
                          <w:fldChar w:fldCharType="begin">
                            <w:ffData>
                              <w:name w:val="PLSH_DATE_Y"/>
                              <w:enabled/>
                              <w:calcOnExit w:val="0"/>
                              <w:textInput>
                                <w:default w:val="XXXX"/>
                                <w:maxLength w:val="4"/>
                              </w:textInput>
                            </w:ffData>
                          </w:fldChar>
                        </w:r>
                        <w:bookmarkStart w:id="2340" w:name="PLSH_DATE_Y"/>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XXXX</w:t>
                        </w:r>
                        <w:r>
                          <w:rPr>
                            <w:rFonts w:ascii="黑体" w:hAnsi="Times New Roman" w:cs="Times New Roman"/>
                          </w:rPr>
                          <w:fldChar w:fldCharType="end"/>
                        </w:r>
                        <w:bookmarkEnd w:id="2340"/>
                        <w:r>
                          <w:rPr>
                            <w:rFonts w:ascii="黑体" w:hAnsi="Times New Roman" w:cs="Times New Roman"/>
                            <w:lang w:val="fr-FR"/>
                          </w:rPr>
                          <w:t xml:space="preserve"> - </w:t>
                        </w:r>
                        <w:r>
                          <w:rPr>
                            <w:rFonts w:ascii="黑体" w:hAnsi="Times New Roman" w:cs="Times New Roman"/>
                          </w:rPr>
                          <w:fldChar w:fldCharType="begin">
                            <w:ffData>
                              <w:name w:val="PLSH_DATE_M"/>
                              <w:enabled/>
                              <w:calcOnExit w:val="0"/>
                              <w:textInput>
                                <w:default w:val="XX"/>
                                <w:maxLength w:val="2"/>
                              </w:textInput>
                            </w:ffData>
                          </w:fldChar>
                        </w:r>
                        <w:bookmarkStart w:id="2341" w:name="PLSH_DATE_M"/>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w:t>
                        </w:r>
                        <w:r>
                          <w:rPr>
                            <w:rFonts w:ascii="黑体" w:hAnsi="Times New Roman" w:cs="Times New Roman"/>
                          </w:rPr>
                          <w:fldChar w:fldCharType="end"/>
                        </w:r>
                        <w:bookmarkEnd w:id="2341"/>
                        <w:r>
                          <w:rPr>
                            <w:rFonts w:ascii="黑体" w:hAnsi="Times New Roman" w:cs="Times New Roman"/>
                            <w:lang w:val="fr-FR"/>
                          </w:rPr>
                          <w:t xml:space="preserve"> - </w:t>
                        </w:r>
                        <w:r>
                          <w:rPr>
                            <w:rFonts w:ascii="黑体" w:hAnsi="Times New Roman" w:cs="Times New Roman"/>
                          </w:rPr>
                          <w:fldChar w:fldCharType="begin">
                            <w:ffData>
                              <w:name w:val="PLSH_DATE_D"/>
                              <w:enabled/>
                              <w:calcOnExit w:val="0"/>
                              <w:textInput>
                                <w:default w:val="XX"/>
                                <w:maxLength w:val="2"/>
                              </w:textInput>
                            </w:ffData>
                          </w:fldChar>
                        </w:r>
                        <w:bookmarkStart w:id="2342" w:name="PLSH_DATE_D"/>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w:t>
                        </w:r>
                        <w:r>
                          <w:rPr>
                            <w:rFonts w:ascii="黑体" w:hAnsi="Times New Roman" w:cs="Times New Roman"/>
                          </w:rPr>
                          <w:fldChar w:fldCharType="end"/>
                        </w:r>
                        <w:bookmarkEnd w:id="2342"/>
                        <w:r>
                          <w:rPr>
                            <w:rFonts w:hint="eastAsia" w:ascii="黑体" w:hAnsi="Times New Roman" w:cs="Times New Roman"/>
                          </w:rPr>
                          <w:t>发布</w:t>
                        </w:r>
                      </w:p>
                    </w:txbxContent>
                  </v:textbox>
                </v:shape>
              </v:group>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4314825</wp:posOffset>
                </wp:positionH>
                <wp:positionV relativeFrom="paragraph">
                  <wp:posOffset>7202805</wp:posOffset>
                </wp:positionV>
                <wp:extent cx="1656715" cy="312420"/>
                <wp:effectExtent l="0" t="0" r="6985" b="5080"/>
                <wp:wrapNone/>
                <wp:docPr id="6" name="文本框 6"/>
                <wp:cNvGraphicFramePr/>
                <a:graphic xmlns:a="http://schemas.openxmlformats.org/drawingml/2006/main">
                  <a:graphicData uri="http://schemas.microsoft.com/office/word/2010/wordprocessingShape">
                    <wps:wsp>
                      <wps:cNvSpPr txBox="1"/>
                      <wps:spPr>
                        <a:xfrm>
                          <a:off x="0" y="0"/>
                          <a:ext cx="1656715" cy="312420"/>
                        </a:xfrm>
                        <a:prstGeom prst="rect">
                          <a:avLst/>
                        </a:prstGeom>
                        <a:noFill/>
                        <a:ln>
                          <a:noFill/>
                        </a:ln>
                      </wps:spPr>
                      <wps:txbx>
                        <w:txbxContent>
                          <w:p w14:paraId="3D94866A">
                            <w:pPr>
                              <w:pStyle w:val="543"/>
                              <w:rPr>
                                <w:rFonts w:hint="eastAsia" w:eastAsia="黑体"/>
                                <w:lang w:eastAsia="zh-CN"/>
                              </w:rPr>
                            </w:pPr>
                            <w:r>
                              <w:rPr>
                                <w:rFonts w:ascii="黑体" w:hAnsi="Times New Roman" w:cs="Times New Roman"/>
                              </w:rPr>
                              <w:fldChar w:fldCharType="begin">
                                <w:ffData>
                                  <w:name w:val="PLSH_DATE_Y"/>
                                  <w:enabled/>
                                  <w:calcOnExit w:val="0"/>
                                  <w:textInput>
                                    <w:default w:val="XXXX"/>
                                    <w:maxLength w:val="4"/>
                                  </w:textInput>
                                </w:ffData>
                              </w:fldChar>
                            </w:r>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XXXX</w:t>
                            </w:r>
                            <w:r>
                              <w:rPr>
                                <w:rFonts w:ascii="黑体" w:hAnsi="Times New Roman" w:cs="Times New Roman"/>
                              </w:rPr>
                              <w:fldChar w:fldCharType="end"/>
                            </w:r>
                            <w:r>
                              <w:rPr>
                                <w:rFonts w:ascii="黑体" w:hAnsi="Times New Roman" w:cs="Times New Roman"/>
                                <w:lang w:val="fr-FR"/>
                              </w:rPr>
                              <w:t xml:space="preserve"> - </w:t>
                            </w:r>
                            <w:r>
                              <w:rPr>
                                <w:rFonts w:ascii="黑体" w:hAnsi="Times New Roman" w:cs="Times New Roman"/>
                              </w:rPr>
                              <w:fldChar w:fldCharType="begin">
                                <w:ffData>
                                  <w:name w:val="PLSH_DATE_M"/>
                                  <w:enabled/>
                                  <w:calcOnExit w:val="0"/>
                                  <w:textInput>
                                    <w:default w:val="XX"/>
                                    <w:maxLength w:val="2"/>
                                  </w:textInput>
                                </w:ffData>
                              </w:fldChar>
                            </w:r>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w:t>
                            </w:r>
                            <w:r>
                              <w:rPr>
                                <w:rFonts w:ascii="黑体" w:hAnsi="Times New Roman" w:cs="Times New Roman"/>
                              </w:rPr>
                              <w:fldChar w:fldCharType="end"/>
                            </w:r>
                            <w:r>
                              <w:rPr>
                                <w:rFonts w:ascii="黑体" w:hAnsi="Times New Roman" w:cs="Times New Roman"/>
                                <w:lang w:val="fr-FR"/>
                              </w:rPr>
                              <w:t xml:space="preserve"> - </w:t>
                            </w:r>
                            <w:r>
                              <w:rPr>
                                <w:rFonts w:ascii="黑体" w:hAnsi="Times New Roman" w:cs="Times New Roman"/>
                              </w:rPr>
                              <w:fldChar w:fldCharType="begin">
                                <w:ffData>
                                  <w:name w:val="PLSH_DATE_D"/>
                                  <w:enabled/>
                                  <w:calcOnExit w:val="0"/>
                                  <w:textInput>
                                    <w:default w:val="XX"/>
                                    <w:maxLength w:val="2"/>
                                  </w:textInput>
                                </w:ffData>
                              </w:fldChar>
                            </w:r>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w:t>
                            </w:r>
                            <w:r>
                              <w:rPr>
                                <w:rFonts w:ascii="黑体" w:hAnsi="Times New Roman" w:cs="Times New Roman"/>
                              </w:rPr>
                              <w:fldChar w:fldCharType="end"/>
                            </w:r>
                            <w:r>
                              <w:rPr>
                                <w:rFonts w:hint="eastAsia" w:hAnsi="Times New Roman" w:cs="Times New Roman"/>
                                <w:lang w:val="en-US" w:eastAsia="zh-CN"/>
                              </w:rPr>
                              <w:t>实施</w:t>
                            </w:r>
                          </w:p>
                        </w:txbxContent>
                      </wps:txbx>
                      <wps:bodyPr lIns="0" tIns="0" rIns="0" bIns="0" upright="1"/>
                    </wps:wsp>
                  </a:graphicData>
                </a:graphic>
              </wp:anchor>
            </w:drawing>
          </mc:Choice>
          <mc:Fallback>
            <w:pict>
              <v:shape id="_x0000_s1026" o:spid="_x0000_s1026" o:spt="202" type="#_x0000_t202" style="position:absolute;left:0pt;margin-left:339.75pt;margin-top:567.15pt;height:24.6pt;width:130.45pt;z-index:251666432;mso-width-relative:page;mso-height-relative:page;" filled="f" stroked="f" coordsize="21600,21600" o:gfxdata="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teMstsAAAANAQAADwAAAAAAAAABACAAAAAiAAAAZHJzL2Rvd25yZXYueG1s&#10;UEsBAhQAFAAAAAgAh07iQJ0OIjW8AQAAcgMAAA4AAAAAAAAAAQAgAAAAKgEAAGRycy9lMm9Eb2Mu&#10;eG1sUEsFBgAAAAAGAAYAWQEAAFgFAAAAAA==&#10;">
                <v:fill on="f" focussize="0,0"/>
                <v:stroke on="f"/>
                <v:imagedata o:title=""/>
                <o:lock v:ext="edit" aspectratio="f"/>
                <v:textbox inset="0mm,0mm,0mm,0mm">
                  <w:txbxContent>
                    <w:p w14:paraId="3D94866A">
                      <w:pPr>
                        <w:pStyle w:val="543"/>
                        <w:rPr>
                          <w:rFonts w:hint="eastAsia" w:eastAsia="黑体"/>
                          <w:lang w:eastAsia="zh-CN"/>
                        </w:rPr>
                      </w:pPr>
                      <w:r>
                        <w:rPr>
                          <w:rFonts w:ascii="黑体" w:hAnsi="Times New Roman" w:cs="Times New Roman"/>
                        </w:rPr>
                        <w:fldChar w:fldCharType="begin">
                          <w:ffData>
                            <w:name w:val="PLSH_DATE_Y"/>
                            <w:enabled/>
                            <w:calcOnExit w:val="0"/>
                            <w:textInput>
                              <w:default w:val="XXXX"/>
                              <w:maxLength w:val="4"/>
                            </w:textInput>
                          </w:ffData>
                        </w:fldChar>
                      </w:r>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XXXX</w:t>
                      </w:r>
                      <w:r>
                        <w:rPr>
                          <w:rFonts w:ascii="黑体" w:hAnsi="Times New Roman" w:cs="Times New Roman"/>
                        </w:rPr>
                        <w:fldChar w:fldCharType="end"/>
                      </w:r>
                      <w:r>
                        <w:rPr>
                          <w:rFonts w:ascii="黑体" w:hAnsi="Times New Roman" w:cs="Times New Roman"/>
                          <w:lang w:val="fr-FR"/>
                        </w:rPr>
                        <w:t xml:space="preserve"> - </w:t>
                      </w:r>
                      <w:r>
                        <w:rPr>
                          <w:rFonts w:ascii="黑体" w:hAnsi="Times New Roman" w:cs="Times New Roman"/>
                        </w:rPr>
                        <w:fldChar w:fldCharType="begin">
                          <w:ffData>
                            <w:name w:val="PLSH_DATE_M"/>
                            <w:enabled/>
                            <w:calcOnExit w:val="0"/>
                            <w:textInput>
                              <w:default w:val="XX"/>
                              <w:maxLength w:val="2"/>
                            </w:textInput>
                          </w:ffData>
                        </w:fldChar>
                      </w:r>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w:t>
                      </w:r>
                      <w:r>
                        <w:rPr>
                          <w:rFonts w:ascii="黑体" w:hAnsi="Times New Roman" w:cs="Times New Roman"/>
                        </w:rPr>
                        <w:fldChar w:fldCharType="end"/>
                      </w:r>
                      <w:r>
                        <w:rPr>
                          <w:rFonts w:ascii="黑体" w:hAnsi="Times New Roman" w:cs="Times New Roman"/>
                          <w:lang w:val="fr-FR"/>
                        </w:rPr>
                        <w:t xml:space="preserve"> - </w:t>
                      </w:r>
                      <w:r>
                        <w:rPr>
                          <w:rFonts w:ascii="黑体" w:hAnsi="Times New Roman" w:cs="Times New Roman"/>
                        </w:rPr>
                        <w:fldChar w:fldCharType="begin">
                          <w:ffData>
                            <w:name w:val="PLSH_DATE_D"/>
                            <w:enabled/>
                            <w:calcOnExit w:val="0"/>
                            <w:textInput>
                              <w:default w:val="XX"/>
                              <w:maxLength w:val="2"/>
                            </w:textInput>
                          </w:ffData>
                        </w:fldChar>
                      </w:r>
                      <w:r>
                        <w:rPr>
                          <w:rFonts w:ascii="黑体" w:hAnsi="Times New Roman" w:cs="Times New Roman"/>
                          <w:lang w:val="fr-FR"/>
                        </w:rPr>
                        <w:instrText xml:space="preserve"> FORMTEXT </w:instrText>
                      </w:r>
                      <w:r>
                        <w:rPr>
                          <w:rFonts w:ascii="黑体" w:hAnsi="Times New Roman" w:cs="Times New Roman"/>
                        </w:rPr>
                        <w:fldChar w:fldCharType="separate"/>
                      </w:r>
                      <w:r>
                        <w:rPr>
                          <w:rFonts w:ascii="黑体" w:hAnsi="Times New Roman" w:cs="Times New Roman"/>
                          <w:lang w:val="fr-FR"/>
                        </w:rPr>
                        <w:t>XX</w:t>
                      </w:r>
                      <w:r>
                        <w:rPr>
                          <w:rFonts w:ascii="黑体" w:hAnsi="Times New Roman" w:cs="Times New Roman"/>
                        </w:rPr>
                        <w:fldChar w:fldCharType="end"/>
                      </w:r>
                      <w:r>
                        <w:rPr>
                          <w:rFonts w:hint="eastAsia" w:hAnsi="Times New Roman" w:cs="Times New Roman"/>
                          <w:lang w:val="en-US" w:eastAsia="zh-CN"/>
                        </w:rPr>
                        <w:t>实施</w:t>
                      </w:r>
                    </w:p>
                  </w:txbxContent>
                </v:textbox>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64384" behindDoc="0" locked="1" layoutInCell="1" allowOverlap="1">
                <wp:simplePos x="0" y="0"/>
                <wp:positionH relativeFrom="margin">
                  <wp:posOffset>0</wp:posOffset>
                </wp:positionH>
                <wp:positionV relativeFrom="margin">
                  <wp:posOffset>1538605</wp:posOffset>
                </wp:positionV>
                <wp:extent cx="5820410" cy="751205"/>
                <wp:effectExtent l="0" t="0" r="5715" b="10795"/>
                <wp:wrapNone/>
                <wp:docPr id="1" name="文本框 1"/>
                <wp:cNvGraphicFramePr/>
                <a:graphic xmlns:a="http://schemas.openxmlformats.org/drawingml/2006/main">
                  <a:graphicData uri="http://schemas.microsoft.com/office/word/2010/wordprocessingShape">
                    <wps:wsp>
                      <wps:cNvSpPr txBox="1"/>
                      <wps:spPr>
                        <a:xfrm>
                          <a:off x="0" y="0"/>
                          <a:ext cx="5820410" cy="751205"/>
                        </a:xfrm>
                        <a:prstGeom prst="rect">
                          <a:avLst/>
                        </a:prstGeom>
                        <a:solidFill>
                          <a:srgbClr val="FFFFFF"/>
                        </a:solidFill>
                        <a:ln>
                          <a:noFill/>
                        </a:ln>
                      </wps:spPr>
                      <wps:txbx>
                        <w:txbxContent>
                          <w:p w14:paraId="73E93DE9">
                            <w:pPr>
                              <w:pStyle w:val="266"/>
                              <w:rPr>
                                <w:rFonts w:hint="eastAsia" w:eastAsia="黑体"/>
                                <w:color w:val="FF0000"/>
                                <w:lang w:val="en-US" w:eastAsia="zh-CN"/>
                              </w:rPr>
                            </w:pPr>
                            <w:r>
                              <w:rPr>
                                <w:b/>
                              </w:rPr>
                              <w:t>GB</w:t>
                            </w:r>
                            <w:r>
                              <w:rPr>
                                <w:rFonts w:hAnsi="黑体"/>
                              </w:rPr>
                              <w:t xml:space="preserve"> </w:t>
                            </w:r>
                            <w:r>
                              <w:rPr>
                                <w:rFonts w:hint="eastAsia" w:hAnsi="黑体"/>
                                <w:lang w:val="en-US" w:eastAsia="zh-CN"/>
                              </w:rPr>
                              <w:t>XXXXX</w:t>
                            </w:r>
                            <w:r>
                              <w:rPr>
                                <w:rFonts w:hAnsi="黑体"/>
                                <w:lang w:val="fr-FR"/>
                              </w:rPr>
                              <w:t>—</w:t>
                            </w:r>
                            <w:r>
                              <w:rPr>
                                <w:rFonts w:hint="eastAsia" w:hAnsi="黑体"/>
                                <w:lang w:val="en-US" w:eastAsia="zh-CN"/>
                              </w:rPr>
                              <w:t>XXXX</w:t>
                            </w:r>
                          </w:p>
                          <w:p w14:paraId="4BF2F303"/>
                        </w:txbxContent>
                      </wps:txbx>
                      <wps:bodyPr lIns="0" tIns="0" rIns="0" bIns="0" upright="1"/>
                    </wps:wsp>
                  </a:graphicData>
                </a:graphic>
              </wp:anchor>
            </w:drawing>
          </mc:Choice>
          <mc:Fallback>
            <w:pict>
              <v:shape id="_x0000_s1026" o:spid="_x0000_s1026" o:spt="202" type="#_x0000_t202" style="position:absolute;left:0pt;margin-left:0pt;margin-top:121.15pt;height:59.15pt;width:458.3pt;mso-position-horizontal-relative:margin;mso-position-vertical-relative:margin;z-index:251664384;mso-width-relative:page;mso-height-relative:page;" fillcolor="#FFFFFF" filled="t" stroked="f" coordsize="21600,21600" o:gfxdata="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a/wPXAAAACAEAAA8AAAAAAAAAAQAgAAAAIgAAAGRy&#10;cy9kb3ducmV2LnhtbFBLAQIUABQAAAAIAIdO4kCUa+8pzQEAAJsDAAAOAAAAAAAAAAEAIAAAACYB&#10;AABkcnMvZTJvRG9jLnhtbFBLBQYAAAAABgAGAFkBAABlBQAAAAA=&#10;">
                <v:fill on="t" focussize="0,0"/>
                <v:stroke on="f"/>
                <v:imagedata o:title=""/>
                <o:lock v:ext="edit" aspectratio="f"/>
                <v:textbox inset="0mm,0mm,0mm,0mm">
                  <w:txbxContent>
                    <w:p w14:paraId="73E93DE9">
                      <w:pPr>
                        <w:pStyle w:val="266"/>
                        <w:rPr>
                          <w:rFonts w:hint="eastAsia" w:eastAsia="黑体"/>
                          <w:color w:val="FF0000"/>
                          <w:lang w:val="en-US" w:eastAsia="zh-CN"/>
                        </w:rPr>
                      </w:pPr>
                      <w:r>
                        <w:rPr>
                          <w:b/>
                        </w:rPr>
                        <w:t>GB</w:t>
                      </w:r>
                      <w:r>
                        <w:rPr>
                          <w:rFonts w:hAnsi="黑体"/>
                        </w:rPr>
                        <w:t xml:space="preserve"> </w:t>
                      </w:r>
                      <w:r>
                        <w:rPr>
                          <w:rFonts w:hint="eastAsia" w:hAnsi="黑体"/>
                          <w:lang w:val="en-US" w:eastAsia="zh-CN"/>
                        </w:rPr>
                        <w:t>XXXXX</w:t>
                      </w:r>
                      <w:r>
                        <w:rPr>
                          <w:rFonts w:hAnsi="黑体"/>
                          <w:lang w:val="fr-FR"/>
                        </w:rPr>
                        <w:t>—</w:t>
                      </w:r>
                      <w:r>
                        <w:rPr>
                          <w:rFonts w:hint="eastAsia" w:hAnsi="黑体"/>
                          <w:lang w:val="en-US" w:eastAsia="zh-CN"/>
                        </w:rPr>
                        <w:t>XXXX</w:t>
                      </w:r>
                    </w:p>
                    <w:p w14:paraId="4BF2F303"/>
                  </w:txbxContent>
                </v:textbox>
                <w10:anchorlock/>
              </v:shape>
            </w:pict>
          </mc:Fallback>
        </mc:AlternateContent>
      </w:r>
      <w:r>
        <w:rPr>
          <w:rFonts w:hint="default" w:ascii="Times New Roman" w:hAnsi="Times New Roman" w:cs="Times New Roman"/>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-11430</wp:posOffset>
                </wp:positionH>
                <wp:positionV relativeFrom="paragraph">
                  <wp:posOffset>958850</wp:posOffset>
                </wp:positionV>
                <wp:extent cx="6121400" cy="0"/>
                <wp:effectExtent l="0" t="0" r="0" b="0"/>
                <wp:wrapNone/>
                <wp:docPr id="22" name="首页自画框图6"/>
                <wp:cNvGraphicFramePr/>
                <a:graphic xmlns:a="http://schemas.openxmlformats.org/drawingml/2006/main">
                  <a:graphicData uri="http://schemas.microsoft.com/office/word/2010/wordprocessingShape">
                    <wps:wsp>
                      <wps:cNvCnPr/>
                      <wps:spPr>
                        <a:xfrm>
                          <a:off x="0" y="0"/>
                          <a:ext cx="612140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首页自画框图6" o:spid="_x0000_s1026" o:spt="20" style="position:absolute;left:0pt;margin-left:-0.9pt;margin-top:75.5pt;height:0pt;width:482pt;z-index:251662336;mso-width-relative:page;mso-height-relative:page;" filled="f" stroked="t" coordsize="21600,21600" o:gfxdata="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r2O&#10;GdYAAAAKAQAADwAAAAAAAAABACAAAAAiAAAAZHJzL2Rvd25yZXYueG1sUEsBAhQAFAAAAAgAh07i&#10;QAJy/l3rAQAAtAMAAA4AAAAAAAAAAQAgAAAAJQEAAGRycy9lMm9Eb2MueG1sUEsFBgAAAAAGAAYA&#10;WQEAAIIFAAAAAA==&#10;">
                <v:fill on="f" focussize="0,0"/>
                <v:stroke weight="0.5pt" color="#000000 [3204]" miterlimit="8" joinstyle="miter"/>
                <v:imagedata o:title=""/>
                <o:lock v:ext="edit" aspectratio="f"/>
              </v:line>
            </w:pict>
          </mc:Fallback>
        </mc:AlternateContent>
      </w:r>
    </w:p>
    <w:p w14:paraId="5B796ABF">
      <w:pPr>
        <w:pStyle w:val="286"/>
        <w:bidi w:val="0"/>
        <w:spacing w:before="480" w:after="0" w:afterLines="150" w:line="240" w:lineRule="auto"/>
        <w:jc w:val="center"/>
        <w:rPr>
          <w:rFonts w:hint="eastAsia"/>
          <w:color w:val="auto"/>
          <w:highlight w:val="none"/>
          <w:lang w:eastAsia="zh-CN"/>
        </w:rPr>
      </w:pPr>
      <w:bookmarkStart w:id="3" w:name="标准目次"/>
      <w:bookmarkEnd w:id="3"/>
      <w:bookmarkStart w:id="4" w:name="标准目次内容"/>
      <w:bookmarkStart w:id="5" w:name="_Toc6891"/>
      <w:bookmarkStart w:id="6" w:name="_Toc22588"/>
      <w:bookmarkStart w:id="7" w:name="_Toc26085"/>
      <w:bookmarkStart w:id="8" w:name="_Toc3863"/>
      <w:bookmarkStart w:id="9" w:name="_Toc18520"/>
      <w:bookmarkStart w:id="10" w:name="_Toc9890"/>
      <w:bookmarkStart w:id="11" w:name="_Toc10623"/>
      <w:bookmarkStart w:id="12" w:name="_Toc25127"/>
      <w:bookmarkStart w:id="13" w:name="_Toc12447"/>
      <w:bookmarkStart w:id="14" w:name="_Toc22424"/>
      <w:bookmarkStart w:id="15" w:name="_Toc24225"/>
      <w:bookmarkStart w:id="16" w:name="_Toc30420"/>
      <w:bookmarkStart w:id="17" w:name="_Toc183727647"/>
      <w:bookmarkStart w:id="18" w:name="_Toc24461"/>
      <w:r>
        <w:rPr>
          <w:rFonts w:hint="eastAsia"/>
          <w:color w:val="auto"/>
          <w:highlight w:val="none"/>
          <w:lang w:eastAsia="zh-CN"/>
        </w:rPr>
        <w:t>目    次</w:t>
      </w:r>
    </w:p>
    <w:p w14:paraId="2A05F02E">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rPr>
      </w:pPr>
      <w:r>
        <w:rPr>
          <w:rFonts w:hint="eastAsia" w:ascii="宋体" w:hAnsi="宋体" w:eastAsia="宋体" w:cs="宋体"/>
          <w:b w:val="0"/>
          <w:color w:val="auto"/>
          <w:sz w:val="21"/>
          <w:highlight w:val="none"/>
          <w:lang w:eastAsia="zh-CN"/>
        </w:rPr>
        <w:fldChar w:fldCharType="begin"/>
      </w:r>
      <w:r>
        <w:rPr>
          <w:rFonts w:hint="eastAsia" w:ascii="宋体" w:hAnsi="宋体" w:eastAsia="宋体" w:cs="宋体"/>
          <w:b w:val="0"/>
          <w:color w:val="auto"/>
          <w:sz w:val="21"/>
          <w:highlight w:val="none"/>
          <w:lang w:eastAsia="zh-CN"/>
        </w:rPr>
        <w:instrText xml:space="preserve">TOC \o "1-3" \h \u </w:instrText>
      </w:r>
      <w:r>
        <w:rPr>
          <w:rFonts w:hint="eastAsia" w:ascii="宋体" w:hAnsi="宋体" w:eastAsia="宋体" w:cs="宋体"/>
          <w:b w:val="0"/>
          <w:color w:val="auto"/>
          <w:sz w:val="21"/>
          <w:highlight w:val="none"/>
          <w:lang w:eastAsia="zh-CN"/>
        </w:rPr>
        <w:fldChar w:fldCharType="separate"/>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_Toc15830 </w:instrText>
      </w:r>
      <w:r>
        <w:rPr>
          <w:rFonts w:hint="eastAsia" w:ascii="宋体" w:hAnsi="宋体" w:eastAsia="宋体" w:cs="宋体"/>
          <w:szCs w:val="21"/>
          <w:lang w:eastAsia="zh-CN"/>
        </w:rPr>
        <w:fldChar w:fldCharType="separate"/>
      </w:r>
      <w:r>
        <w:rPr>
          <w:rFonts w:hint="eastAsia" w:ascii="宋体" w:hAnsi="宋体" w:eastAsia="宋体" w:cs="宋体"/>
          <w:szCs w:val="21"/>
        </w:rPr>
        <w:t>前    言</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_Toc15830 \h </w:instrText>
      </w:r>
      <w:r>
        <w:rPr>
          <w:rFonts w:hint="eastAsia" w:ascii="宋体" w:hAnsi="宋体" w:eastAsia="宋体" w:cs="宋体"/>
          <w:szCs w:val="21"/>
        </w:rPr>
        <w:fldChar w:fldCharType="separate"/>
      </w:r>
      <w:r>
        <w:rPr>
          <w:rFonts w:hint="eastAsia" w:ascii="宋体" w:hAnsi="宋体" w:eastAsia="宋体" w:cs="宋体"/>
          <w:szCs w:val="21"/>
        </w:rPr>
        <w:t>IV</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575DDC09">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_Toc8450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浮式生产储油装置</w:t>
      </w:r>
      <w:r>
        <w:rPr>
          <w:rFonts w:hint="eastAsia" w:ascii="宋体" w:hAnsi="宋体" w:eastAsia="宋体" w:cs="宋体"/>
          <w:szCs w:val="21"/>
        </w:rPr>
        <w:t>（FPSO）安全规范</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_Toc8450 \h </w:instrText>
      </w:r>
      <w:r>
        <w:rPr>
          <w:rFonts w:hint="eastAsia" w:ascii="宋体" w:hAnsi="宋体" w:eastAsia="宋体" w:cs="宋体"/>
          <w:szCs w:val="21"/>
        </w:rPr>
        <w:fldChar w:fldCharType="separate"/>
      </w:r>
      <w:r>
        <w:rPr>
          <w:rFonts w:hint="eastAsia" w:ascii="宋体" w:hAnsi="宋体" w:eastAsia="宋体" w:cs="宋体"/>
          <w:szCs w:val="21"/>
        </w:rPr>
        <w:t>1</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2C78F073">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_Toc26780 </w:instrText>
      </w:r>
      <w:r>
        <w:rPr>
          <w:rFonts w:hint="eastAsia" w:ascii="宋体" w:hAnsi="宋体" w:eastAsia="宋体" w:cs="宋体"/>
          <w:szCs w:val="21"/>
          <w:lang w:eastAsia="zh-CN"/>
        </w:rPr>
        <w:fldChar w:fldCharType="separate"/>
      </w:r>
      <w:r>
        <w:rPr>
          <w:rFonts w:hint="eastAsia" w:ascii="宋体" w:hAnsi="宋体" w:eastAsia="宋体" w:cs="宋体"/>
          <w:i w:val="0"/>
          <w:szCs w:val="21"/>
        </w:rPr>
        <w:t xml:space="preserve">1 </w:t>
      </w:r>
      <w:r>
        <w:rPr>
          <w:rFonts w:hint="eastAsia" w:ascii="宋体" w:hAnsi="宋体" w:eastAsia="宋体" w:cs="宋体"/>
          <w:szCs w:val="21"/>
        </w:rPr>
        <w:t>范围</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_Toc26780 \h </w:instrText>
      </w:r>
      <w:r>
        <w:rPr>
          <w:rFonts w:hint="eastAsia" w:ascii="宋体" w:hAnsi="宋体" w:eastAsia="宋体" w:cs="宋体"/>
          <w:szCs w:val="21"/>
        </w:rPr>
        <w:fldChar w:fldCharType="separate"/>
      </w:r>
      <w:r>
        <w:rPr>
          <w:rFonts w:hint="eastAsia" w:ascii="宋体" w:hAnsi="宋体" w:eastAsia="宋体" w:cs="宋体"/>
          <w:szCs w:val="21"/>
        </w:rPr>
        <w:t>1</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42242DFE">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_Toc1749 </w:instrText>
      </w:r>
      <w:r>
        <w:rPr>
          <w:rFonts w:hint="eastAsia" w:ascii="宋体" w:hAnsi="宋体" w:eastAsia="宋体" w:cs="宋体"/>
          <w:szCs w:val="21"/>
          <w:lang w:eastAsia="zh-CN"/>
        </w:rPr>
        <w:fldChar w:fldCharType="separate"/>
      </w:r>
      <w:r>
        <w:rPr>
          <w:rFonts w:hint="eastAsia" w:ascii="宋体" w:hAnsi="宋体" w:eastAsia="宋体" w:cs="宋体"/>
          <w:i w:val="0"/>
          <w:szCs w:val="21"/>
        </w:rPr>
        <w:t xml:space="preserve">2 </w:t>
      </w:r>
      <w:r>
        <w:rPr>
          <w:rFonts w:hint="eastAsia" w:ascii="宋体" w:hAnsi="宋体" w:eastAsia="宋体" w:cs="宋体"/>
          <w:szCs w:val="21"/>
        </w:rPr>
        <w:t>规范性引用文件</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_Toc1749 \h </w:instrText>
      </w:r>
      <w:r>
        <w:rPr>
          <w:rFonts w:hint="eastAsia" w:ascii="宋体" w:hAnsi="宋体" w:eastAsia="宋体" w:cs="宋体"/>
          <w:szCs w:val="21"/>
        </w:rPr>
        <w:fldChar w:fldCharType="separate"/>
      </w:r>
      <w:r>
        <w:rPr>
          <w:rFonts w:hint="eastAsia" w:ascii="宋体" w:hAnsi="宋体" w:eastAsia="宋体" w:cs="宋体"/>
          <w:szCs w:val="21"/>
        </w:rPr>
        <w:t>1</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6F9CA437">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_Toc10651 </w:instrText>
      </w:r>
      <w:r>
        <w:rPr>
          <w:rFonts w:hint="eastAsia" w:ascii="宋体" w:hAnsi="宋体" w:eastAsia="宋体" w:cs="宋体"/>
          <w:szCs w:val="21"/>
          <w:lang w:eastAsia="zh-CN"/>
        </w:rPr>
        <w:fldChar w:fldCharType="separate"/>
      </w:r>
      <w:r>
        <w:rPr>
          <w:rFonts w:hint="eastAsia" w:ascii="宋体" w:hAnsi="宋体" w:eastAsia="宋体" w:cs="宋体"/>
          <w:i w:val="0"/>
          <w:szCs w:val="21"/>
        </w:rPr>
        <w:t xml:space="preserve">3 </w:t>
      </w:r>
      <w:r>
        <w:rPr>
          <w:rFonts w:hint="eastAsia" w:ascii="宋体" w:hAnsi="宋体" w:eastAsia="宋体" w:cs="宋体"/>
          <w:szCs w:val="21"/>
        </w:rPr>
        <w:t>术语和定义</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_Toc10651 \h </w:instrText>
      </w:r>
      <w:r>
        <w:rPr>
          <w:rFonts w:hint="eastAsia" w:ascii="宋体" w:hAnsi="宋体" w:eastAsia="宋体" w:cs="宋体"/>
          <w:szCs w:val="21"/>
        </w:rPr>
        <w:fldChar w:fldCharType="separate"/>
      </w:r>
      <w:r>
        <w:rPr>
          <w:rFonts w:hint="eastAsia" w:ascii="宋体" w:hAnsi="宋体" w:eastAsia="宋体" w:cs="宋体"/>
          <w:szCs w:val="21"/>
        </w:rPr>
        <w:t>1</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0BED5AA6">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_Toc28390 </w:instrText>
      </w:r>
      <w:r>
        <w:rPr>
          <w:rFonts w:hint="eastAsia" w:ascii="宋体" w:hAnsi="宋体" w:eastAsia="宋体" w:cs="宋体"/>
          <w:szCs w:val="21"/>
          <w:lang w:eastAsia="zh-CN"/>
        </w:rPr>
        <w:fldChar w:fldCharType="separate"/>
      </w:r>
      <w:r>
        <w:rPr>
          <w:rFonts w:hint="eastAsia" w:ascii="宋体" w:hAnsi="宋体" w:eastAsia="宋体" w:cs="宋体"/>
          <w:i w:val="0"/>
          <w:szCs w:val="21"/>
        </w:rPr>
        <w:t xml:space="preserve">4 </w:t>
      </w:r>
      <w:r>
        <w:rPr>
          <w:rFonts w:hint="eastAsia" w:ascii="宋体" w:hAnsi="宋体" w:eastAsia="宋体" w:cs="宋体"/>
          <w:szCs w:val="21"/>
        </w:rPr>
        <w:t>缩略语</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_Toc28390 \h </w:instrText>
      </w:r>
      <w:r>
        <w:rPr>
          <w:rFonts w:hint="eastAsia" w:ascii="宋体" w:hAnsi="宋体" w:eastAsia="宋体" w:cs="宋体"/>
          <w:szCs w:val="21"/>
        </w:rPr>
        <w:fldChar w:fldCharType="separate"/>
      </w:r>
      <w:r>
        <w:rPr>
          <w:rFonts w:hint="eastAsia" w:ascii="宋体" w:hAnsi="宋体" w:eastAsia="宋体" w:cs="宋体"/>
          <w:szCs w:val="21"/>
        </w:rPr>
        <w:t>2</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53D20EB4">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_Toc25692 </w:instrText>
      </w:r>
      <w:r>
        <w:rPr>
          <w:rFonts w:hint="eastAsia" w:ascii="宋体" w:hAnsi="宋体" w:eastAsia="宋体" w:cs="宋体"/>
          <w:szCs w:val="21"/>
          <w:lang w:eastAsia="zh-CN"/>
        </w:rPr>
        <w:fldChar w:fldCharType="separate"/>
      </w:r>
      <w:r>
        <w:rPr>
          <w:rFonts w:hint="eastAsia" w:ascii="宋体" w:hAnsi="宋体" w:eastAsia="宋体" w:cs="宋体"/>
          <w:i w:val="0"/>
          <w:szCs w:val="21"/>
        </w:rPr>
        <w:t xml:space="preserve">5 </w:t>
      </w:r>
      <w:r>
        <w:rPr>
          <w:rFonts w:hint="eastAsia" w:ascii="宋体" w:hAnsi="宋体" w:eastAsia="宋体" w:cs="宋体"/>
          <w:szCs w:val="21"/>
        </w:rPr>
        <w:t>总体</w:t>
      </w:r>
      <w:r>
        <w:rPr>
          <w:rFonts w:hint="eastAsia" w:ascii="宋体" w:hAnsi="宋体" w:eastAsia="宋体" w:cs="宋体"/>
          <w:szCs w:val="21"/>
          <w:lang w:val="en-US" w:eastAsia="zh-CN"/>
        </w:rPr>
        <w:t>原则</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_Toc25692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11DA2884">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_Toc2406 </w:instrText>
      </w:r>
      <w:r>
        <w:rPr>
          <w:rFonts w:hint="eastAsia" w:ascii="宋体" w:hAnsi="宋体" w:eastAsia="宋体" w:cs="宋体"/>
          <w:szCs w:val="21"/>
          <w:lang w:eastAsia="zh-CN"/>
        </w:rPr>
        <w:fldChar w:fldCharType="separate"/>
      </w:r>
      <w:r>
        <w:rPr>
          <w:rFonts w:hint="eastAsia" w:ascii="宋体" w:hAnsi="宋体" w:eastAsia="宋体" w:cs="宋体"/>
          <w:i w:val="0"/>
          <w:szCs w:val="21"/>
        </w:rPr>
        <w:t xml:space="preserve">6 </w:t>
      </w:r>
      <w:r>
        <w:rPr>
          <w:rFonts w:hint="eastAsia" w:ascii="宋体" w:hAnsi="宋体" w:eastAsia="宋体" w:cs="宋体"/>
          <w:szCs w:val="21"/>
        </w:rPr>
        <w:t>总体布置</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_Toc2406 \h </w:instrText>
      </w:r>
      <w:r>
        <w:rPr>
          <w:rFonts w:hint="eastAsia" w:ascii="宋体" w:hAnsi="宋体" w:eastAsia="宋体" w:cs="宋体"/>
          <w:szCs w:val="21"/>
        </w:rPr>
        <w:fldChar w:fldCharType="separate"/>
      </w:r>
      <w:r>
        <w:rPr>
          <w:rFonts w:hint="eastAsia" w:ascii="宋体" w:hAnsi="宋体" w:eastAsia="宋体" w:cs="宋体"/>
          <w:szCs w:val="21"/>
        </w:rPr>
        <w:t>3</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2E32CBFD">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_Toc18869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6.1 通</w:t>
      </w:r>
      <w:r>
        <w:rPr>
          <w:rFonts w:hint="eastAsia" w:ascii="宋体" w:hAnsi="宋体" w:eastAsia="宋体" w:cs="宋体"/>
          <w:szCs w:val="21"/>
          <w:lang w:val="en-US" w:eastAsia="zh-CN"/>
        </w:rPr>
        <w:t>则</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_Toc18869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C825369">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_Toc31606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6.2 上部模块布置</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_Toc31606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0C4CEB96">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_Toc18786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6.3 舱室布置</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_Toc18786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90C3E56">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rPr>
      </w:pP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_Toc6319 </w:instrText>
      </w:r>
      <w:r>
        <w:rPr>
          <w:rFonts w:hint="eastAsia" w:ascii="宋体" w:hAnsi="宋体" w:eastAsia="宋体" w:cs="宋体"/>
          <w:highlight w:val="none"/>
          <w:lang w:eastAsia="zh-CN"/>
        </w:rPr>
        <w:fldChar w:fldCharType="separate"/>
      </w:r>
      <w:r>
        <w:rPr>
          <w:rFonts w:hint="eastAsia" w:ascii="宋体" w:hAnsi="宋体" w:eastAsia="宋体" w:cs="宋体"/>
          <w:i w:val="0"/>
          <w:szCs w:val="21"/>
        </w:rPr>
        <w:t xml:space="preserve">7 </w:t>
      </w:r>
      <w:r>
        <w:rPr>
          <w:rFonts w:hint="eastAsia" w:ascii="宋体" w:hAnsi="宋体" w:eastAsia="宋体" w:cs="宋体"/>
          <w:highlight w:val="none"/>
        </w:rPr>
        <w:t>总体性能</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_Toc6319 \h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r>
        <w:rPr>
          <w:rFonts w:hint="eastAsia" w:ascii="宋体" w:hAnsi="宋体" w:eastAsia="宋体" w:cs="宋体"/>
          <w:color w:val="auto"/>
          <w:highlight w:val="none"/>
          <w:lang w:eastAsia="zh-CN"/>
        </w:rPr>
        <w:fldChar w:fldCharType="end"/>
      </w:r>
    </w:p>
    <w:p w14:paraId="4CAC6FBC">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_Toc29932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7.1 稳性</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_Toc29932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5</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573360A4">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_Toc23997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7.2 水密</w:t>
      </w:r>
      <w:r>
        <w:rPr>
          <w:rFonts w:hint="eastAsia" w:ascii="宋体" w:hAnsi="宋体" w:eastAsia="宋体" w:cs="宋体"/>
          <w:szCs w:val="21"/>
          <w:lang w:val="en-US" w:eastAsia="zh-CN"/>
        </w:rPr>
        <w:t>及风雨密</w:t>
      </w:r>
      <w:r>
        <w:rPr>
          <w:rFonts w:hint="eastAsia" w:ascii="宋体" w:hAnsi="宋体" w:eastAsia="宋体" w:cs="宋体"/>
          <w:szCs w:val="21"/>
          <w:lang w:eastAsia="zh-CN"/>
        </w:rPr>
        <w:t>完整性</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_Toc23997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6</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2AD87867">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_Toc24312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7.3 载重线</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_Toc24312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5E26F6DD">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_Toc557 </w:instrText>
      </w:r>
      <w:r>
        <w:rPr>
          <w:rFonts w:hint="eastAsia" w:ascii="宋体" w:hAnsi="宋体" w:eastAsia="宋体" w:cs="宋体"/>
          <w:color w:val="auto"/>
          <w:highlight w:val="none"/>
          <w:lang w:eastAsia="zh-CN"/>
        </w:rPr>
        <w:fldChar w:fldCharType="separate"/>
      </w:r>
      <w:r>
        <w:rPr>
          <w:rFonts w:hint="eastAsia" w:ascii="宋体" w:hAnsi="宋体" w:eastAsia="宋体" w:cs="宋体"/>
          <w:i w:val="0"/>
          <w:color w:val="auto"/>
          <w:szCs w:val="24"/>
          <w:highlight w:val="none"/>
        </w:rPr>
        <w:t xml:space="preserve">8 </w:t>
      </w:r>
      <w:r>
        <w:rPr>
          <w:rFonts w:hint="eastAsia" w:ascii="宋体" w:hAnsi="宋体" w:eastAsia="宋体" w:cs="宋体"/>
          <w:color w:val="auto"/>
          <w:highlight w:val="none"/>
        </w:rPr>
        <w:t>结构</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_Toc557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7</w:t>
      </w:r>
      <w:r>
        <w:rPr>
          <w:rFonts w:hint="eastAsia" w:ascii="宋体" w:hAnsi="宋体" w:eastAsia="宋体" w:cs="宋体"/>
          <w:color w:val="auto"/>
          <w:highlight w:val="none"/>
        </w:rPr>
        <w:fldChar w:fldCharType="end"/>
      </w:r>
      <w:r>
        <w:rPr>
          <w:rFonts w:hint="eastAsia" w:ascii="宋体" w:hAnsi="宋体" w:eastAsia="宋体" w:cs="宋体"/>
          <w:color w:val="auto"/>
          <w:highlight w:val="none"/>
          <w:lang w:eastAsia="zh-CN"/>
        </w:rPr>
        <w:fldChar w:fldCharType="end"/>
      </w:r>
    </w:p>
    <w:p w14:paraId="0097732E">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_Toc29528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8.1 船体结构</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_Toc29528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7ABD448">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_Toc1100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8.2 组块结构</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_Toc1100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8</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42F429EC">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_Toc16598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8.3 材料、</w:t>
      </w:r>
      <w:r>
        <w:rPr>
          <w:rFonts w:hint="eastAsia" w:ascii="宋体" w:hAnsi="宋体" w:eastAsia="宋体" w:cs="宋体"/>
          <w:szCs w:val="21"/>
          <w:lang w:val="en-US" w:eastAsia="zh-CN"/>
        </w:rPr>
        <w:t>建造和连接</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_Toc16598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8</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0823F796">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_Toc12351 </w:instrText>
      </w:r>
      <w:r>
        <w:rPr>
          <w:rFonts w:hint="eastAsia" w:ascii="宋体" w:hAnsi="宋体" w:eastAsia="宋体" w:cs="宋体"/>
          <w:color w:val="auto"/>
          <w:highlight w:val="none"/>
          <w:lang w:eastAsia="zh-CN"/>
        </w:rPr>
        <w:fldChar w:fldCharType="separate"/>
      </w:r>
      <w:r>
        <w:rPr>
          <w:rFonts w:hint="eastAsia" w:ascii="宋体" w:hAnsi="宋体" w:eastAsia="宋体" w:cs="宋体"/>
          <w:i w:val="0"/>
          <w:color w:val="auto"/>
          <w:szCs w:val="24"/>
          <w:highlight w:val="none"/>
        </w:rPr>
        <w:t xml:space="preserve">9 </w:t>
      </w:r>
      <w:r>
        <w:rPr>
          <w:rFonts w:hint="eastAsia" w:ascii="宋体" w:hAnsi="宋体" w:eastAsia="宋体" w:cs="宋体"/>
          <w:color w:val="auto"/>
          <w:highlight w:val="none"/>
        </w:rPr>
        <w:t>防腐</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_Toc12351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w:t>
      </w:r>
      <w:r>
        <w:rPr>
          <w:rFonts w:hint="eastAsia" w:ascii="宋体" w:hAnsi="宋体" w:eastAsia="宋体" w:cs="宋体"/>
          <w:color w:val="auto"/>
          <w:highlight w:val="none"/>
        </w:rPr>
        <w:fldChar w:fldCharType="end"/>
      </w:r>
      <w:r>
        <w:rPr>
          <w:rFonts w:hint="eastAsia" w:ascii="宋体" w:hAnsi="宋体" w:eastAsia="宋体" w:cs="宋体"/>
          <w:color w:val="auto"/>
          <w:highlight w:val="none"/>
          <w:lang w:eastAsia="zh-CN"/>
        </w:rPr>
        <w:fldChar w:fldCharType="end"/>
      </w:r>
    </w:p>
    <w:p w14:paraId="701122DD">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_Toc15096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9.1 </w:t>
      </w:r>
      <w:r>
        <w:rPr>
          <w:rFonts w:hint="eastAsia" w:ascii="宋体" w:hAnsi="宋体" w:eastAsia="宋体" w:cs="宋体"/>
          <w:szCs w:val="21"/>
          <w:lang w:val="en-US" w:eastAsia="zh-CN"/>
        </w:rPr>
        <w:t>通则</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_Toc15096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4DF18197">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_Toc9828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9.2 涂层保护</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_Toc9828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2618882">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_Toc15883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9.3 阴极保护</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_Toc15883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9F71BEA">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_Toc13128 </w:instrText>
      </w:r>
      <w:r>
        <w:rPr>
          <w:rFonts w:hint="eastAsia" w:ascii="宋体" w:hAnsi="宋体" w:eastAsia="宋体" w:cs="宋体"/>
          <w:color w:val="auto"/>
          <w:highlight w:val="none"/>
          <w:lang w:eastAsia="zh-CN"/>
        </w:rPr>
        <w:fldChar w:fldCharType="separate"/>
      </w:r>
      <w:r>
        <w:rPr>
          <w:rFonts w:hint="eastAsia" w:ascii="宋体" w:hAnsi="宋体" w:eastAsia="宋体" w:cs="宋体"/>
          <w:i w:val="0"/>
          <w:color w:val="auto"/>
          <w:szCs w:val="24"/>
          <w:highlight w:val="none"/>
        </w:rPr>
        <w:t xml:space="preserve">10 </w:t>
      </w:r>
      <w:r>
        <w:rPr>
          <w:rFonts w:hint="eastAsia" w:ascii="宋体" w:hAnsi="宋体" w:eastAsia="宋体" w:cs="宋体"/>
          <w:color w:val="auto"/>
          <w:highlight w:val="none"/>
        </w:rPr>
        <w:t>系泊</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_Toc13128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9</w:t>
      </w:r>
      <w:r>
        <w:rPr>
          <w:rFonts w:hint="eastAsia" w:ascii="宋体" w:hAnsi="宋体" w:eastAsia="宋体" w:cs="宋体"/>
          <w:color w:val="auto"/>
          <w:highlight w:val="none"/>
        </w:rPr>
        <w:fldChar w:fldCharType="end"/>
      </w:r>
      <w:r>
        <w:rPr>
          <w:rFonts w:hint="eastAsia" w:ascii="宋体" w:hAnsi="宋体" w:eastAsia="宋体" w:cs="宋体"/>
          <w:color w:val="auto"/>
          <w:highlight w:val="none"/>
          <w:lang w:eastAsia="zh-CN"/>
        </w:rPr>
        <w:fldChar w:fldCharType="end"/>
      </w:r>
    </w:p>
    <w:p w14:paraId="36B3AF45">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_Toc294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10.1 通</w:t>
      </w:r>
      <w:r>
        <w:rPr>
          <w:rFonts w:hint="eastAsia" w:ascii="宋体" w:hAnsi="宋体" w:eastAsia="宋体" w:cs="宋体"/>
          <w:szCs w:val="21"/>
          <w:lang w:val="en-US" w:eastAsia="zh-CN"/>
        </w:rPr>
        <w:t>则</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_Toc294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037568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_Toc10294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10.2 系泊系统设计</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_Toc10294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DF96F30">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_Toc12786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10.3 单点转塔</w:t>
      </w:r>
      <w:r>
        <w:rPr>
          <w:rFonts w:hint="eastAsia" w:ascii="宋体" w:hAnsi="宋体" w:eastAsia="宋体" w:cs="宋体"/>
          <w:szCs w:val="21"/>
          <w:lang w:val="en-US" w:eastAsia="zh-CN"/>
        </w:rPr>
        <w:t>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_Toc12786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7FEE647">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_Toc24625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10.4 系泊监测</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_Toc24625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11</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161CA33">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color w:val="auto"/>
          <w:highlight w:val="none"/>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_Toc12101 </w:instrText>
      </w:r>
      <w:r>
        <w:rPr>
          <w:rFonts w:hint="eastAsia" w:ascii="宋体" w:hAnsi="宋体" w:eastAsia="宋体" w:cs="宋体"/>
          <w:color w:val="auto"/>
          <w:highlight w:val="none"/>
          <w:lang w:eastAsia="zh-CN"/>
        </w:rPr>
        <w:fldChar w:fldCharType="separate"/>
      </w:r>
      <w:r>
        <w:rPr>
          <w:rFonts w:hint="eastAsia" w:ascii="宋体" w:hAnsi="宋体" w:eastAsia="宋体" w:cs="宋体"/>
          <w:i w:val="0"/>
          <w:color w:val="auto"/>
          <w:szCs w:val="24"/>
          <w:highlight w:val="none"/>
        </w:rPr>
        <w:t xml:space="preserve">11 </w:t>
      </w:r>
      <w:r>
        <w:rPr>
          <w:rFonts w:hint="eastAsia" w:ascii="宋体" w:hAnsi="宋体" w:eastAsia="宋体" w:cs="宋体"/>
          <w:color w:val="auto"/>
          <w:highlight w:val="none"/>
        </w:rPr>
        <w:t>外舾装</w:t>
      </w:r>
      <w:r>
        <w:rPr>
          <w:rFonts w:hint="eastAsia" w:ascii="宋体" w:hAnsi="宋体" w:eastAsia="宋体" w:cs="宋体"/>
          <w:color w:val="auto"/>
          <w:highlight w:val="none"/>
        </w:rPr>
        <w:tab/>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PAGEREF _Toc12101 \h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12</w:t>
      </w:r>
      <w:r>
        <w:rPr>
          <w:rFonts w:hint="eastAsia" w:ascii="宋体" w:hAnsi="宋体" w:eastAsia="宋体" w:cs="宋体"/>
          <w:color w:val="auto"/>
          <w:highlight w:val="none"/>
        </w:rPr>
        <w:fldChar w:fldCharType="end"/>
      </w:r>
      <w:r>
        <w:rPr>
          <w:rFonts w:hint="eastAsia" w:ascii="宋体" w:hAnsi="宋体" w:eastAsia="宋体" w:cs="宋体"/>
          <w:color w:val="auto"/>
          <w:highlight w:val="none"/>
          <w:lang w:eastAsia="zh-CN"/>
        </w:rPr>
        <w:fldChar w:fldCharType="end"/>
      </w:r>
    </w:p>
    <w:p w14:paraId="50ED8C6E">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_Toc16385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11.1 码头系泊设备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_Toc16385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12</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7935093E">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_Toc17622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11.2 防碰及护舷设备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_Toc17622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12</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26A3F7EE">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_Toc15979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11.3 </w:t>
      </w:r>
      <w:r>
        <w:rPr>
          <w:rFonts w:hint="eastAsia" w:ascii="宋体" w:hAnsi="宋体" w:eastAsia="宋体" w:cs="宋体"/>
          <w:szCs w:val="21"/>
          <w:lang w:val="en-US" w:eastAsia="zh-CN"/>
        </w:rPr>
        <w:t>永久检验</w:t>
      </w:r>
      <w:r>
        <w:rPr>
          <w:rFonts w:hint="eastAsia" w:ascii="宋体" w:hAnsi="宋体" w:eastAsia="宋体" w:cs="宋体"/>
          <w:szCs w:val="21"/>
          <w:lang w:eastAsia="zh-CN"/>
        </w:rPr>
        <w:t>通道</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_Toc15979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12</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40C4763A">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_Toc29154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11.4 安全通道</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_Toc29154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12</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D84A3DC">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_Toc5207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12 轮机系统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_Toc5207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12</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27372C90">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_Toc16081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12.1 </w:t>
      </w:r>
      <w:r>
        <w:rPr>
          <w:rFonts w:hint="eastAsia" w:ascii="宋体" w:hAnsi="宋体" w:eastAsia="宋体" w:cs="宋体"/>
          <w:szCs w:val="21"/>
          <w:lang w:val="en-US" w:eastAsia="zh-CN"/>
        </w:rPr>
        <w:t>通用要求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_Toc16081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5883FBD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_Toc24114 </w:instrText>
      </w:r>
      <w:r>
        <w:rPr>
          <w:rFonts w:hint="eastAsia" w:ascii="宋体" w:hAnsi="宋体" w:eastAsia="宋体" w:cs="宋体"/>
          <w:szCs w:val="21"/>
          <w:lang w:eastAsia="zh-CN"/>
        </w:rPr>
        <w:fldChar w:fldCharType="separate"/>
      </w:r>
      <w:r>
        <w:rPr>
          <w:rFonts w:hint="eastAsia" w:ascii="宋体" w:hAnsi="宋体" w:eastAsia="宋体" w:cs="宋体"/>
          <w:szCs w:val="21"/>
          <w:lang w:val="en-US" w:eastAsia="zh-CN"/>
        </w:rPr>
        <w:t>12.2 泵送系统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_Toc24114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57D333F">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_Toc28054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13 </w:t>
      </w:r>
      <w:r>
        <w:rPr>
          <w:rFonts w:hint="eastAsia" w:ascii="宋体" w:hAnsi="宋体" w:eastAsia="宋体" w:cs="宋体"/>
          <w:szCs w:val="21"/>
          <w:lang w:val="en-US" w:eastAsia="zh-CN"/>
        </w:rPr>
        <w:t>油气生产工艺和</w:t>
      </w:r>
      <w:r>
        <w:rPr>
          <w:rFonts w:hint="eastAsia" w:ascii="宋体" w:hAnsi="宋体" w:eastAsia="宋体" w:cs="宋体"/>
          <w:szCs w:val="21"/>
          <w:lang w:eastAsia="zh-CN"/>
        </w:rPr>
        <w:t>储运</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_Toc28054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7BB61650">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_Toc23782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13.1 通用要求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_Toc23782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785EDAC9">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_Toc2704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13.2 油气输入系统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_Toc2704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2DE7FE1C">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_Toc27703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13.3 安全保护装置</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_Toc27703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61C2536">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_Toc12030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13.4 其他安全保护</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_Toc12030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0A24689E">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_Toc30817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13.5 产品及生产物料储存</w:t>
      </w:r>
      <w:r>
        <w:rPr>
          <w:rFonts w:hint="eastAsia" w:ascii="宋体" w:hAnsi="宋体" w:eastAsia="宋体" w:cs="宋体"/>
          <w:szCs w:val="21"/>
          <w:lang w:val="en-US" w:eastAsia="zh-CN"/>
        </w:rPr>
        <w:t>和外输</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_Toc30817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2D755998">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_Toc20637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13.6 保温及伴热</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_Toc20637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5F2DD54A">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_Toc15465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13.7 工艺安全分析</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_Toc15465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AA4E625">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_Toc15547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14 机械设备</w:t>
      </w:r>
      <w:r>
        <w:rPr>
          <w:rFonts w:hint="eastAsia" w:ascii="宋体" w:hAnsi="宋体" w:eastAsia="宋体" w:cs="宋体"/>
          <w:szCs w:val="21"/>
          <w:lang w:val="en-US" w:eastAsia="zh-CN"/>
        </w:rPr>
        <w:t>和</w:t>
      </w:r>
      <w:r>
        <w:rPr>
          <w:rFonts w:hint="eastAsia" w:ascii="宋体" w:hAnsi="宋体" w:eastAsia="宋体" w:cs="宋体"/>
          <w:szCs w:val="21"/>
          <w:lang w:eastAsia="zh-CN"/>
        </w:rPr>
        <w:t>管系</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_Toc15547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DEAC55A">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_Toc9234 </w:instrText>
      </w:r>
      <w:r>
        <w:rPr>
          <w:rFonts w:hint="eastAsia" w:ascii="宋体" w:hAnsi="宋体" w:eastAsia="宋体" w:cs="宋体"/>
          <w:szCs w:val="21"/>
          <w:lang w:eastAsia="zh-CN"/>
        </w:rPr>
        <w:fldChar w:fldCharType="separate"/>
      </w:r>
      <w:r>
        <w:rPr>
          <w:rFonts w:hint="eastAsia" w:ascii="宋体" w:hAnsi="宋体" w:eastAsia="宋体" w:cs="宋体"/>
          <w:szCs w:val="21"/>
          <w:lang w:val="en-US" w:eastAsia="zh-CN"/>
        </w:rPr>
        <w:t>14.1 通用要求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_Toc9234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B06B27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_Toc25500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14.2 </w:t>
      </w:r>
      <w:r>
        <w:rPr>
          <w:rFonts w:hint="eastAsia" w:ascii="宋体" w:hAnsi="宋体" w:eastAsia="宋体" w:cs="宋体"/>
          <w:szCs w:val="21"/>
          <w:lang w:val="en-US" w:eastAsia="zh-CN"/>
        </w:rPr>
        <w:t>机械</w:t>
      </w:r>
      <w:r>
        <w:rPr>
          <w:rFonts w:hint="eastAsia" w:ascii="宋体" w:hAnsi="宋体" w:eastAsia="宋体" w:cs="宋体"/>
          <w:szCs w:val="21"/>
          <w:lang w:eastAsia="zh-CN"/>
        </w:rPr>
        <w:t>设备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_Toc25500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4E92277">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_Toc17764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14.3 设备管系</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_Toc17764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5900B54F">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rPr>
      </w:pP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_Toc1964 </w:instrText>
      </w:r>
      <w:r>
        <w:rPr>
          <w:rFonts w:hint="eastAsia" w:ascii="宋体" w:hAnsi="宋体" w:eastAsia="宋体" w:cs="宋体"/>
          <w:highlight w:val="none"/>
          <w:lang w:eastAsia="zh-CN"/>
        </w:rPr>
        <w:fldChar w:fldCharType="separate"/>
      </w:r>
      <w:r>
        <w:rPr>
          <w:rFonts w:hint="eastAsia" w:ascii="宋体" w:hAnsi="宋体" w:eastAsia="宋体" w:cs="宋体"/>
          <w:i w:val="0"/>
          <w:szCs w:val="21"/>
        </w:rPr>
        <w:t xml:space="preserve">15 </w:t>
      </w:r>
      <w:r>
        <w:rPr>
          <w:rFonts w:hint="eastAsia" w:ascii="宋体" w:hAnsi="宋体" w:eastAsia="宋体" w:cs="宋体"/>
          <w:highlight w:val="none"/>
        </w:rPr>
        <w:t>暖通</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_Toc1964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color w:val="auto"/>
          <w:highlight w:val="none"/>
          <w:lang w:eastAsia="zh-CN"/>
        </w:rPr>
        <w:fldChar w:fldCharType="end"/>
      </w:r>
    </w:p>
    <w:p w14:paraId="5C0499BE">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_Toc22615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15.1 </w:t>
      </w:r>
      <w:r>
        <w:rPr>
          <w:rFonts w:hint="eastAsia" w:ascii="宋体" w:hAnsi="宋体" w:eastAsia="宋体" w:cs="宋体"/>
          <w:szCs w:val="21"/>
          <w:lang w:val="en-US" w:eastAsia="zh-CN"/>
        </w:rPr>
        <w:t>通用要求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_Toc22615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27459178">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_Toc10880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15.2 </w:t>
      </w:r>
      <w:r>
        <w:rPr>
          <w:rFonts w:hint="eastAsia" w:ascii="宋体" w:hAnsi="宋体" w:eastAsia="宋体" w:cs="宋体"/>
          <w:szCs w:val="21"/>
          <w:lang w:val="en-US" w:eastAsia="zh-CN"/>
        </w:rPr>
        <w:t>起居处所</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_Toc10880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9CDA623">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_Toc1919 </w:instrText>
      </w:r>
      <w:r>
        <w:rPr>
          <w:rFonts w:hint="eastAsia" w:ascii="宋体" w:hAnsi="宋体" w:eastAsia="宋体" w:cs="宋体"/>
          <w:szCs w:val="21"/>
          <w:lang w:eastAsia="zh-CN"/>
        </w:rPr>
        <w:fldChar w:fldCharType="separate"/>
      </w:r>
      <w:r>
        <w:rPr>
          <w:rFonts w:hint="eastAsia" w:ascii="宋体" w:hAnsi="宋体" w:eastAsia="宋体" w:cs="宋体"/>
          <w:szCs w:val="21"/>
          <w:lang w:val="en-US" w:eastAsia="zh-CN"/>
        </w:rPr>
        <w:t>15.3 船体舱室</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_Toc1919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71F81FF0">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_Toc22083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15.4 危险</w:t>
      </w:r>
      <w:r>
        <w:rPr>
          <w:rFonts w:hint="eastAsia" w:ascii="宋体" w:hAnsi="宋体" w:eastAsia="宋体" w:cs="宋体"/>
          <w:szCs w:val="21"/>
          <w:lang w:val="en-US" w:eastAsia="zh-CN"/>
        </w:rPr>
        <w:t>处</w:t>
      </w:r>
      <w:r>
        <w:rPr>
          <w:rFonts w:hint="eastAsia" w:ascii="宋体" w:hAnsi="宋体" w:eastAsia="宋体" w:cs="宋体"/>
          <w:szCs w:val="21"/>
          <w:lang w:eastAsia="zh-CN"/>
        </w:rPr>
        <w:t>所</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_Toc22083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E078FB6">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_Toc22562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16 电气</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_Toc22562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21</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3F8D1C55">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_Toc27054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16.1 </w:t>
      </w:r>
      <w:r>
        <w:rPr>
          <w:rFonts w:hint="eastAsia" w:ascii="宋体" w:hAnsi="宋体" w:eastAsia="宋体" w:cs="宋体"/>
          <w:szCs w:val="21"/>
          <w:lang w:val="en-US" w:eastAsia="zh-CN"/>
        </w:rPr>
        <w:t>通用要求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_Toc27054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21</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41EEC7A2">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_Toc6021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16.2 </w:t>
      </w:r>
      <w:r>
        <w:rPr>
          <w:rFonts w:hint="eastAsia" w:ascii="宋体" w:hAnsi="宋体" w:eastAsia="宋体" w:cs="宋体"/>
          <w:szCs w:val="21"/>
          <w:lang w:val="en-US" w:eastAsia="zh-CN"/>
        </w:rPr>
        <w:t>主电源系统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_Toc6021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22</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22962883">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_Toc22044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16.3 应急电源系统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_Toc22044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22</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B59B29A">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_Toc10494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16.4 配电系统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_Toc10494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4B5369C3">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_Toc11759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16.5 照明</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_Toc11759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B88E78F">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_Toc1373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16.6 电伴热设施和电加热设备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_Toc1373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24</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34A08B3">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_Toc28296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16.7 电缆</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_Toc28296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24</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13CE93C">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_Toc13629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16.8 接地、防雷及防干扰措施</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_Toc13629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24</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728B00D">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_Toc7573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16.9 危险</w:t>
      </w:r>
      <w:r>
        <w:rPr>
          <w:rFonts w:hint="eastAsia" w:ascii="宋体" w:hAnsi="宋体" w:eastAsia="宋体" w:cs="宋体"/>
          <w:szCs w:val="21"/>
          <w:lang w:val="en-US" w:eastAsia="zh-CN"/>
        </w:rPr>
        <w:t>场所</w:t>
      </w:r>
      <w:r>
        <w:rPr>
          <w:rFonts w:hint="eastAsia" w:ascii="宋体" w:hAnsi="宋体" w:eastAsia="宋体" w:cs="宋体"/>
          <w:szCs w:val="21"/>
          <w:lang w:eastAsia="zh-CN"/>
        </w:rPr>
        <w:t>内的电气设备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_Toc7573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26</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4B603D6E">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_Toc19384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17 仪表</w:t>
      </w:r>
      <w:r>
        <w:rPr>
          <w:rFonts w:hint="eastAsia" w:ascii="宋体" w:hAnsi="宋体" w:eastAsia="宋体" w:cs="宋体"/>
          <w:color w:val="auto"/>
          <w:highlight w:val="none"/>
          <w:lang w:val="en-US" w:eastAsia="zh-CN"/>
        </w:rPr>
        <w:t>和</w:t>
      </w:r>
      <w:r>
        <w:rPr>
          <w:rFonts w:hint="eastAsia" w:ascii="宋体" w:hAnsi="宋体" w:eastAsia="宋体" w:cs="宋体"/>
          <w:color w:val="auto"/>
          <w:highlight w:val="none"/>
          <w:lang w:eastAsia="zh-CN"/>
        </w:rPr>
        <w:t>控制</w:t>
      </w:r>
      <w:r>
        <w:rPr>
          <w:rFonts w:hint="eastAsia" w:ascii="宋体" w:hAnsi="宋体" w:eastAsia="宋体" w:cs="宋体"/>
          <w:color w:val="auto"/>
          <w:highlight w:val="none"/>
          <w:lang w:val="en-US" w:eastAsia="zh-CN"/>
        </w:rPr>
        <w:t>系统</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_Toc19384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26</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19B30435">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_Toc22912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17.1 通用要求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_Toc22912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26</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D4DA76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_Toc2368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17.2 仪表</w:t>
      </w:r>
      <w:r>
        <w:rPr>
          <w:rFonts w:hint="eastAsia" w:ascii="宋体" w:hAnsi="宋体" w:eastAsia="宋体" w:cs="宋体"/>
          <w:szCs w:val="21"/>
          <w:lang w:val="en-US" w:eastAsia="zh-CN"/>
        </w:rPr>
        <w:t>和</w:t>
      </w:r>
      <w:r>
        <w:rPr>
          <w:rFonts w:hint="eastAsia" w:ascii="宋体" w:hAnsi="宋体" w:eastAsia="宋体" w:cs="宋体"/>
          <w:szCs w:val="21"/>
          <w:lang w:eastAsia="zh-CN"/>
        </w:rPr>
        <w:t>控制系统设置</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_Toc2368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26</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6C167FA">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_Toc26155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17.3 报警</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_Toc26155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26</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C8DA693">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_Toc25753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17.4 应急关断系统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_Toc25753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4B29067D">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_Toc3796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17.5 火灾与可燃、有毒气体探测报警系统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_Toc3796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28</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AB93BEB">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_Toc14639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17.6 控制系统试验要求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_Toc14639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B473943">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_Toc4840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17.7 电源</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_Toc4840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0D5F1DFC">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_Toc12639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17.8 接地</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_Toc12639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7D096A02">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_Toc15397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18 防火</w:t>
      </w:r>
      <w:r>
        <w:rPr>
          <w:rFonts w:hint="eastAsia" w:ascii="宋体" w:hAnsi="宋体" w:eastAsia="宋体" w:cs="宋体"/>
          <w:color w:val="auto"/>
          <w:highlight w:val="none"/>
          <w:lang w:val="en-US" w:eastAsia="zh-CN"/>
        </w:rPr>
        <w:t>系统</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_Toc15397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29</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2D4DBE9D">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_Toc25766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18.1 防火分隔</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_Toc25766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508F747C">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_Toc3992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18.2 结构防火</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_Toc3992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5A16C2F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_Toc30128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18.3 水消防灭火系统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_Toc30128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31</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367E1F3">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_Toc20528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18.4 固定甲板泡沫灭火系统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_Toc20528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FB04A18">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_Toc11632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18.5 气体灭火系统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_Toc11632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4356B0C">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_Toc729 </w:instrText>
      </w:r>
      <w:r>
        <w:rPr>
          <w:rFonts w:hint="eastAsia" w:ascii="宋体" w:hAnsi="宋体" w:eastAsia="宋体" w:cs="宋体"/>
          <w:szCs w:val="21"/>
          <w:lang w:eastAsia="zh-CN"/>
        </w:rPr>
        <w:fldChar w:fldCharType="separate"/>
      </w:r>
      <w:r>
        <w:rPr>
          <w:rFonts w:hint="eastAsia" w:ascii="宋体" w:hAnsi="宋体" w:eastAsia="宋体" w:cs="宋体"/>
          <w:szCs w:val="21"/>
          <w:lang w:val="en-US" w:eastAsia="zh-CN"/>
        </w:rPr>
        <w:t xml:space="preserve">18.6 </w:t>
      </w:r>
      <w:r>
        <w:rPr>
          <w:rFonts w:hint="eastAsia" w:ascii="宋体" w:hAnsi="宋体" w:eastAsia="宋体" w:cs="宋体"/>
          <w:szCs w:val="21"/>
          <w:lang w:eastAsia="zh-CN"/>
        </w:rPr>
        <w:t>细水雾灭火系统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_Toc729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33</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078BE6B">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_Toc3284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18.7 直升机甲板消防灭火系统</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_Toc3284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34</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BC7CFD9">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_Toc23614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18.8 灭火器</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_Toc23614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34</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3AA420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_Toc5404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18.9 消防员装备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_Toc5404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34</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CAD255B">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_Toc16946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19 救生和逃生系统</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_Toc16946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35</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50D68F9E">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_Toc27084 </w:instrText>
      </w:r>
      <w:r>
        <w:rPr>
          <w:rFonts w:hint="eastAsia" w:ascii="宋体" w:hAnsi="宋体" w:eastAsia="宋体" w:cs="宋体"/>
          <w:szCs w:val="21"/>
          <w:lang w:eastAsia="zh-CN"/>
        </w:rPr>
        <w:fldChar w:fldCharType="separate"/>
      </w:r>
      <w:r>
        <w:rPr>
          <w:rFonts w:hint="eastAsia" w:ascii="宋体" w:hAnsi="宋体" w:eastAsia="宋体" w:cs="宋体"/>
          <w:szCs w:val="21"/>
        </w:rPr>
        <w:t>19.1 救生艇筏</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_Toc27084 \h </w:instrText>
      </w:r>
      <w:r>
        <w:rPr>
          <w:rFonts w:hint="eastAsia" w:ascii="宋体" w:hAnsi="宋体" w:eastAsia="宋体" w:cs="宋体"/>
          <w:szCs w:val="21"/>
        </w:rPr>
        <w:fldChar w:fldCharType="separate"/>
      </w:r>
      <w:r>
        <w:rPr>
          <w:rFonts w:hint="eastAsia" w:ascii="宋体" w:hAnsi="宋体" w:eastAsia="宋体" w:cs="宋体"/>
          <w:szCs w:val="21"/>
        </w:rPr>
        <w:t>35</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03C34C85">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_Toc11880 </w:instrText>
      </w:r>
      <w:r>
        <w:rPr>
          <w:rFonts w:hint="eastAsia" w:ascii="宋体" w:hAnsi="宋体" w:eastAsia="宋体" w:cs="宋体"/>
          <w:szCs w:val="21"/>
          <w:lang w:eastAsia="zh-CN"/>
        </w:rPr>
        <w:fldChar w:fldCharType="separate"/>
      </w:r>
      <w:r>
        <w:rPr>
          <w:rFonts w:hint="eastAsia" w:ascii="宋体" w:hAnsi="宋体" w:eastAsia="宋体" w:cs="宋体"/>
          <w:szCs w:val="21"/>
        </w:rPr>
        <w:t>19.2 救助艇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_Toc11880 \h </w:instrText>
      </w:r>
      <w:r>
        <w:rPr>
          <w:rFonts w:hint="eastAsia" w:ascii="宋体" w:hAnsi="宋体" w:eastAsia="宋体" w:cs="宋体"/>
          <w:szCs w:val="21"/>
        </w:rPr>
        <w:fldChar w:fldCharType="separate"/>
      </w:r>
      <w:r>
        <w:rPr>
          <w:rFonts w:hint="eastAsia" w:ascii="宋体" w:hAnsi="宋体" w:eastAsia="宋体" w:cs="宋体"/>
          <w:szCs w:val="21"/>
        </w:rPr>
        <w:t>35</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6F8D554F">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_Toc17601 </w:instrText>
      </w:r>
      <w:r>
        <w:rPr>
          <w:rFonts w:hint="eastAsia" w:ascii="宋体" w:hAnsi="宋体" w:eastAsia="宋体" w:cs="宋体"/>
          <w:szCs w:val="21"/>
          <w:lang w:eastAsia="zh-CN"/>
        </w:rPr>
        <w:fldChar w:fldCharType="separate"/>
      </w:r>
      <w:r>
        <w:rPr>
          <w:rFonts w:hint="eastAsia" w:ascii="宋体" w:hAnsi="宋体" w:eastAsia="宋体" w:cs="宋体"/>
          <w:szCs w:val="21"/>
        </w:rPr>
        <w:t>19.3 个人救生设备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_Toc17601 \h </w:instrText>
      </w:r>
      <w:r>
        <w:rPr>
          <w:rFonts w:hint="eastAsia" w:ascii="宋体" w:hAnsi="宋体" w:eastAsia="宋体" w:cs="宋体"/>
          <w:szCs w:val="21"/>
        </w:rPr>
        <w:fldChar w:fldCharType="separate"/>
      </w:r>
      <w:r>
        <w:rPr>
          <w:rFonts w:hint="eastAsia" w:ascii="宋体" w:hAnsi="宋体" w:eastAsia="宋体" w:cs="宋体"/>
          <w:szCs w:val="21"/>
        </w:rPr>
        <w:t>35</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73B54182">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_Toc6956 </w:instrText>
      </w:r>
      <w:r>
        <w:rPr>
          <w:rFonts w:hint="eastAsia" w:ascii="宋体" w:hAnsi="宋体" w:eastAsia="宋体" w:cs="宋体"/>
          <w:szCs w:val="21"/>
          <w:lang w:eastAsia="zh-CN"/>
        </w:rPr>
        <w:fldChar w:fldCharType="separate"/>
      </w:r>
      <w:r>
        <w:rPr>
          <w:rFonts w:hint="eastAsia" w:ascii="宋体" w:hAnsi="宋体" w:eastAsia="宋体" w:cs="宋体"/>
          <w:szCs w:val="21"/>
        </w:rPr>
        <w:t>19.4 遇险信号</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_Toc6956 \h </w:instrText>
      </w:r>
      <w:r>
        <w:rPr>
          <w:rFonts w:hint="eastAsia" w:ascii="宋体" w:hAnsi="宋体" w:eastAsia="宋体" w:cs="宋体"/>
          <w:szCs w:val="21"/>
        </w:rPr>
        <w:fldChar w:fldCharType="separate"/>
      </w:r>
      <w:r>
        <w:rPr>
          <w:rFonts w:hint="eastAsia" w:ascii="宋体" w:hAnsi="宋体" w:eastAsia="宋体" w:cs="宋体"/>
          <w:szCs w:val="21"/>
        </w:rPr>
        <w:t>36</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54A5C3CC">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_Toc25833 </w:instrText>
      </w:r>
      <w:r>
        <w:rPr>
          <w:rFonts w:hint="eastAsia" w:ascii="宋体" w:hAnsi="宋体" w:eastAsia="宋体" w:cs="宋体"/>
          <w:szCs w:val="21"/>
          <w:lang w:eastAsia="zh-CN"/>
        </w:rPr>
        <w:fldChar w:fldCharType="separate"/>
      </w:r>
      <w:r>
        <w:rPr>
          <w:rFonts w:hint="eastAsia" w:ascii="宋体" w:hAnsi="宋体" w:eastAsia="宋体" w:cs="宋体"/>
          <w:szCs w:val="21"/>
        </w:rPr>
        <w:t>19.5 人员防护</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_Toc25833 \h </w:instrText>
      </w:r>
      <w:r>
        <w:rPr>
          <w:rFonts w:hint="eastAsia" w:ascii="宋体" w:hAnsi="宋体" w:eastAsia="宋体" w:cs="宋体"/>
          <w:szCs w:val="21"/>
        </w:rPr>
        <w:fldChar w:fldCharType="separate"/>
      </w:r>
      <w:r>
        <w:rPr>
          <w:rFonts w:hint="eastAsia" w:ascii="宋体" w:hAnsi="宋体" w:eastAsia="宋体" w:cs="宋体"/>
          <w:szCs w:val="21"/>
        </w:rPr>
        <w:t>36</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21ED1174">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_Toc17208 </w:instrText>
      </w:r>
      <w:r>
        <w:rPr>
          <w:rFonts w:hint="eastAsia" w:ascii="宋体" w:hAnsi="宋体" w:eastAsia="宋体" w:cs="宋体"/>
          <w:szCs w:val="21"/>
          <w:lang w:eastAsia="zh-CN"/>
        </w:rPr>
        <w:fldChar w:fldCharType="separate"/>
      </w:r>
      <w:r>
        <w:rPr>
          <w:rFonts w:hint="eastAsia" w:ascii="宋体" w:hAnsi="宋体" w:eastAsia="宋体" w:cs="宋体"/>
          <w:szCs w:val="21"/>
        </w:rPr>
        <w:t>19.6 无线电救生设备</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_Toc17208 \h </w:instrText>
      </w:r>
      <w:r>
        <w:rPr>
          <w:rFonts w:hint="eastAsia" w:ascii="宋体" w:hAnsi="宋体" w:eastAsia="宋体" w:cs="宋体"/>
          <w:szCs w:val="21"/>
        </w:rPr>
        <w:fldChar w:fldCharType="separate"/>
      </w:r>
      <w:r>
        <w:rPr>
          <w:rFonts w:hint="eastAsia" w:ascii="宋体" w:hAnsi="宋体" w:eastAsia="宋体" w:cs="宋体"/>
          <w:szCs w:val="21"/>
        </w:rPr>
        <w:t>36</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1B2D4ED2">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_Toc18216 </w:instrText>
      </w:r>
      <w:r>
        <w:rPr>
          <w:rFonts w:hint="eastAsia" w:ascii="宋体" w:hAnsi="宋体" w:eastAsia="宋体" w:cs="宋体"/>
          <w:szCs w:val="21"/>
          <w:lang w:eastAsia="zh-CN"/>
        </w:rPr>
        <w:fldChar w:fldCharType="separate"/>
      </w:r>
      <w:r>
        <w:rPr>
          <w:rFonts w:hint="eastAsia" w:ascii="宋体" w:hAnsi="宋体" w:eastAsia="宋体" w:cs="宋体"/>
          <w:szCs w:val="21"/>
        </w:rPr>
        <w:t>19.7 逃生通道</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_Toc18216 \h </w:instrText>
      </w:r>
      <w:r>
        <w:rPr>
          <w:rFonts w:hint="eastAsia" w:ascii="宋体" w:hAnsi="宋体" w:eastAsia="宋体" w:cs="宋体"/>
          <w:szCs w:val="21"/>
        </w:rPr>
        <w:fldChar w:fldCharType="separate"/>
      </w:r>
      <w:r>
        <w:rPr>
          <w:rFonts w:hint="eastAsia" w:ascii="宋体" w:hAnsi="宋体" w:eastAsia="宋体" w:cs="宋体"/>
          <w:szCs w:val="21"/>
        </w:rPr>
        <w:t>36</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666D68C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_Toc10860 </w:instrText>
      </w:r>
      <w:r>
        <w:rPr>
          <w:rFonts w:hint="eastAsia" w:ascii="宋体" w:hAnsi="宋体" w:eastAsia="宋体" w:cs="宋体"/>
          <w:szCs w:val="21"/>
          <w:lang w:eastAsia="zh-CN"/>
        </w:rPr>
        <w:fldChar w:fldCharType="separate"/>
      </w:r>
      <w:r>
        <w:rPr>
          <w:rFonts w:hint="eastAsia" w:ascii="宋体" w:hAnsi="宋体" w:eastAsia="宋体" w:cs="宋体"/>
          <w:szCs w:val="21"/>
        </w:rPr>
        <w:t>19.8 登艇集合区</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_Toc10860 \h </w:instrText>
      </w:r>
      <w:r>
        <w:rPr>
          <w:rFonts w:hint="eastAsia" w:ascii="宋体" w:hAnsi="宋体" w:eastAsia="宋体" w:cs="宋体"/>
          <w:szCs w:val="21"/>
        </w:rPr>
        <w:fldChar w:fldCharType="separate"/>
      </w:r>
      <w:r>
        <w:rPr>
          <w:rFonts w:hint="eastAsia" w:ascii="宋体" w:hAnsi="宋体" w:eastAsia="宋体" w:cs="宋体"/>
          <w:szCs w:val="21"/>
        </w:rPr>
        <w:t>37</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07048519">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_Toc4183 </w:instrText>
      </w:r>
      <w:r>
        <w:rPr>
          <w:rFonts w:hint="eastAsia" w:ascii="宋体" w:hAnsi="宋体" w:eastAsia="宋体" w:cs="宋体"/>
          <w:szCs w:val="21"/>
          <w:lang w:eastAsia="zh-CN"/>
        </w:rPr>
        <w:fldChar w:fldCharType="separate"/>
      </w:r>
      <w:r>
        <w:rPr>
          <w:rFonts w:hint="eastAsia" w:ascii="宋体" w:hAnsi="宋体" w:eastAsia="宋体" w:cs="宋体"/>
          <w:szCs w:val="21"/>
        </w:rPr>
        <w:t>19.9 临时避难所</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_Toc4183 \h </w:instrText>
      </w:r>
      <w:r>
        <w:rPr>
          <w:rFonts w:hint="eastAsia" w:ascii="宋体" w:hAnsi="宋体" w:eastAsia="宋体" w:cs="宋体"/>
          <w:szCs w:val="21"/>
        </w:rPr>
        <w:fldChar w:fldCharType="separate"/>
      </w:r>
      <w:r>
        <w:rPr>
          <w:rFonts w:hint="eastAsia" w:ascii="宋体" w:hAnsi="宋体" w:eastAsia="宋体" w:cs="宋体"/>
          <w:szCs w:val="21"/>
        </w:rPr>
        <w:t>37</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2139D378">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_Toc22685 </w:instrText>
      </w:r>
      <w:r>
        <w:rPr>
          <w:rFonts w:hint="eastAsia" w:ascii="宋体" w:hAnsi="宋体" w:eastAsia="宋体" w:cs="宋体"/>
          <w:szCs w:val="21"/>
          <w:lang w:eastAsia="zh-CN"/>
        </w:rPr>
        <w:fldChar w:fldCharType="separate"/>
      </w:r>
      <w:r>
        <w:rPr>
          <w:rFonts w:hint="eastAsia" w:ascii="宋体" w:hAnsi="宋体" w:eastAsia="宋体" w:cs="宋体"/>
          <w:szCs w:val="21"/>
        </w:rPr>
        <w:t>19.10 其他</w:t>
      </w:r>
      <w:r>
        <w:rPr>
          <w:rFonts w:hint="eastAsia" w:ascii="宋体" w:hAnsi="宋体" w:eastAsia="宋体" w:cs="宋体"/>
          <w:szCs w:val="21"/>
        </w:rPr>
        <w:tab/>
      </w:r>
      <w:r>
        <w:rPr>
          <w:rFonts w:hint="eastAsia" w:ascii="宋体" w:hAnsi="宋体" w:eastAsia="宋体" w:cs="宋体"/>
          <w:szCs w:val="21"/>
        </w:rPr>
        <w:fldChar w:fldCharType="begin"/>
      </w:r>
      <w:r>
        <w:rPr>
          <w:rFonts w:hint="eastAsia" w:ascii="宋体" w:hAnsi="宋体" w:eastAsia="宋体" w:cs="宋体"/>
          <w:szCs w:val="21"/>
        </w:rPr>
        <w:instrText xml:space="preserve"> PAGEREF _Toc22685 \h </w:instrText>
      </w:r>
      <w:r>
        <w:rPr>
          <w:rFonts w:hint="eastAsia" w:ascii="宋体" w:hAnsi="宋体" w:eastAsia="宋体" w:cs="宋体"/>
          <w:szCs w:val="21"/>
        </w:rPr>
        <w:fldChar w:fldCharType="separate"/>
      </w:r>
      <w:r>
        <w:rPr>
          <w:rFonts w:hint="eastAsia" w:ascii="宋体" w:hAnsi="宋体" w:eastAsia="宋体" w:cs="宋体"/>
          <w:szCs w:val="21"/>
        </w:rPr>
        <w:t>37</w:t>
      </w:r>
      <w:r>
        <w:rPr>
          <w:rFonts w:hint="eastAsia" w:ascii="宋体" w:hAnsi="宋体" w:eastAsia="宋体" w:cs="宋体"/>
          <w:szCs w:val="21"/>
        </w:rPr>
        <w:fldChar w:fldCharType="end"/>
      </w:r>
      <w:r>
        <w:rPr>
          <w:rFonts w:hint="eastAsia" w:ascii="宋体" w:hAnsi="宋体" w:eastAsia="宋体" w:cs="宋体"/>
          <w:szCs w:val="21"/>
          <w:lang w:eastAsia="zh-CN"/>
        </w:rPr>
        <w:fldChar w:fldCharType="end"/>
      </w:r>
    </w:p>
    <w:p w14:paraId="0FEAD944">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_Toc22056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20 助航标志</w:t>
      </w:r>
      <w:r>
        <w:rPr>
          <w:rFonts w:hint="eastAsia" w:ascii="宋体" w:hAnsi="宋体" w:eastAsia="宋体" w:cs="宋体"/>
          <w:color w:val="auto"/>
          <w:highlight w:val="none"/>
          <w:lang w:val="en-US" w:eastAsia="zh-CN"/>
        </w:rPr>
        <w:t>和</w:t>
      </w:r>
      <w:r>
        <w:rPr>
          <w:rFonts w:hint="eastAsia" w:ascii="宋体" w:hAnsi="宋体" w:eastAsia="宋体" w:cs="宋体"/>
          <w:color w:val="auto"/>
          <w:highlight w:val="none"/>
          <w:lang w:eastAsia="zh-CN"/>
        </w:rPr>
        <w:t>信号</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_Toc22056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37</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0BAF1B93">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_Toc343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20.1 </w:t>
      </w:r>
      <w:r>
        <w:rPr>
          <w:rFonts w:hint="eastAsia" w:ascii="宋体" w:hAnsi="宋体" w:eastAsia="宋体" w:cs="宋体"/>
          <w:szCs w:val="21"/>
          <w:lang w:val="en-US" w:eastAsia="zh-CN"/>
        </w:rPr>
        <w:t>一般要求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_Toc343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3EE0D16">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_Toc12852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20.2 信号设备的配备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_Toc12852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37</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57D1E4CD">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_Toc30280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20.3 技术要求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_Toc30280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38</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7CCEB14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_Toc8290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20.4 危险区内的设备要求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_Toc8290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069B6BC">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_Toc16762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21 通信</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_Toc16762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39</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7374E58D">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_Toc21256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21.1 通信设备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_Toc21256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39</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5912EA6">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_Toc24187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21.2 安全技术要求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_Toc24187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A52AF39">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_Toc7535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21.3 危险区的无线电通信设备</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_Toc7535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BBD1440">
      <w:pPr>
        <w:pStyle w:val="62"/>
        <w:keepNext w:val="0"/>
        <w:keepLines w:val="0"/>
        <w:pageBreakBefore w:val="0"/>
        <w:widowControl w:val="0"/>
        <w:tabs>
          <w:tab w:val="right" w:leader="dot" w:pos="9344"/>
        </w:tabs>
        <w:kinsoku/>
        <w:wordWrap/>
        <w:overflowPunct/>
        <w:topLinePunct w:val="0"/>
        <w:autoSpaceDE/>
        <w:autoSpaceDN/>
        <w:bidi w:val="0"/>
        <w:adjustRightInd w:val="0"/>
        <w:snapToGrid/>
        <w:spacing w:before="0" w:beforeLines="-2147483648" w:after="0" w:afterLines="-2147483648" w:line="400" w:lineRule="exact"/>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_Toc15773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22 操作安全要求</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_Toc15773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40</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3BFE9E96">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_Toc10784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 xml:space="preserve">22.1 </w:t>
      </w:r>
      <w:r>
        <w:rPr>
          <w:rFonts w:hint="eastAsia" w:ascii="宋体" w:hAnsi="宋体" w:eastAsia="宋体" w:cs="宋体"/>
          <w:szCs w:val="21"/>
          <w:lang w:val="en-US" w:eastAsia="zh-CN"/>
        </w:rPr>
        <w:t>一般要求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_Toc10784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3F489E26">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_Toc4317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22.2 操作手册</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_Toc4317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40</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7B78968A">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_Toc23943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22.3 装载手册</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_Toc23943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41</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24D9BE36">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_Toc9180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22.4 外输作业</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_Toc9180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41</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D86763D">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_Toc32532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22.5 水下作业</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_Toc32532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41</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02043E81">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_Toc16764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22.6 弃置/处置安全要求</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_Toc16764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42</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7C5A000">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_Toc14416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 xml:space="preserve">23 </w:t>
      </w:r>
      <w:r>
        <w:rPr>
          <w:rFonts w:hint="eastAsia" w:ascii="宋体" w:hAnsi="宋体" w:eastAsia="宋体" w:cs="宋体"/>
          <w:color w:val="auto"/>
          <w:highlight w:val="none"/>
          <w:lang w:val="en-US" w:eastAsia="zh-CN"/>
        </w:rPr>
        <w:t>设计文件的编写和审核</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_Toc14416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42</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2227417D">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_Toc25542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en-US" w:eastAsia="zh-CN"/>
        </w:rPr>
        <w:t>附录A</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_Toc6180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val="en-US" w:eastAsia="zh-CN"/>
        </w:rPr>
        <w:t>（规范性）</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begin"/>
      </w:r>
      <w:r>
        <w:rPr>
          <w:rFonts w:hint="eastAsia" w:ascii="宋体" w:hAnsi="宋体" w:eastAsia="宋体" w:cs="宋体"/>
          <w:highlight w:val="none"/>
          <w:lang w:eastAsia="zh-CN"/>
        </w:rPr>
        <w:instrText xml:space="preserve"> HYPERLINK \l _Toc22205 </w:instrText>
      </w:r>
      <w:r>
        <w:rPr>
          <w:rFonts w:hint="eastAsia" w:ascii="宋体" w:hAnsi="宋体" w:eastAsia="宋体" w:cs="宋体"/>
          <w:highlight w:val="none"/>
          <w:lang w:eastAsia="zh-CN"/>
        </w:rPr>
        <w:fldChar w:fldCharType="separate"/>
      </w:r>
      <w:r>
        <w:rPr>
          <w:rFonts w:hint="eastAsia" w:ascii="宋体" w:hAnsi="宋体" w:eastAsia="宋体" w:cs="宋体"/>
          <w:highlight w:val="none"/>
          <w:lang w:val="en-US" w:eastAsia="zh-CN"/>
        </w:rPr>
        <w:t>分隔相邻处所的隔壁和甲板的耐火完整性等级</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_Toc22205 \h </w:instrText>
      </w:r>
      <w:r>
        <w:rPr>
          <w:rFonts w:hint="eastAsia" w:ascii="宋体" w:hAnsi="宋体" w:eastAsia="宋体" w:cs="宋体"/>
        </w:rPr>
        <w:fldChar w:fldCharType="separate"/>
      </w:r>
      <w:r>
        <w:rPr>
          <w:rFonts w:hint="eastAsia" w:ascii="宋体" w:hAnsi="宋体" w:eastAsia="宋体" w:cs="宋体"/>
        </w:rPr>
        <w:t>44</w:t>
      </w:r>
      <w:r>
        <w:rPr>
          <w:rFonts w:hint="eastAsia" w:ascii="宋体" w:hAnsi="宋体" w:eastAsia="宋体" w:cs="宋体"/>
        </w:rPr>
        <w:fldChar w:fldCharType="end"/>
      </w:r>
      <w:r>
        <w:rPr>
          <w:rFonts w:hint="eastAsia" w:ascii="宋体" w:hAnsi="宋体" w:eastAsia="宋体" w:cs="宋体"/>
          <w:color w:val="auto"/>
          <w:highlight w:val="none"/>
          <w:lang w:eastAsia="zh-CN"/>
        </w:rPr>
        <w:fldChar w:fldCharType="end"/>
      </w:r>
    </w:p>
    <w:p w14:paraId="3700F61E">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szCs w:val="21"/>
          <w:lang w:eastAsia="zh-CN"/>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_Toc18443 </w:instrText>
      </w:r>
      <w:r>
        <w:rPr>
          <w:rFonts w:hint="eastAsia" w:ascii="宋体" w:hAnsi="宋体" w:eastAsia="宋体" w:cs="宋体"/>
          <w:szCs w:val="21"/>
          <w:lang w:eastAsia="zh-CN"/>
        </w:rPr>
        <w:fldChar w:fldCharType="separate"/>
      </w:r>
      <w:r>
        <w:rPr>
          <w:rFonts w:hint="eastAsia" w:ascii="宋体" w:hAnsi="宋体" w:eastAsia="宋体" w:cs="宋体"/>
          <w:szCs w:val="21"/>
          <w:lang w:val="en-US" w:eastAsia="zh-CN"/>
        </w:rPr>
        <w:t>表</w:t>
      </w:r>
      <w:r>
        <w:rPr>
          <w:rFonts w:hint="eastAsia" w:ascii="宋体" w:hAnsi="宋体" w:eastAsia="宋体" w:cs="宋体"/>
          <w:szCs w:val="21"/>
          <w:lang w:eastAsia="zh-CN"/>
        </w:rPr>
        <w:t xml:space="preserve">A.1 </w:t>
      </w:r>
      <w:r>
        <w:rPr>
          <w:rFonts w:hint="eastAsia" w:ascii="宋体" w:hAnsi="宋体" w:eastAsia="宋体" w:cs="宋体"/>
          <w:szCs w:val="21"/>
          <w:lang w:val="en-US" w:eastAsia="zh-CN"/>
        </w:rPr>
        <w:t>分隔相邻处所隔壁的耐火完整性等级</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_Toc18443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44</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6E953537">
      <w:pPr>
        <w:pStyle w:val="2"/>
        <w:keepNext w:val="0"/>
        <w:keepLines w:val="0"/>
        <w:pageBreakBefore w:val="0"/>
        <w:widowControl w:val="0"/>
        <w:tabs>
          <w:tab w:val="right" w:leader="dot" w:pos="9344"/>
        </w:tabs>
        <w:kinsoku/>
        <w:wordWrap/>
        <w:overflowPunct/>
        <w:topLinePunct w:val="0"/>
        <w:autoSpaceDE/>
        <w:autoSpaceDN/>
        <w:bidi w:val="0"/>
        <w:adjustRightInd w:val="0"/>
        <w:snapToGrid/>
        <w:spacing w:line="300" w:lineRule="exact"/>
        <w:ind w:left="210"/>
        <w:jc w:val="both"/>
        <w:textAlignment w:val="auto"/>
        <w:rPr>
          <w:rFonts w:hint="eastAsia" w:ascii="宋体" w:hAnsi="宋体" w:eastAsia="宋体" w:cs="宋体"/>
        </w:rPr>
      </w:pP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HYPERLINK \l _Toc22747 </w:instrText>
      </w:r>
      <w:r>
        <w:rPr>
          <w:rFonts w:hint="eastAsia" w:ascii="宋体" w:hAnsi="宋体" w:eastAsia="宋体" w:cs="宋体"/>
          <w:szCs w:val="21"/>
          <w:lang w:eastAsia="zh-CN"/>
        </w:rPr>
        <w:fldChar w:fldCharType="separate"/>
      </w:r>
      <w:r>
        <w:rPr>
          <w:rFonts w:hint="eastAsia" w:ascii="宋体" w:hAnsi="宋体" w:eastAsia="宋体" w:cs="宋体"/>
          <w:szCs w:val="21"/>
          <w:lang w:val="en-US" w:eastAsia="zh-CN"/>
        </w:rPr>
        <w:t>表A.2 分隔相邻处所甲板的耐火完整性等级</w:t>
      </w:r>
      <w:r>
        <w:rPr>
          <w:rFonts w:hint="eastAsia" w:ascii="宋体" w:hAnsi="宋体" w:eastAsia="宋体" w:cs="宋体"/>
          <w:szCs w:val="21"/>
          <w:lang w:eastAsia="zh-CN"/>
        </w:rPr>
        <w:tab/>
      </w:r>
      <w:r>
        <w:rPr>
          <w:rFonts w:hint="eastAsia" w:ascii="宋体" w:hAnsi="宋体" w:eastAsia="宋体" w:cs="宋体"/>
          <w:szCs w:val="21"/>
          <w:lang w:eastAsia="zh-CN"/>
        </w:rPr>
        <w:fldChar w:fldCharType="begin"/>
      </w:r>
      <w:r>
        <w:rPr>
          <w:rFonts w:hint="eastAsia" w:ascii="宋体" w:hAnsi="宋体" w:eastAsia="宋体" w:cs="宋体"/>
          <w:szCs w:val="21"/>
          <w:lang w:eastAsia="zh-CN"/>
        </w:rPr>
        <w:instrText xml:space="preserve"> PAGEREF _Toc22747 \h </w:instrText>
      </w:r>
      <w:r>
        <w:rPr>
          <w:rFonts w:hint="eastAsia" w:ascii="宋体" w:hAnsi="宋体" w:eastAsia="宋体" w:cs="宋体"/>
          <w:szCs w:val="21"/>
          <w:lang w:eastAsia="zh-CN"/>
        </w:rPr>
        <w:fldChar w:fldCharType="separate"/>
      </w:r>
      <w:r>
        <w:rPr>
          <w:rFonts w:hint="eastAsia" w:ascii="宋体" w:hAnsi="宋体" w:eastAsia="宋体" w:cs="宋体"/>
          <w:szCs w:val="21"/>
          <w:lang w:eastAsia="zh-CN"/>
        </w:rPr>
        <w:t>45</w:t>
      </w:r>
      <w:r>
        <w:rPr>
          <w:rFonts w:hint="eastAsia" w:ascii="宋体" w:hAnsi="宋体" w:eastAsia="宋体" w:cs="宋体"/>
          <w:szCs w:val="21"/>
          <w:lang w:eastAsia="zh-CN"/>
        </w:rPr>
        <w:fldChar w:fldCharType="end"/>
      </w:r>
      <w:r>
        <w:rPr>
          <w:rFonts w:hint="eastAsia" w:ascii="宋体" w:hAnsi="宋体" w:eastAsia="宋体" w:cs="宋体"/>
          <w:szCs w:val="21"/>
          <w:lang w:eastAsia="zh-CN"/>
        </w:rPr>
        <w:fldChar w:fldCharType="end"/>
      </w:r>
    </w:p>
    <w:p w14:paraId="1ABFB51E">
      <w:pPr>
        <w:pStyle w:val="62"/>
        <w:widowControl w:val="0"/>
        <w:tabs>
          <w:tab w:val="right" w:leader="dot" w:pos="9344"/>
        </w:tabs>
        <w:adjustRightInd w:val="0"/>
        <w:spacing w:before="0" w:beforeLines="-2147483648" w:after="0" w:afterLines="-2147483648" w:line="400" w:lineRule="exact"/>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HYPERLINK \l _Toc577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参  考  文  献</w:t>
      </w:r>
      <w:r>
        <w:rPr>
          <w:rFonts w:hint="eastAsia" w:ascii="宋体" w:hAnsi="宋体" w:eastAsia="宋体" w:cs="宋体"/>
          <w:color w:val="auto"/>
          <w:highlight w:val="none"/>
          <w:lang w:eastAsia="zh-CN"/>
        </w:rPr>
        <w:tab/>
      </w:r>
      <w:r>
        <w:rPr>
          <w:rFonts w:hint="eastAsia" w:ascii="宋体" w:hAnsi="宋体" w:eastAsia="宋体" w:cs="宋体"/>
          <w:color w:val="auto"/>
          <w:highlight w:val="none"/>
          <w:lang w:eastAsia="zh-CN"/>
        </w:rPr>
        <w:fldChar w:fldCharType="begin"/>
      </w:r>
      <w:r>
        <w:rPr>
          <w:rFonts w:hint="eastAsia" w:ascii="宋体" w:hAnsi="宋体" w:eastAsia="宋体" w:cs="宋体"/>
          <w:color w:val="auto"/>
          <w:highlight w:val="none"/>
          <w:lang w:eastAsia="zh-CN"/>
        </w:rPr>
        <w:instrText xml:space="preserve"> PAGEREF _Toc577 \h </w:instrText>
      </w:r>
      <w:r>
        <w:rPr>
          <w:rFonts w:hint="eastAsia" w:ascii="宋体" w:hAnsi="宋体" w:eastAsia="宋体" w:cs="宋体"/>
          <w:color w:val="auto"/>
          <w:highlight w:val="none"/>
          <w:lang w:eastAsia="zh-CN"/>
        </w:rPr>
        <w:fldChar w:fldCharType="separate"/>
      </w:r>
      <w:r>
        <w:rPr>
          <w:rFonts w:hint="eastAsia" w:ascii="宋体" w:hAnsi="宋体" w:eastAsia="宋体" w:cs="宋体"/>
          <w:color w:val="auto"/>
          <w:highlight w:val="none"/>
          <w:lang w:eastAsia="zh-CN"/>
        </w:rPr>
        <w:t>46</w:t>
      </w:r>
      <w:r>
        <w:rPr>
          <w:rFonts w:hint="eastAsia" w:ascii="宋体" w:hAnsi="宋体" w:eastAsia="宋体" w:cs="宋体"/>
          <w:color w:val="auto"/>
          <w:highlight w:val="none"/>
          <w:lang w:eastAsia="zh-CN"/>
        </w:rPr>
        <w:fldChar w:fldCharType="end"/>
      </w:r>
      <w:r>
        <w:rPr>
          <w:rFonts w:hint="eastAsia" w:ascii="宋体" w:hAnsi="宋体" w:eastAsia="宋体" w:cs="宋体"/>
          <w:color w:val="auto"/>
          <w:highlight w:val="none"/>
          <w:lang w:eastAsia="zh-CN"/>
        </w:rPr>
        <w:fldChar w:fldCharType="end"/>
      </w:r>
    </w:p>
    <w:p w14:paraId="4F836BE9">
      <w:pPr>
        <w:pStyle w:val="258"/>
        <w:keepNext w:val="0"/>
        <w:keepLines w:val="0"/>
        <w:pageBreakBefore w:val="0"/>
        <w:kinsoku/>
        <w:wordWrap/>
        <w:overflowPunct/>
        <w:topLinePunct w:val="0"/>
        <w:autoSpaceDE/>
        <w:autoSpaceDN/>
        <w:bidi w:val="0"/>
        <w:snapToGrid/>
        <w:spacing w:line="360" w:lineRule="auto"/>
        <w:textAlignment w:val="auto"/>
        <w:rPr>
          <w:rFonts w:hint="eastAsia" w:ascii="宋体" w:hAnsi="宋体" w:eastAsia="宋体" w:cs="宋体"/>
          <w:b w:val="0"/>
          <w:color w:val="auto"/>
          <w:sz w:val="21"/>
          <w:highlight w:val="none"/>
          <w:lang w:eastAsia="zh-CN"/>
        </w:rPr>
      </w:pPr>
      <w:r>
        <w:rPr>
          <w:rFonts w:hint="eastAsia" w:ascii="宋体" w:hAnsi="宋体" w:eastAsia="宋体" w:cs="宋体"/>
          <w:color w:val="auto"/>
          <w:highlight w:val="none"/>
          <w:lang w:eastAsia="zh-CN"/>
        </w:rPr>
        <w:fldChar w:fldCharType="end"/>
      </w:r>
      <w:r>
        <w:rPr>
          <w:rFonts w:hint="eastAsia" w:ascii="宋体" w:hAnsi="宋体" w:eastAsia="宋体" w:cs="宋体"/>
          <w:b w:val="0"/>
          <w:color w:val="auto"/>
          <w:sz w:val="21"/>
          <w:highlight w:val="none"/>
          <w:lang w:eastAsia="zh-CN"/>
        </w:rPr>
        <w:br w:type="page"/>
      </w:r>
    </w:p>
    <w:bookmarkEnd w:id="4"/>
    <w:p w14:paraId="50C13D8A">
      <w:pPr>
        <w:pStyle w:val="258"/>
        <w:rPr>
          <w:rFonts w:hint="eastAsia"/>
          <w:color w:val="auto"/>
          <w:highlight w:val="none"/>
          <w:lang w:eastAsia="zh-CN"/>
        </w:rPr>
        <w:sectPr>
          <w:headerReference r:id="rId10" w:type="first"/>
          <w:footerReference r:id="rId13" w:type="first"/>
          <w:headerReference r:id="rId9" w:type="default"/>
          <w:footerReference r:id="rId11" w:type="default"/>
          <w:footerReference r:id="rId12" w:type="even"/>
          <w:pgSz w:w="11920" w:h="16840"/>
          <w:pgMar w:top="1928" w:right="1134" w:bottom="1134" w:left="1418" w:header="1418" w:footer="1134" w:gutter="0"/>
          <w:pgBorders>
            <w:top w:val="none" w:sz="0" w:space="0"/>
            <w:left w:val="none" w:sz="0" w:space="0"/>
            <w:bottom w:val="none" w:sz="0" w:space="0"/>
            <w:right w:val="none" w:sz="0" w:space="0"/>
          </w:pgBorders>
          <w:lnNumType w:countBy="0" w:restart="continuous"/>
          <w:pgNumType w:fmt="upperRoman" w:start="1"/>
          <w:cols w:space="720" w:num="1"/>
          <w:rtlGutter w:val="0"/>
          <w:docGrid w:type="lines" w:linePitch="0" w:charSpace="0"/>
        </w:sectPr>
      </w:pPr>
    </w:p>
    <w:p w14:paraId="2A16724F">
      <w:pPr>
        <w:pStyle w:val="256"/>
        <w:rPr>
          <w:rFonts w:hint="default" w:ascii="Times New Roman" w:hAnsi="Times New Roman" w:cs="Times New Roman"/>
          <w:color w:val="auto"/>
          <w:highlight w:val="none"/>
        </w:rPr>
      </w:pPr>
      <w:bookmarkStart w:id="19" w:name="标准前言"/>
      <w:bookmarkEnd w:id="19"/>
      <w:bookmarkStart w:id="20" w:name="_Toc15830"/>
      <w:bookmarkStart w:id="21" w:name="_Toc7339"/>
      <w:bookmarkStart w:id="22" w:name="_Toc14902"/>
      <w:bookmarkStart w:id="23" w:name="_Toc10152"/>
      <w:r>
        <w:rPr>
          <w:rFonts w:hint="default" w:ascii="Times New Roman" w:hAnsi="Times New Roman" w:cs="Times New Roman"/>
          <w:color w:val="auto"/>
          <w:highlight w:val="none"/>
        </w:rPr>
        <w:t>前    言</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20"/>
      <w:bookmarkEnd w:id="21"/>
      <w:bookmarkEnd w:id="22"/>
      <w:bookmarkEnd w:id="23"/>
    </w:p>
    <w:p w14:paraId="50075A96">
      <w:pPr>
        <w:pStyle w:val="258"/>
        <w:ind w:firstLine="420"/>
        <w:rPr>
          <w:rFonts w:hint="eastAsia" w:ascii="宋体" w:hAnsi="宋体" w:eastAsia="宋体" w:cs="宋体"/>
          <w:color w:val="auto"/>
          <w:highlight w:val="none"/>
        </w:rPr>
      </w:pPr>
      <w:r>
        <w:rPr>
          <w:rFonts w:hint="eastAsia" w:ascii="宋体" w:hAnsi="宋体" w:eastAsia="宋体" w:cs="宋体"/>
          <w:color w:val="auto"/>
          <w:highlight w:val="none"/>
        </w:rPr>
        <w:t>本文件按照GB/T 1.1—2020《标准化工作导则  第1部分：标准化文件的结构和起草</w:t>
      </w:r>
      <w:r>
        <w:rPr>
          <w:rFonts w:hint="eastAsia" w:ascii="宋体" w:hAnsi="宋体" w:eastAsia="宋体" w:cs="宋体"/>
          <w:color w:val="auto"/>
          <w:highlight w:val="none"/>
          <w:lang w:val="en-US" w:eastAsia="zh-CN"/>
        </w:rPr>
        <w:t>规则</w:t>
      </w:r>
      <w:r>
        <w:rPr>
          <w:rFonts w:hint="eastAsia" w:ascii="宋体" w:hAnsi="宋体" w:eastAsia="宋体" w:cs="宋体"/>
          <w:color w:val="auto"/>
          <w:highlight w:val="none"/>
        </w:rPr>
        <w:t>》的规定起草。</w:t>
      </w:r>
    </w:p>
    <w:p w14:paraId="4D5B72B5">
      <w:pPr>
        <w:pStyle w:val="521"/>
        <w:ind w:firstLine="420"/>
        <w:rPr>
          <w:rFonts w:hint="eastAsia" w:ascii="宋体" w:hAnsi="宋体" w:eastAsia="宋体" w:cs="宋体"/>
          <w:color w:val="auto"/>
          <w:highlight w:val="none"/>
        </w:rPr>
      </w:pPr>
      <w:r>
        <w:rPr>
          <w:rFonts w:hint="eastAsia" w:ascii="宋体" w:hAnsi="宋体" w:eastAsia="宋体" w:cs="宋体"/>
          <w:color w:val="auto"/>
          <w:highlight w:val="none"/>
        </w:rPr>
        <w:t>请注意本文件的某些内容可能涉及专利。本文件的发布机构不承担识别专利的责任。</w:t>
      </w:r>
    </w:p>
    <w:p w14:paraId="66C7F602">
      <w:pPr>
        <w:ind w:left="425"/>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本文件由中华人民共和国应急管理部提出。</w:t>
      </w:r>
    </w:p>
    <w:p w14:paraId="15D009DD">
      <w:pPr>
        <w:ind w:left="425"/>
        <w:rPr>
          <w:rFonts w:hint="default" w:ascii="Times New Roman" w:hAnsi="Times New Roman" w:eastAsia="宋体" w:cs="Times New Roman"/>
          <w:color w:val="auto"/>
          <w:kern w:val="0"/>
          <w:szCs w:val="20"/>
          <w:highlight w:val="none"/>
        </w:rPr>
      </w:pPr>
      <w:r>
        <w:rPr>
          <w:rFonts w:hint="eastAsia" w:ascii="宋体" w:hAnsi="宋体" w:eastAsia="宋体" w:cs="宋体"/>
          <w:color w:val="auto"/>
          <w:kern w:val="0"/>
          <w:szCs w:val="20"/>
          <w:highlight w:val="none"/>
        </w:rPr>
        <w:t>本文件由全国安全生产标准化技术委员会（TC288）归口。</w:t>
      </w:r>
    </w:p>
    <w:p w14:paraId="1A4E1C57">
      <w:pPr>
        <w:pStyle w:val="2"/>
        <w:rPr>
          <w:rFonts w:hint="eastAsia" w:ascii="宋体" w:hAnsi="宋体" w:eastAsia="宋体" w:cs="宋体"/>
          <w:color w:val="auto"/>
          <w:kern w:val="0"/>
          <w:szCs w:val="20"/>
          <w:highlight w:val="none"/>
        </w:rPr>
      </w:pPr>
    </w:p>
    <w:p w14:paraId="6F6F92FE">
      <w:pPr>
        <w:rPr>
          <w:rFonts w:hint="eastAsia" w:ascii="宋体" w:hAnsi="宋体" w:eastAsia="宋体" w:cs="宋体"/>
          <w:color w:val="auto"/>
          <w:kern w:val="0"/>
          <w:szCs w:val="20"/>
          <w:highlight w:val="none"/>
        </w:rPr>
      </w:pPr>
    </w:p>
    <w:p w14:paraId="1618A5C7">
      <w:pPr>
        <w:pStyle w:val="2"/>
        <w:rPr>
          <w:rFonts w:hint="eastAsia" w:ascii="宋体" w:hAnsi="宋体" w:eastAsia="宋体" w:cs="宋体"/>
          <w:color w:val="auto"/>
          <w:kern w:val="0"/>
          <w:szCs w:val="20"/>
          <w:highlight w:val="none"/>
        </w:rPr>
      </w:pPr>
    </w:p>
    <w:p w14:paraId="411E96D6">
      <w:pPr>
        <w:rPr>
          <w:rFonts w:hint="eastAsia" w:ascii="宋体" w:hAnsi="宋体" w:eastAsia="宋体" w:cs="宋体"/>
          <w:color w:val="auto"/>
          <w:kern w:val="0"/>
          <w:szCs w:val="20"/>
          <w:highlight w:val="none"/>
        </w:rPr>
      </w:pPr>
    </w:p>
    <w:p w14:paraId="6F0AD93E">
      <w:pPr>
        <w:pStyle w:val="2"/>
        <w:rPr>
          <w:rFonts w:hint="eastAsia" w:ascii="宋体" w:hAnsi="宋体" w:eastAsia="宋体" w:cs="宋体"/>
          <w:color w:val="auto"/>
          <w:kern w:val="0"/>
          <w:szCs w:val="20"/>
          <w:highlight w:val="none"/>
        </w:rPr>
      </w:pPr>
    </w:p>
    <w:p w14:paraId="0185B9C7">
      <w:pPr>
        <w:rPr>
          <w:rFonts w:hint="eastAsia" w:ascii="宋体" w:hAnsi="宋体" w:eastAsia="宋体" w:cs="宋体"/>
          <w:color w:val="auto"/>
          <w:kern w:val="0"/>
          <w:szCs w:val="20"/>
          <w:highlight w:val="none"/>
        </w:rPr>
      </w:pPr>
    </w:p>
    <w:p w14:paraId="3B593043">
      <w:pPr>
        <w:pStyle w:val="2"/>
        <w:rPr>
          <w:rFonts w:hint="eastAsia" w:ascii="宋体" w:hAnsi="宋体" w:eastAsia="宋体" w:cs="宋体"/>
          <w:color w:val="auto"/>
          <w:kern w:val="0"/>
          <w:szCs w:val="20"/>
          <w:highlight w:val="none"/>
        </w:rPr>
      </w:pPr>
    </w:p>
    <w:p w14:paraId="461C2EC7">
      <w:pPr>
        <w:rPr>
          <w:rFonts w:hint="eastAsia" w:ascii="宋体" w:hAnsi="宋体" w:eastAsia="宋体" w:cs="宋体"/>
          <w:color w:val="auto"/>
          <w:kern w:val="0"/>
          <w:szCs w:val="20"/>
          <w:highlight w:val="none"/>
        </w:rPr>
      </w:pPr>
    </w:p>
    <w:p w14:paraId="4EE55A2A">
      <w:pPr>
        <w:pStyle w:val="2"/>
        <w:rPr>
          <w:rFonts w:hint="eastAsia" w:ascii="宋体" w:hAnsi="宋体" w:eastAsia="宋体" w:cs="宋体"/>
          <w:color w:val="auto"/>
          <w:kern w:val="0"/>
          <w:szCs w:val="20"/>
          <w:highlight w:val="none"/>
        </w:rPr>
      </w:pPr>
    </w:p>
    <w:p w14:paraId="571C8060">
      <w:pPr>
        <w:rPr>
          <w:rFonts w:hint="eastAsia" w:ascii="宋体" w:hAnsi="宋体" w:eastAsia="宋体" w:cs="宋体"/>
          <w:color w:val="auto"/>
          <w:kern w:val="0"/>
          <w:szCs w:val="20"/>
          <w:highlight w:val="none"/>
        </w:rPr>
      </w:pPr>
    </w:p>
    <w:p w14:paraId="3E4E6AC1">
      <w:pPr>
        <w:pStyle w:val="2"/>
        <w:rPr>
          <w:rFonts w:hint="eastAsia" w:ascii="宋体" w:hAnsi="宋体" w:eastAsia="宋体" w:cs="宋体"/>
          <w:color w:val="auto"/>
          <w:kern w:val="0"/>
          <w:szCs w:val="20"/>
          <w:highlight w:val="none"/>
        </w:rPr>
      </w:pPr>
    </w:p>
    <w:p w14:paraId="1CD93529">
      <w:pPr>
        <w:rPr>
          <w:rFonts w:hint="eastAsia" w:ascii="宋体" w:hAnsi="宋体" w:eastAsia="宋体" w:cs="宋体"/>
          <w:color w:val="auto"/>
          <w:kern w:val="0"/>
          <w:szCs w:val="20"/>
          <w:highlight w:val="none"/>
        </w:rPr>
      </w:pPr>
    </w:p>
    <w:p w14:paraId="50B9AA08">
      <w:pPr>
        <w:pStyle w:val="2"/>
        <w:rPr>
          <w:rFonts w:hint="eastAsia" w:ascii="宋体" w:hAnsi="宋体" w:eastAsia="宋体" w:cs="宋体"/>
          <w:color w:val="auto"/>
          <w:kern w:val="0"/>
          <w:szCs w:val="20"/>
          <w:highlight w:val="none"/>
        </w:rPr>
      </w:pPr>
    </w:p>
    <w:p w14:paraId="7A1A57C3">
      <w:pPr>
        <w:rPr>
          <w:rFonts w:hint="eastAsia" w:ascii="宋体" w:hAnsi="宋体" w:eastAsia="宋体" w:cs="宋体"/>
          <w:color w:val="auto"/>
          <w:kern w:val="0"/>
          <w:szCs w:val="20"/>
          <w:highlight w:val="none"/>
        </w:rPr>
      </w:pPr>
    </w:p>
    <w:p w14:paraId="2FDFD7B3">
      <w:pPr>
        <w:pStyle w:val="2"/>
        <w:rPr>
          <w:rFonts w:hint="eastAsia" w:ascii="宋体" w:hAnsi="宋体" w:eastAsia="宋体" w:cs="宋体"/>
          <w:color w:val="auto"/>
          <w:kern w:val="0"/>
          <w:szCs w:val="20"/>
          <w:highlight w:val="none"/>
        </w:rPr>
      </w:pPr>
    </w:p>
    <w:p w14:paraId="70F23F50">
      <w:pPr>
        <w:rPr>
          <w:rFonts w:hint="eastAsia" w:ascii="宋体" w:hAnsi="宋体" w:eastAsia="宋体" w:cs="宋体"/>
          <w:color w:val="auto"/>
          <w:kern w:val="0"/>
          <w:szCs w:val="20"/>
          <w:highlight w:val="none"/>
        </w:rPr>
      </w:pPr>
    </w:p>
    <w:p w14:paraId="46D71FBB">
      <w:pPr>
        <w:pStyle w:val="2"/>
        <w:rPr>
          <w:rFonts w:hint="eastAsia" w:ascii="宋体" w:hAnsi="宋体" w:eastAsia="宋体" w:cs="宋体"/>
          <w:color w:val="auto"/>
          <w:kern w:val="0"/>
          <w:szCs w:val="20"/>
          <w:highlight w:val="none"/>
        </w:rPr>
      </w:pPr>
    </w:p>
    <w:p w14:paraId="40A25DBB">
      <w:pPr>
        <w:rPr>
          <w:rFonts w:hint="eastAsia" w:ascii="宋体" w:hAnsi="宋体" w:eastAsia="宋体" w:cs="宋体"/>
          <w:color w:val="auto"/>
          <w:kern w:val="0"/>
          <w:szCs w:val="20"/>
          <w:highlight w:val="none"/>
        </w:rPr>
      </w:pPr>
    </w:p>
    <w:p w14:paraId="51FC78BA">
      <w:pPr>
        <w:pStyle w:val="2"/>
        <w:rPr>
          <w:rFonts w:hint="eastAsia" w:ascii="宋体" w:hAnsi="宋体" w:eastAsia="宋体" w:cs="宋体"/>
          <w:color w:val="auto"/>
          <w:kern w:val="0"/>
          <w:szCs w:val="20"/>
          <w:highlight w:val="none"/>
        </w:rPr>
      </w:pPr>
    </w:p>
    <w:p w14:paraId="4DAFEF20">
      <w:pPr>
        <w:rPr>
          <w:rFonts w:hint="eastAsia" w:ascii="宋体" w:hAnsi="宋体" w:eastAsia="宋体" w:cs="宋体"/>
          <w:color w:val="auto"/>
          <w:kern w:val="0"/>
          <w:szCs w:val="20"/>
          <w:highlight w:val="none"/>
        </w:rPr>
      </w:pPr>
    </w:p>
    <w:p w14:paraId="22F15B05">
      <w:pPr>
        <w:pStyle w:val="2"/>
        <w:rPr>
          <w:rFonts w:hint="eastAsia" w:ascii="宋体" w:hAnsi="宋体" w:eastAsia="宋体" w:cs="宋体"/>
          <w:color w:val="auto"/>
          <w:kern w:val="0"/>
          <w:szCs w:val="20"/>
          <w:highlight w:val="none"/>
        </w:rPr>
      </w:pPr>
    </w:p>
    <w:p w14:paraId="043E3530">
      <w:pPr>
        <w:rPr>
          <w:rFonts w:hint="eastAsia" w:ascii="宋体" w:hAnsi="宋体" w:eastAsia="宋体" w:cs="宋体"/>
          <w:color w:val="auto"/>
          <w:kern w:val="0"/>
          <w:szCs w:val="20"/>
          <w:highlight w:val="none"/>
        </w:rPr>
      </w:pPr>
    </w:p>
    <w:p w14:paraId="4AFCA20F">
      <w:pPr>
        <w:pStyle w:val="2"/>
        <w:rPr>
          <w:rFonts w:hint="eastAsia" w:ascii="宋体" w:hAnsi="宋体" w:eastAsia="宋体" w:cs="宋体"/>
          <w:color w:val="auto"/>
          <w:kern w:val="0"/>
          <w:szCs w:val="20"/>
          <w:highlight w:val="none"/>
        </w:rPr>
      </w:pPr>
    </w:p>
    <w:p w14:paraId="3418B30E">
      <w:pPr>
        <w:rPr>
          <w:rFonts w:hint="eastAsia" w:ascii="宋体" w:hAnsi="宋体" w:eastAsia="宋体" w:cs="宋体"/>
          <w:color w:val="auto"/>
          <w:kern w:val="0"/>
          <w:szCs w:val="20"/>
          <w:highlight w:val="none"/>
        </w:rPr>
      </w:pPr>
    </w:p>
    <w:p w14:paraId="0CEA02A6">
      <w:pPr>
        <w:pStyle w:val="2"/>
        <w:rPr>
          <w:rFonts w:hint="eastAsia" w:ascii="宋体" w:hAnsi="宋体" w:eastAsia="宋体" w:cs="宋体"/>
          <w:color w:val="auto"/>
          <w:kern w:val="0"/>
          <w:szCs w:val="20"/>
          <w:highlight w:val="none"/>
        </w:rPr>
      </w:pPr>
    </w:p>
    <w:p w14:paraId="7E7AA07A">
      <w:pPr>
        <w:rPr>
          <w:rFonts w:hint="eastAsia" w:ascii="宋体" w:hAnsi="宋体" w:eastAsia="宋体" w:cs="宋体"/>
          <w:color w:val="auto"/>
          <w:kern w:val="0"/>
          <w:szCs w:val="20"/>
          <w:highlight w:val="none"/>
        </w:rPr>
      </w:pPr>
    </w:p>
    <w:p w14:paraId="62AC1BAC">
      <w:pPr>
        <w:pStyle w:val="2"/>
        <w:rPr>
          <w:rFonts w:hint="eastAsia" w:ascii="宋体" w:hAnsi="宋体" w:eastAsia="宋体" w:cs="宋体"/>
          <w:color w:val="auto"/>
          <w:kern w:val="0"/>
          <w:szCs w:val="20"/>
          <w:highlight w:val="none"/>
        </w:rPr>
      </w:pPr>
    </w:p>
    <w:p w14:paraId="0845217A">
      <w:pPr>
        <w:rPr>
          <w:rFonts w:hint="eastAsia" w:ascii="宋体" w:hAnsi="宋体" w:eastAsia="宋体" w:cs="宋体"/>
          <w:color w:val="auto"/>
          <w:kern w:val="0"/>
          <w:szCs w:val="20"/>
          <w:highlight w:val="none"/>
        </w:rPr>
      </w:pPr>
    </w:p>
    <w:p w14:paraId="7CC980F7">
      <w:pPr>
        <w:pStyle w:val="2"/>
        <w:rPr>
          <w:rFonts w:hint="eastAsia" w:ascii="宋体" w:hAnsi="宋体" w:eastAsia="宋体" w:cs="宋体"/>
          <w:color w:val="auto"/>
          <w:kern w:val="0"/>
          <w:szCs w:val="20"/>
          <w:highlight w:val="none"/>
        </w:rPr>
      </w:pPr>
    </w:p>
    <w:p w14:paraId="3C551849">
      <w:pPr>
        <w:rPr>
          <w:rFonts w:hint="eastAsia" w:ascii="宋体" w:hAnsi="宋体" w:eastAsia="宋体" w:cs="宋体"/>
          <w:color w:val="auto"/>
          <w:kern w:val="0"/>
          <w:szCs w:val="20"/>
          <w:highlight w:val="none"/>
        </w:rPr>
      </w:pPr>
    </w:p>
    <w:p w14:paraId="2326F9F5">
      <w:pPr>
        <w:pStyle w:val="2"/>
        <w:rPr>
          <w:rFonts w:hint="eastAsia" w:ascii="宋体" w:hAnsi="宋体" w:eastAsia="宋体" w:cs="宋体"/>
          <w:color w:val="auto"/>
          <w:kern w:val="0"/>
          <w:szCs w:val="20"/>
          <w:highlight w:val="none"/>
        </w:rPr>
      </w:pPr>
    </w:p>
    <w:p w14:paraId="4309C91E">
      <w:pPr>
        <w:rPr>
          <w:rFonts w:hint="eastAsia" w:ascii="宋体" w:hAnsi="宋体" w:eastAsia="宋体" w:cs="宋体"/>
          <w:color w:val="auto"/>
          <w:kern w:val="0"/>
          <w:szCs w:val="20"/>
          <w:highlight w:val="none"/>
        </w:rPr>
      </w:pPr>
    </w:p>
    <w:p w14:paraId="0FEF55E5">
      <w:pPr>
        <w:pStyle w:val="2"/>
        <w:rPr>
          <w:rFonts w:hint="eastAsia" w:ascii="宋体" w:hAnsi="宋体" w:eastAsia="宋体" w:cs="宋体"/>
          <w:color w:val="auto"/>
          <w:kern w:val="0"/>
          <w:szCs w:val="20"/>
          <w:highlight w:val="none"/>
        </w:rPr>
      </w:pPr>
    </w:p>
    <w:p w14:paraId="07A828B6">
      <w:pPr>
        <w:rPr>
          <w:rFonts w:hint="eastAsia" w:ascii="宋体" w:hAnsi="宋体" w:eastAsia="宋体" w:cs="宋体"/>
          <w:color w:val="auto"/>
          <w:kern w:val="0"/>
          <w:szCs w:val="20"/>
          <w:highlight w:val="none"/>
        </w:rPr>
      </w:pPr>
    </w:p>
    <w:p w14:paraId="2E9C9958">
      <w:pPr>
        <w:pStyle w:val="2"/>
        <w:rPr>
          <w:rFonts w:hint="eastAsia" w:ascii="宋体" w:hAnsi="宋体" w:eastAsia="宋体" w:cs="宋体"/>
          <w:color w:val="auto"/>
          <w:kern w:val="0"/>
          <w:szCs w:val="20"/>
          <w:highlight w:val="none"/>
        </w:rPr>
      </w:pPr>
    </w:p>
    <w:p w14:paraId="538AF55D">
      <w:pPr>
        <w:rPr>
          <w:rFonts w:hint="eastAsia" w:ascii="宋体" w:hAnsi="宋体" w:eastAsia="宋体" w:cs="宋体"/>
          <w:color w:val="auto"/>
          <w:kern w:val="0"/>
          <w:szCs w:val="20"/>
          <w:highlight w:val="none"/>
        </w:rPr>
      </w:pPr>
    </w:p>
    <w:p w14:paraId="229915DD">
      <w:pPr>
        <w:pStyle w:val="2"/>
        <w:rPr>
          <w:rFonts w:hint="eastAsia" w:ascii="宋体" w:hAnsi="宋体" w:eastAsia="宋体" w:cs="宋体"/>
          <w:color w:val="auto"/>
          <w:kern w:val="0"/>
          <w:szCs w:val="20"/>
          <w:highlight w:val="none"/>
        </w:rPr>
      </w:pPr>
    </w:p>
    <w:p w14:paraId="7344B36E">
      <w:pPr>
        <w:rPr>
          <w:rFonts w:hint="eastAsia" w:ascii="宋体" w:hAnsi="宋体" w:eastAsia="宋体" w:cs="宋体"/>
          <w:color w:val="auto"/>
          <w:kern w:val="0"/>
          <w:szCs w:val="20"/>
          <w:highlight w:val="none"/>
        </w:rPr>
      </w:pPr>
    </w:p>
    <w:p w14:paraId="6C8EA5B9">
      <w:pPr>
        <w:pStyle w:val="2"/>
        <w:rPr>
          <w:rFonts w:hint="eastAsia"/>
          <w:color w:val="auto"/>
          <w:highlight w:val="none"/>
        </w:rPr>
      </w:pPr>
    </w:p>
    <w:p w14:paraId="30B55DF0">
      <w:pPr>
        <w:pStyle w:val="258"/>
        <w:ind w:firstLine="420"/>
        <w:rPr>
          <w:rFonts w:hint="default" w:ascii="Times New Roman" w:hAnsi="Times New Roman" w:cs="Times New Roman"/>
          <w:color w:val="auto"/>
          <w:highlight w:val="none"/>
        </w:rPr>
        <w:sectPr>
          <w:footerReference r:id="rId14" w:type="default"/>
          <w:footerReference r:id="rId15" w:type="even"/>
          <w:pgSz w:w="11920" w:h="16840"/>
          <w:pgMar w:top="1418" w:right="1134" w:bottom="1134" w:left="1418" w:header="1418" w:footer="1134" w:gutter="0"/>
          <w:pgBorders>
            <w:top w:val="none" w:sz="0" w:space="0"/>
            <w:left w:val="none" w:sz="0" w:space="0"/>
            <w:bottom w:val="none" w:sz="0" w:space="0"/>
            <w:right w:val="none" w:sz="0" w:space="0"/>
          </w:pgBorders>
          <w:lnNumType w:countBy="0" w:restart="continuous"/>
          <w:pgNumType w:fmt="upperRoman"/>
          <w:cols w:space="720" w:num="1"/>
          <w:rtlGutter w:val="0"/>
          <w:docGrid w:type="lines" w:linePitch="0" w:charSpace="0"/>
        </w:sectPr>
      </w:pPr>
    </w:p>
    <w:p w14:paraId="7B6B1785">
      <w:pPr>
        <w:pStyle w:val="315"/>
        <w:shd w:val="clear" w:color="FFFFFF" w:fill="FFFFFF"/>
        <w:outlineLvl w:val="0"/>
        <w:rPr>
          <w:rFonts w:hint="default" w:ascii="Times New Roman" w:hAnsi="Times New Roman" w:cs="Times New Roman"/>
          <w:color w:val="auto"/>
          <w:highlight w:val="none"/>
        </w:rPr>
      </w:pPr>
      <w:bookmarkStart w:id="24" w:name="标准内容"/>
      <w:bookmarkEnd w:id="24"/>
      <w:bookmarkStart w:id="25" w:name="_Toc8994"/>
      <w:bookmarkStart w:id="26" w:name="_Toc27482"/>
      <w:bookmarkStart w:id="27" w:name="_Toc27349"/>
      <w:bookmarkStart w:id="28" w:name="_Toc15331"/>
      <w:bookmarkStart w:id="29" w:name="_Toc25677"/>
      <w:bookmarkStart w:id="30" w:name="_Toc8450"/>
      <w:bookmarkStart w:id="31" w:name="_Toc26317"/>
      <w:bookmarkStart w:id="32" w:name="_Toc15025"/>
      <w:bookmarkStart w:id="33" w:name="_Toc12946"/>
      <w:bookmarkStart w:id="34" w:name="_Toc1812"/>
      <w:bookmarkStart w:id="35" w:name="_Toc533"/>
      <w:bookmarkStart w:id="36" w:name="_Toc30419"/>
      <w:bookmarkStart w:id="37" w:name="_Toc25977"/>
      <w:bookmarkStart w:id="38" w:name="_Toc14827"/>
      <w:bookmarkStart w:id="39" w:name="_Toc7276"/>
      <w:r>
        <w:rPr>
          <w:rFonts w:hint="eastAsia" w:ascii="Times New Roman" w:cs="Times New Roman"/>
          <w:color w:val="auto"/>
          <w:highlight w:val="none"/>
          <w:lang w:eastAsia="zh-CN"/>
        </w:rPr>
        <w:t>浮式生产储油装置</w:t>
      </w:r>
      <w:r>
        <w:rPr>
          <w:rFonts w:hint="default" w:ascii="Times New Roman" w:hAnsi="Times New Roman" w:cs="Times New Roman"/>
          <w:color w:val="auto"/>
          <w:highlight w:val="none"/>
        </w:rPr>
        <w:t>（FPSO）安全规范</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BF81519">
      <w:pPr>
        <w:pStyle w:val="259"/>
        <w:outlineLvl w:val="0"/>
        <w:rPr>
          <w:rFonts w:hint="default" w:ascii="Times New Roman" w:hAnsi="Times New Roman" w:cs="Times New Roman"/>
          <w:color w:val="auto"/>
          <w:highlight w:val="none"/>
        </w:rPr>
      </w:pPr>
      <w:bookmarkStart w:id="40" w:name="_Toc24432"/>
      <w:bookmarkStart w:id="41" w:name="_Toc29290"/>
      <w:bookmarkStart w:id="42" w:name="_Toc12418"/>
      <w:bookmarkStart w:id="43" w:name="_Toc24471"/>
      <w:bookmarkStart w:id="44" w:name="_Toc26780"/>
      <w:bookmarkStart w:id="45" w:name="_Toc4407"/>
      <w:bookmarkStart w:id="46" w:name="_Toc27230"/>
      <w:bookmarkStart w:id="47" w:name="_Toc29500"/>
      <w:bookmarkStart w:id="48" w:name="_Toc183727648"/>
      <w:bookmarkStart w:id="49" w:name="_Toc16440"/>
      <w:r>
        <w:rPr>
          <w:rFonts w:hint="default" w:ascii="Times New Roman" w:hAnsi="Times New Roman" w:cs="Times New Roman"/>
          <w:color w:val="auto"/>
          <w:highlight w:val="none"/>
        </w:rPr>
        <w:t>范围</w:t>
      </w:r>
      <w:bookmarkEnd w:id="40"/>
      <w:bookmarkEnd w:id="41"/>
      <w:bookmarkEnd w:id="42"/>
      <w:bookmarkEnd w:id="43"/>
      <w:bookmarkEnd w:id="44"/>
      <w:bookmarkEnd w:id="45"/>
      <w:bookmarkEnd w:id="46"/>
      <w:bookmarkEnd w:id="47"/>
      <w:bookmarkEnd w:id="48"/>
      <w:bookmarkEnd w:id="49"/>
    </w:p>
    <w:p w14:paraId="41674D32">
      <w:pPr>
        <w:pStyle w:val="258"/>
        <w:tabs>
          <w:tab w:val="center" w:pos="4201"/>
          <w:tab w:val="right" w:leader="dot" w:pos="9298"/>
        </w:tabs>
        <w:ind w:firstLine="42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本文件</w:t>
      </w:r>
      <w:r>
        <w:rPr>
          <w:rFonts w:hint="eastAsia" w:ascii="宋体" w:hAnsi="宋体" w:eastAsia="宋体" w:cs="宋体"/>
          <w:color w:val="auto"/>
          <w:highlight w:val="none"/>
          <w:lang w:val="en-US" w:eastAsia="zh-CN"/>
        </w:rPr>
        <w:t>规定</w:t>
      </w:r>
      <w:r>
        <w:rPr>
          <w:rFonts w:hint="eastAsia" w:ascii="宋体" w:hAnsi="宋体" w:eastAsia="宋体" w:cs="宋体"/>
          <w:color w:val="auto"/>
          <w:highlight w:val="none"/>
        </w:rPr>
        <w:t>了</w:t>
      </w:r>
      <w:r>
        <w:rPr>
          <w:rFonts w:hint="eastAsia" w:ascii="宋体" w:hAnsi="宋体" w:eastAsia="宋体" w:cs="宋体"/>
          <w:color w:val="auto"/>
          <w:highlight w:val="none"/>
          <w:lang w:val="en-US" w:eastAsia="zh-CN"/>
        </w:rPr>
        <w:t>浮式生产储油装置</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以下简称“FPSO”）</w:t>
      </w:r>
      <w:r>
        <w:rPr>
          <w:rFonts w:hint="eastAsia" w:ascii="宋体" w:hAnsi="宋体" w:eastAsia="宋体" w:cs="宋体"/>
          <w:color w:val="auto"/>
          <w:highlight w:val="none"/>
        </w:rPr>
        <w:t>在</w:t>
      </w:r>
      <w:r>
        <w:rPr>
          <w:rFonts w:hint="eastAsia" w:ascii="宋体" w:hAnsi="宋体" w:eastAsia="宋体" w:cs="宋体"/>
          <w:color w:val="auto"/>
          <w:highlight w:val="none"/>
          <w:lang w:val="en-US" w:eastAsia="zh-CN"/>
        </w:rPr>
        <w:t>总体布置</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总体性能、结构、防腐、系泊、外舾装、轮机系统、油气生产工艺和储运、机械设备和管系、暖通、电气、仪表和控制系统、防火安全、救生和逃生系统、助航标志和信号、通信等有关设计的</w:t>
      </w:r>
      <w:r>
        <w:rPr>
          <w:rFonts w:hint="eastAsia" w:ascii="宋体" w:hAnsi="宋体" w:eastAsia="宋体" w:cs="宋体"/>
          <w:color w:val="auto"/>
          <w:highlight w:val="none"/>
        </w:rPr>
        <w:t>安全技术要求</w:t>
      </w:r>
      <w:r>
        <w:rPr>
          <w:rFonts w:hint="eastAsia" w:ascii="宋体" w:hAnsi="宋体" w:eastAsia="宋体" w:cs="宋体"/>
          <w:color w:val="auto"/>
          <w:highlight w:val="none"/>
          <w:lang w:val="en-US" w:eastAsia="zh-CN"/>
        </w:rPr>
        <w:t>和操作安全的管理要求</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描述了对应的证实方法。</w:t>
      </w:r>
    </w:p>
    <w:p w14:paraId="6E3CDA37">
      <w:pPr>
        <w:ind w:firstLine="420" w:firstLineChars="200"/>
        <w:rPr>
          <w:rFonts w:hint="default" w:ascii="Times New Roman" w:hAnsi="Times New Roman" w:cs="Times New Roman"/>
          <w:color w:val="auto"/>
          <w:highlight w:val="none"/>
        </w:rPr>
      </w:pPr>
      <w:r>
        <w:rPr>
          <w:rFonts w:hint="eastAsia" w:ascii="宋体" w:hAnsi="宋体" w:eastAsia="宋体" w:cs="宋体"/>
          <w:color w:val="auto"/>
          <w:highlight w:val="none"/>
        </w:rPr>
        <w:t>本文件适用于新建、</w:t>
      </w:r>
      <w:r>
        <w:rPr>
          <w:rFonts w:hint="eastAsia" w:ascii="宋体" w:hAnsi="宋体" w:eastAsia="宋体" w:cs="宋体"/>
          <w:color w:val="auto"/>
          <w:highlight w:val="none"/>
          <w:lang w:val="en-US" w:eastAsia="zh-CN"/>
        </w:rPr>
        <w:t>改建（包括改变FPSO装置主尺度、改变FPSO用途、改变FPSO分舱水平、改变FPSO稳性）</w:t>
      </w:r>
      <w:r>
        <w:rPr>
          <w:rFonts w:hint="eastAsia" w:ascii="宋体" w:hAnsi="宋体" w:eastAsia="宋体" w:cs="宋体"/>
          <w:color w:val="auto"/>
          <w:highlight w:val="none"/>
        </w:rPr>
        <w:t>的</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w:t>
      </w:r>
    </w:p>
    <w:p w14:paraId="394C5989">
      <w:pPr>
        <w:pStyle w:val="259"/>
        <w:outlineLvl w:val="0"/>
        <w:rPr>
          <w:rFonts w:hint="default" w:ascii="Times New Roman" w:hAnsi="Times New Roman" w:cs="Times New Roman"/>
          <w:color w:val="auto"/>
          <w:highlight w:val="none"/>
        </w:rPr>
      </w:pPr>
      <w:bookmarkStart w:id="50" w:name="_Toc1010"/>
      <w:bookmarkStart w:id="51" w:name="_Toc27635"/>
      <w:bookmarkStart w:id="52" w:name="_Toc2473"/>
      <w:bookmarkStart w:id="53" w:name="_Toc2532"/>
      <w:bookmarkStart w:id="54" w:name="_Toc12033"/>
      <w:bookmarkStart w:id="55" w:name="_Toc183727649"/>
      <w:bookmarkStart w:id="56" w:name="_Toc1749"/>
      <w:bookmarkStart w:id="57" w:name="_Toc19479"/>
      <w:bookmarkStart w:id="58" w:name="_Toc26314"/>
      <w:bookmarkStart w:id="59" w:name="_Toc4872"/>
      <w:r>
        <w:rPr>
          <w:rFonts w:hint="default" w:ascii="Times New Roman" w:hAnsi="Times New Roman" w:cs="Times New Roman"/>
          <w:color w:val="auto"/>
          <w:highlight w:val="none"/>
        </w:rPr>
        <w:t>规范性引用文件</w:t>
      </w:r>
      <w:bookmarkEnd w:id="50"/>
      <w:bookmarkEnd w:id="51"/>
      <w:bookmarkEnd w:id="52"/>
      <w:bookmarkEnd w:id="53"/>
      <w:bookmarkEnd w:id="54"/>
      <w:bookmarkEnd w:id="55"/>
      <w:bookmarkEnd w:id="56"/>
      <w:bookmarkEnd w:id="57"/>
      <w:bookmarkEnd w:id="58"/>
      <w:bookmarkEnd w:id="59"/>
    </w:p>
    <w:p w14:paraId="1CCDF653">
      <w:pPr>
        <w:pStyle w:val="258"/>
        <w:ind w:firstLine="420"/>
        <w:rPr>
          <w:rFonts w:hint="default" w:ascii="Times New Roman" w:hAnsi="Times New Roman" w:cs="Times New Roman"/>
          <w:color w:val="auto"/>
          <w:highlight w:val="none"/>
        </w:rPr>
      </w:pPr>
      <w:sdt>
        <w:sdtPr>
          <w:rPr>
            <w:rFonts w:hint="default" w:ascii="Times New Roman" w:hAnsi="Times New Roman" w:cs="Times New Roman"/>
            <w:color w:val="auto"/>
            <w:highlight w:val="none"/>
          </w:rPr>
          <w:alias w:val="规范性引用文件文字描述选择"/>
          <w:tag w:val="规范性引用文件文字描述选择"/>
          <w:id w:val="715848253"/>
          <w:placeholder>
            <w:docPart w:val="89BE852335354B25A9A1502BD6B4F87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default" w:ascii="Times New Roman" w:hAnsi="Times New Roman" w:cs="Times New Roman"/>
            <w:color w:val="auto"/>
            <w:highlight w:val="none"/>
          </w:rPr>
        </w:sdtEndPr>
        <w:sdtContent>
          <w:r>
            <w:rPr>
              <w:rFonts w:hint="default" w:ascii="Times New Roman" w:hAnsi="Times New Roman" w:cs="Times New Roman"/>
              <w:color w:val="auto"/>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402258F3">
      <w:pPr>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GB 3836</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所有部分</w:t>
      </w:r>
      <w:r>
        <w:rPr>
          <w:rFonts w:hint="eastAsia" w:ascii="宋体" w:hAnsi="宋体" w:cs="宋体"/>
          <w:color w:val="auto"/>
          <w:highlight w:val="none"/>
          <w:lang w:eastAsia="zh-CN"/>
        </w:rPr>
        <w:t>）</w:t>
      </w:r>
      <w:r>
        <w:rPr>
          <w:rFonts w:hint="eastAsia" w:ascii="宋体" w:hAnsi="宋体" w:eastAsia="宋体" w:cs="宋体"/>
          <w:color w:val="auto"/>
          <w:highlight w:val="none"/>
        </w:rPr>
        <w:t xml:space="preserve">  爆炸性环境</w:t>
      </w:r>
    </w:p>
    <w:p w14:paraId="3C791A4A">
      <w:pPr>
        <w:pStyle w:val="2"/>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GB 5749  生活饮用水卫生标准</w:t>
      </w:r>
    </w:p>
    <w:p w14:paraId="575EFD77">
      <w:pPr>
        <w:pStyle w:val="2"/>
        <w:ind w:firstLine="420" w:firstLineChars="200"/>
        <w:rPr>
          <w:rFonts w:hint="eastAsia" w:ascii="宋体" w:hAnsi="宋体" w:cs="宋体"/>
          <w:color w:val="auto"/>
          <w:highlight w:val="none"/>
          <w:lang w:val="en-US" w:eastAsia="zh-CN"/>
        </w:rPr>
      </w:pPr>
      <w:r>
        <w:rPr>
          <w:rFonts w:hint="eastAsia" w:ascii="宋体" w:hAnsi="宋体" w:cs="宋体"/>
          <w:color w:val="auto"/>
          <w:highlight w:val="none"/>
          <w:lang w:val="en-US" w:eastAsia="zh-CN"/>
        </w:rPr>
        <w:t>GB 17324  瓶（桶）装饮用纯净水卫生标准</w:t>
      </w:r>
    </w:p>
    <w:p w14:paraId="13A72851">
      <w:pPr>
        <w:pStyle w:val="2"/>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GB 26123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lang w:val="en-US" w:eastAsia="zh-CN"/>
        </w:rPr>
        <w:t>空气潜水安全要求</w:t>
      </w:r>
    </w:p>
    <w:p w14:paraId="58FC6589">
      <w:pPr>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GB 40554.1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lang w:val="en-US" w:eastAsia="zh-CN"/>
        </w:rPr>
        <w:t>海洋石油天然气开采安全规程 第1部分：总则</w:t>
      </w:r>
    </w:p>
    <w:p w14:paraId="51D52F13">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GB</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40554.2</w:t>
      </w:r>
      <w:r>
        <w:rPr>
          <w:rFonts w:hint="eastAsia" w:ascii="宋体" w:hAnsi="宋体" w:eastAsia="宋体" w:cs="宋体"/>
          <w:color w:val="auto"/>
          <w:highlight w:val="none"/>
          <w:lang w:val="en-US" w:eastAsia="zh-CN"/>
        </w:rPr>
        <w:t xml:space="preserve"> </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海洋石油天然气开采安全规程 第2部分：海上部分</w:t>
      </w:r>
    </w:p>
    <w:p w14:paraId="10493311">
      <w:pPr>
        <w:pStyle w:val="2"/>
        <w:ind w:firstLine="420" w:firstLineChars="200"/>
        <w:rPr>
          <w:rFonts w:hint="eastAsia"/>
          <w:color w:val="auto"/>
          <w:highlight w:val="none"/>
        </w:rPr>
      </w:pPr>
      <w:r>
        <w:rPr>
          <w:rFonts w:hint="eastAsia" w:ascii="宋体" w:hAnsi="宋体" w:eastAsia="宋体" w:cs="宋体"/>
          <w:color w:val="auto"/>
          <w:highlight w:val="none"/>
          <w:lang w:val="en-US" w:eastAsia="zh-CN"/>
        </w:rPr>
        <w:t xml:space="preserve">GB </w:t>
      </w:r>
      <w:r>
        <w:rPr>
          <w:rFonts w:hint="eastAsia" w:ascii="宋体" w:hAnsi="宋体" w:cs="宋体"/>
          <w:color w:val="auto"/>
          <w:highlight w:val="none"/>
          <w:lang w:val="en-US" w:eastAsia="zh-CN"/>
        </w:rPr>
        <w:t xml:space="preserve">46766  </w:t>
      </w:r>
      <w:r>
        <w:rPr>
          <w:rFonts w:hint="eastAsia" w:ascii="宋体" w:hAnsi="宋体" w:eastAsia="宋体" w:cs="宋体"/>
          <w:color w:val="auto"/>
          <w:highlight w:val="none"/>
        </w:rPr>
        <w:t>海洋石油固定平台安全规范</w:t>
      </w:r>
    </w:p>
    <w:p w14:paraId="2E4FA713">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国际救生设备规则(International Life-saving Appliance Code</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LSA)</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国际海事组织</w:t>
      </w:r>
    </w:p>
    <w:p w14:paraId="08E70FFC">
      <w:pPr>
        <w:pStyle w:val="2"/>
        <w:ind w:firstLine="420" w:firstLineChars="200"/>
        <w:rPr>
          <w:rFonts w:hint="eastAsia" w:eastAsia="宋体"/>
          <w:color w:val="auto"/>
          <w:highlight w:val="none"/>
          <w:lang w:eastAsia="zh-CN"/>
        </w:rPr>
      </w:pPr>
      <w:r>
        <w:rPr>
          <w:rFonts w:hint="eastAsia" w:ascii="宋体" w:hAnsi="宋体" w:eastAsia="宋体" w:cs="宋体"/>
          <w:color w:val="auto"/>
          <w:highlight w:val="none"/>
        </w:rPr>
        <w:t>国际海上避碰规则</w:t>
      </w:r>
      <w:r>
        <w:rPr>
          <w:rFonts w:hint="eastAsia" w:ascii="宋体" w:hAnsi="宋体" w:cs="宋体"/>
          <w:color w:val="auto"/>
          <w:highlight w:val="none"/>
          <w:lang w:eastAsia="zh-CN"/>
        </w:rPr>
        <w:t>（</w:t>
      </w:r>
      <w:r>
        <w:rPr>
          <w:rFonts w:hint="eastAsia" w:ascii="宋体" w:hAnsi="宋体" w:eastAsia="宋体" w:cs="宋体"/>
          <w:color w:val="auto"/>
          <w:kern w:val="2"/>
          <w:sz w:val="21"/>
          <w:szCs w:val="24"/>
          <w:highlight w:val="none"/>
          <w:lang w:val="en-US" w:eastAsia="zh-CN" w:bidi="ar-SA"/>
        </w:rPr>
        <w:t>International Regulations for Preventing Collisions at Sea，COLREG</w:t>
      </w:r>
      <w:r>
        <w:rPr>
          <w:rFonts w:hint="eastAsia" w:ascii="宋体" w:hAnsi="宋体" w:cs="宋体"/>
          <w:color w:val="auto"/>
          <w:kern w:val="2"/>
          <w:sz w:val="21"/>
          <w:szCs w:val="24"/>
          <w:highlight w:val="none"/>
          <w:lang w:val="en-US" w:eastAsia="zh-CN" w:bidi="ar-SA"/>
        </w:rPr>
        <w:t>S</w:t>
      </w:r>
      <w:r>
        <w:rPr>
          <w:rFonts w:hint="eastAsia" w:ascii="宋体" w:hAnsi="宋体" w:cs="宋体"/>
          <w:color w:val="auto"/>
          <w:highlight w:val="none"/>
          <w:lang w:eastAsia="zh-CN"/>
        </w:rPr>
        <w: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国际海事组织</w:t>
      </w:r>
    </w:p>
    <w:p w14:paraId="7B387C0C">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国际海上人命安全公约(International Convention for the Safety of Life at Sea</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SOLAS)</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国际海事组织</w:t>
      </w:r>
    </w:p>
    <w:p w14:paraId="1B45585A">
      <w:pPr>
        <w:pStyle w:val="2"/>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海上移动式钻井平台构造和设备规则(</w:t>
      </w:r>
      <w:r>
        <w:rPr>
          <w:rFonts w:hint="eastAsia" w:ascii="宋体" w:hAnsi="宋体" w:eastAsia="宋体" w:cs="宋体"/>
          <w:color w:val="auto"/>
          <w:kern w:val="2"/>
          <w:sz w:val="21"/>
          <w:szCs w:val="24"/>
          <w:highlight w:val="none"/>
          <w:lang w:val="en-US" w:eastAsia="zh-CN" w:bidi="ar-SA"/>
        </w:rPr>
        <w:t>Code for the Construction and Equipment of Mobile Offshore Drilling Unit</w:t>
      </w:r>
      <w:r>
        <w:rPr>
          <w:rFonts w:hint="eastAsia" w:ascii="宋体" w:hAnsi="宋体" w:cs="宋体"/>
          <w:color w:val="auto"/>
          <w:kern w:val="2"/>
          <w:sz w:val="21"/>
          <w:szCs w:val="24"/>
          <w:highlight w:val="none"/>
          <w:lang w:val="en-US" w:eastAsia="zh-CN" w:bidi="ar-SA"/>
        </w:rPr>
        <w:t>，MODU</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国际海事组织</w:t>
      </w:r>
    </w:p>
    <w:p w14:paraId="79614354">
      <w:pPr>
        <w:pStyle w:val="2"/>
        <w:ind w:firstLine="420" w:firstLineChars="200"/>
        <w:rPr>
          <w:rFonts w:hint="default" w:ascii="宋体" w:hAnsi="宋体" w:eastAsia="宋体" w:cs="宋体"/>
          <w:color w:val="auto"/>
          <w:highlight w:val="none"/>
          <w:lang w:val="en-US" w:eastAsia="zh-CN"/>
        </w:rPr>
      </w:pPr>
      <w:r>
        <w:rPr>
          <w:rFonts w:hint="eastAsia" w:ascii="宋体" w:hAnsi="宋体" w:eastAsia="宋体" w:cs="宋体"/>
          <w:b w:val="0"/>
          <w:bCs w:val="0"/>
          <w:i w:val="0"/>
          <w:iCs w:val="0"/>
          <w:caps w:val="0"/>
          <w:color w:val="auto"/>
          <w:spacing w:val="0"/>
          <w:sz w:val="21"/>
          <w:szCs w:val="24"/>
          <w:highlight w:val="none"/>
          <w:shd w:val="clear"/>
        </w:rPr>
        <w:t>国际载重线公约(International Convention on Load Lines</w:t>
      </w:r>
      <w:r>
        <w:rPr>
          <w:rFonts w:hint="eastAsia" w:ascii="宋体" w:hAnsi="宋体" w:eastAsia="宋体" w:cs="宋体"/>
          <w:b w:val="0"/>
          <w:bCs w:val="0"/>
          <w:i w:val="0"/>
          <w:iCs w:val="0"/>
          <w:caps w:val="0"/>
          <w:color w:val="auto"/>
          <w:spacing w:val="0"/>
          <w:sz w:val="21"/>
          <w:szCs w:val="24"/>
          <w:highlight w:val="none"/>
          <w:shd w:val="clear"/>
          <w:lang w:eastAsia="zh-CN"/>
        </w:rPr>
        <w:t>，</w:t>
      </w:r>
      <w:r>
        <w:rPr>
          <w:rFonts w:hint="eastAsia" w:ascii="宋体" w:hAnsi="宋体" w:eastAsia="宋体" w:cs="宋体"/>
          <w:color w:val="auto"/>
          <w:highlight w:val="none"/>
          <w:lang w:val="en-US" w:eastAsia="zh-CN"/>
        </w:rPr>
        <w:t>ICLL</w:t>
      </w:r>
      <w:r>
        <w:rPr>
          <w:rFonts w:hint="eastAsia" w:ascii="宋体" w:hAnsi="宋体" w:eastAsia="宋体" w:cs="宋体"/>
          <w:b w:val="0"/>
          <w:bCs w:val="0"/>
          <w:i w:val="0"/>
          <w:iCs w:val="0"/>
          <w:caps w:val="0"/>
          <w:color w:val="auto"/>
          <w:spacing w:val="0"/>
          <w:sz w:val="21"/>
          <w:szCs w:val="24"/>
          <w:highlight w:val="none"/>
          <w:shd w:val="clear"/>
        </w:rPr>
        <w:t>)</w:t>
      </w:r>
      <w:r>
        <w:rPr>
          <w:rFonts w:hint="eastAsia" w:ascii="宋体" w:hAnsi="宋体" w:eastAsia="宋体" w:cs="宋体"/>
          <w:b w:val="0"/>
          <w:bCs w:val="0"/>
          <w:i w:val="0"/>
          <w:iCs w:val="0"/>
          <w:caps w:val="0"/>
          <w:color w:val="auto"/>
          <w:spacing w:val="0"/>
          <w:sz w:val="21"/>
          <w:szCs w:val="24"/>
          <w:highlight w:val="none"/>
          <w:shd w:val="clear"/>
          <w:lang w:val="en-US" w:eastAsia="zh-CN"/>
        </w:rPr>
        <w:t xml:space="preserve"> </w:t>
      </w:r>
      <w:r>
        <w:rPr>
          <w:rFonts w:hint="eastAsia" w:ascii="宋体" w:hAnsi="宋体" w:cs="宋体"/>
          <w:b w:val="0"/>
          <w:bCs w:val="0"/>
          <w:i w:val="0"/>
          <w:iCs w:val="0"/>
          <w:caps w:val="0"/>
          <w:color w:val="auto"/>
          <w:spacing w:val="0"/>
          <w:sz w:val="21"/>
          <w:szCs w:val="24"/>
          <w:highlight w:val="none"/>
          <w:shd w:val="clear"/>
          <w:lang w:val="en-US" w:eastAsia="zh-CN"/>
        </w:rPr>
        <w:t xml:space="preserve"> 国际海事组织</w:t>
      </w:r>
    </w:p>
    <w:p w14:paraId="4984B992">
      <w:pPr>
        <w:pStyle w:val="2"/>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检查通道技术规定(Technical provisions for means of access for inspections)</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国际海事组织</w:t>
      </w:r>
    </w:p>
    <w:p w14:paraId="5C52938C">
      <w:pPr>
        <w:keepNext w:val="0"/>
        <w:keepLines w:val="0"/>
        <w:widowControl/>
        <w:suppressLineNumbers w:val="0"/>
        <w:ind w:firstLine="420" w:firstLineChars="200"/>
        <w:jc w:val="left"/>
        <w:rPr>
          <w:rFonts w:hint="eastAsia" w:ascii="宋体" w:hAnsi="宋体" w:eastAsia="宋体" w:cs="宋体"/>
          <w:b w:val="0"/>
          <w:bCs w:val="0"/>
          <w:color w:val="auto"/>
          <w:kern w:val="2"/>
          <w:sz w:val="21"/>
          <w:szCs w:val="24"/>
          <w:highlight w:val="none"/>
          <w:lang w:val="en-US" w:eastAsia="zh-CN" w:bidi="ar-SA"/>
        </w:rPr>
      </w:pPr>
      <w:r>
        <w:rPr>
          <w:rFonts w:hint="eastAsia" w:ascii="宋体" w:hAnsi="宋体" w:eastAsia="宋体" w:cs="宋体"/>
          <w:color w:val="auto"/>
          <w:highlight w:val="none"/>
          <w:lang w:eastAsia="zh-CN"/>
        </w:rPr>
        <w:t>系泊设备指南</w:t>
      </w:r>
      <w:r>
        <w:rPr>
          <w:rFonts w:hint="eastAsia" w:ascii="宋体" w:hAnsi="宋体" w:cs="宋体"/>
          <w:color w:val="auto"/>
          <w:highlight w:val="none"/>
          <w:lang w:eastAsia="zh-CN"/>
        </w:rPr>
        <w:t>（Guide to Purchasing and Manufacturing Hoses for Offshore Moorings）</w:t>
      </w:r>
      <w:r>
        <w:rPr>
          <w:rFonts w:hint="eastAsia" w:ascii="宋体" w:hAnsi="宋体" w:cs="宋体"/>
          <w:color w:val="auto"/>
          <w:highlight w:val="none"/>
          <w:lang w:val="en-US" w:eastAsia="zh-CN"/>
        </w:rPr>
        <w:t xml:space="preserve">  </w:t>
      </w:r>
      <w:r>
        <w:rPr>
          <w:rFonts w:hint="eastAsia" w:ascii="宋体" w:hAnsi="宋体" w:eastAsia="宋体" w:cs="宋体"/>
          <w:b w:val="0"/>
          <w:bCs w:val="0"/>
          <w:color w:val="auto"/>
          <w:kern w:val="2"/>
          <w:sz w:val="21"/>
          <w:szCs w:val="24"/>
          <w:highlight w:val="none"/>
          <w:lang w:val="en-US" w:eastAsia="zh-CN" w:bidi="ar-SA"/>
        </w:rPr>
        <w:t>石油公司国际海事论坛</w:t>
      </w:r>
    </w:p>
    <w:p w14:paraId="50D23230">
      <w:pPr>
        <w:ind w:firstLine="420" w:firstLineChars="200"/>
        <w:rPr>
          <w:rFonts w:hint="eastAsia" w:ascii="宋体" w:hAnsi="宋体" w:cs="宋体"/>
          <w:color w:val="auto"/>
          <w:highlight w:val="none"/>
        </w:rPr>
      </w:pPr>
      <w:r>
        <w:rPr>
          <w:rFonts w:hint="eastAsia" w:ascii="宋体" w:hAnsi="宋体" w:cs="宋体"/>
          <w:color w:val="auto"/>
          <w:highlight w:val="none"/>
          <w:lang w:val="en-US" w:eastAsia="zh-CN"/>
        </w:rPr>
        <w:t>商业潜水与水下作业公认标准（</w:t>
      </w:r>
      <w:r>
        <w:rPr>
          <w:rFonts w:hint="eastAsia" w:ascii="宋体" w:hAnsi="宋体" w:eastAsia="宋体" w:cs="宋体"/>
          <w:b w:val="0"/>
          <w:bCs w:val="0"/>
          <w:i w:val="0"/>
          <w:iCs w:val="0"/>
          <w:caps w:val="0"/>
          <w:color w:val="auto"/>
          <w:spacing w:val="0"/>
          <w:sz w:val="21"/>
          <w:szCs w:val="24"/>
          <w:highlight w:val="none"/>
          <w:shd w:val="clear"/>
        </w:rPr>
        <w:t>Commercial Diving and Underwater Operations Consensus Standards</w:t>
      </w:r>
      <w:r>
        <w:rPr>
          <w:rFonts w:hint="eastAsia" w:ascii="宋体" w:hAnsi="宋体" w:cs="宋体"/>
          <w:color w:val="auto"/>
          <w:highlight w:val="none"/>
          <w:lang w:val="en-US" w:eastAsia="zh-CN"/>
        </w:rPr>
        <w:t xml:space="preserve">）  </w:t>
      </w:r>
      <w:r>
        <w:rPr>
          <w:rFonts w:hint="eastAsia" w:ascii="宋体" w:hAnsi="宋体" w:eastAsia="宋体" w:cs="宋体"/>
          <w:i w:val="0"/>
          <w:iCs w:val="0"/>
          <w:caps w:val="0"/>
          <w:color w:val="auto"/>
          <w:spacing w:val="0"/>
          <w:sz w:val="21"/>
          <w:szCs w:val="24"/>
          <w:highlight w:val="none"/>
          <w:shd w:val="clear"/>
        </w:rPr>
        <w:t>国际潜水承包商协会</w:t>
      </w:r>
    </w:p>
    <w:p w14:paraId="677B51CF">
      <w:pPr>
        <w:pStyle w:val="259"/>
        <w:outlineLvl w:val="0"/>
        <w:rPr>
          <w:rFonts w:hint="default" w:ascii="Times New Roman" w:hAnsi="Times New Roman" w:cs="Times New Roman"/>
          <w:color w:val="auto"/>
          <w:highlight w:val="none"/>
        </w:rPr>
      </w:pPr>
      <w:bookmarkStart w:id="60" w:name="_Toc19728"/>
      <w:bookmarkStart w:id="61" w:name="_Toc29960"/>
      <w:bookmarkStart w:id="62" w:name="_Toc22860"/>
      <w:bookmarkStart w:id="63" w:name="_Toc21312"/>
      <w:bookmarkStart w:id="64" w:name="_Toc32524"/>
      <w:bookmarkStart w:id="65" w:name="_Toc29398"/>
      <w:bookmarkStart w:id="66" w:name="_Toc183727650"/>
      <w:bookmarkStart w:id="67" w:name="_Toc29743"/>
      <w:bookmarkStart w:id="68" w:name="_Toc4673"/>
      <w:bookmarkStart w:id="69" w:name="_Toc10651"/>
      <w:r>
        <w:rPr>
          <w:rFonts w:hint="default" w:ascii="Times New Roman" w:hAnsi="Times New Roman" w:cs="Times New Roman"/>
          <w:color w:val="auto"/>
          <w:highlight w:val="none"/>
        </w:rPr>
        <w:t>术语和定义</w:t>
      </w:r>
      <w:bookmarkEnd w:id="60"/>
      <w:bookmarkEnd w:id="61"/>
      <w:bookmarkEnd w:id="62"/>
      <w:bookmarkEnd w:id="63"/>
      <w:bookmarkEnd w:id="64"/>
      <w:bookmarkEnd w:id="65"/>
      <w:bookmarkEnd w:id="66"/>
      <w:bookmarkEnd w:id="67"/>
      <w:bookmarkEnd w:id="68"/>
      <w:bookmarkEnd w:id="69"/>
    </w:p>
    <w:sdt>
      <w:sdtPr>
        <w:rPr>
          <w:rFonts w:hint="default" w:ascii="Times New Roman" w:hAnsi="Times New Roman" w:cs="Times New Roman"/>
          <w:color w:val="auto"/>
          <w:highlight w:val="none"/>
        </w:rPr>
        <w:alias w:val="术语和定义文字描述选择"/>
        <w:tag w:val="术语和定义文字描述选择"/>
        <w:id w:val="-1"/>
        <w:placeholder>
          <w:docPart w:val="F15AA0937B0E4072B2014D8F39C268A5"/>
        </w:placeholder>
        <w:comboBox>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Times New Roman" w:hAnsi="Times New Roman" w:cs="Times New Roman"/>
          <w:color w:val="auto"/>
          <w:highlight w:val="none"/>
        </w:rPr>
      </w:sdtEndPr>
      <w:sdtContent>
        <w:p w14:paraId="586DFADE">
          <w:pPr>
            <w:pStyle w:val="258"/>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下列术语和定义适用于本文件。</w:t>
          </w:r>
        </w:p>
      </w:sdtContent>
    </w:sdt>
    <w:p w14:paraId="00AC039F">
      <w:pPr>
        <w:pStyle w:val="323"/>
        <w:rPr>
          <w:rFonts w:hint="default" w:ascii="Times New Roman" w:hAnsi="Times New Roman" w:cs="Times New Roman"/>
          <w:color w:val="auto"/>
          <w:highlight w:val="none"/>
        </w:rPr>
      </w:pPr>
      <w:r>
        <w:rPr>
          <w:rFonts w:hint="default" w:ascii="Times New Roman" w:hAnsi="Times New Roman" w:cs="Times New Roman"/>
          <w:color w:val="auto"/>
          <w:highlight w:val="none"/>
        </w:rPr>
        <w:br w:type="textWrapping"/>
      </w:r>
      <w:r>
        <w:rPr>
          <w:rFonts w:hint="eastAsia" w:ascii="Times New Roman" w:cs="Times New Roman"/>
          <w:color w:val="auto"/>
          <w:highlight w:val="none"/>
          <w:lang w:val="en-US" w:eastAsia="zh-CN"/>
        </w:rPr>
        <w:t xml:space="preserve">    浮式生产储油装置</w:t>
      </w:r>
      <w:r>
        <w:rPr>
          <w:rFonts w:hint="default" w:ascii="Times New Roman" w:hAnsi="Times New Roman" w:cs="Times New Roman"/>
          <w:color w:val="auto"/>
          <w:highlight w:val="none"/>
        </w:rPr>
        <w:t xml:space="preserve"> </w:t>
      </w:r>
      <w:r>
        <w:rPr>
          <w:rFonts w:hint="eastAsia" w:ascii="Times New Roman" w:cs="Times New Roman"/>
          <w:color w:val="auto"/>
          <w:highlight w:val="none"/>
          <w:lang w:val="en-US" w:eastAsia="zh-CN"/>
        </w:rPr>
        <w:t xml:space="preserve"> </w:t>
      </w:r>
      <w:r>
        <w:rPr>
          <w:rFonts w:hint="default" w:ascii="Times New Roman" w:hAnsi="Times New Roman" w:cs="Times New Roman"/>
          <w:b/>
          <w:color w:val="auto"/>
          <w:highlight w:val="none"/>
        </w:rPr>
        <w:t xml:space="preserve">offshore floating production </w:t>
      </w:r>
      <w:r>
        <w:rPr>
          <w:rFonts w:hint="eastAsia" w:ascii="Times New Roman"/>
          <w:b/>
          <w:color w:val="auto"/>
          <w:highlight w:val="none"/>
        </w:rPr>
        <w:t>storage offloading unit</w:t>
      </w:r>
      <w:r>
        <w:rPr>
          <w:rFonts w:hint="default" w:ascii="Times New Roman" w:hAnsi="Times New Roman" w:cs="Times New Roman"/>
          <w:color w:val="auto"/>
          <w:highlight w:val="none"/>
        </w:rPr>
        <w:t xml:space="preserve"> </w:t>
      </w:r>
    </w:p>
    <w:p w14:paraId="039C724B">
      <w:pPr>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漂浮且系泊于海面，</w:t>
      </w:r>
      <w:r>
        <w:rPr>
          <w:rFonts w:hint="eastAsia" w:cs="Times New Roman"/>
          <w:color w:val="auto"/>
          <w:highlight w:val="none"/>
          <w:lang w:val="en-US" w:eastAsia="zh-CN"/>
        </w:rPr>
        <w:t>具备</w:t>
      </w:r>
      <w:r>
        <w:rPr>
          <w:rFonts w:hint="default" w:ascii="Times New Roman" w:hAnsi="Times New Roman" w:cs="Times New Roman"/>
          <w:color w:val="auto"/>
          <w:highlight w:val="none"/>
        </w:rPr>
        <w:t>石油天然气的处理、储存和外输中</w:t>
      </w:r>
      <w:r>
        <w:rPr>
          <w:rFonts w:hint="eastAsia" w:cs="Times New Roman"/>
          <w:color w:val="auto"/>
          <w:highlight w:val="none"/>
          <w:lang w:val="en-US" w:eastAsia="zh-CN"/>
        </w:rPr>
        <w:t>的一种或多种功能</w:t>
      </w:r>
      <w:r>
        <w:rPr>
          <w:rFonts w:hint="default" w:ascii="Times New Roman" w:hAnsi="Times New Roman" w:cs="Times New Roman"/>
          <w:color w:val="auto"/>
          <w:highlight w:val="none"/>
        </w:rPr>
        <w:t>的海洋石油生产设施。</w:t>
      </w:r>
    </w:p>
    <w:p w14:paraId="4303B238">
      <w:pPr>
        <w:ind w:firstLine="360" w:firstLineChars="200"/>
        <w:rPr>
          <w:rFonts w:hint="default" w:ascii="Times New Roman" w:hAnsi="Times New Roman" w:eastAsia="宋体" w:cs="Times New Roman"/>
          <w:strike/>
          <w:color w:val="auto"/>
          <w:sz w:val="18"/>
          <w:szCs w:val="16"/>
          <w:highlight w:val="none"/>
          <w:lang w:val="en-US" w:eastAsia="zh-CN"/>
        </w:rPr>
      </w:pPr>
      <w:r>
        <w:rPr>
          <w:rFonts w:hint="eastAsia" w:ascii="黑体" w:hAnsi="黑体" w:eastAsia="黑体" w:cs="黑体"/>
          <w:strike w:val="0"/>
          <w:color w:val="auto"/>
          <w:kern w:val="0"/>
          <w:sz w:val="18"/>
          <w:szCs w:val="16"/>
          <w:highlight w:val="none"/>
          <w:lang w:val="en-US" w:eastAsia="zh-CN"/>
        </w:rPr>
        <w:t>注：</w:t>
      </w:r>
      <w:r>
        <w:rPr>
          <w:rFonts w:hint="eastAsia" w:ascii="宋体" w:hAnsi="宋体" w:eastAsia="宋体" w:cs="宋体"/>
          <w:strike w:val="0"/>
          <w:color w:val="auto"/>
          <w:kern w:val="0"/>
          <w:sz w:val="18"/>
          <w:szCs w:val="16"/>
          <w:highlight w:val="none"/>
          <w:lang w:val="en-US" w:eastAsia="zh-CN"/>
        </w:rPr>
        <w:t>主要包括船型、圆筒型和半潜式</w:t>
      </w:r>
      <w:r>
        <w:rPr>
          <w:rFonts w:hint="eastAsia" w:ascii="宋体" w:hAnsi="宋体" w:eastAsia="宋体" w:cs="宋体"/>
          <w:strike w:val="0"/>
          <w:color w:val="auto"/>
          <w:kern w:val="0"/>
          <w:sz w:val="18"/>
          <w:szCs w:val="16"/>
          <w:highlight w:val="none"/>
        </w:rPr>
        <w:t>（柱稳式）</w:t>
      </w:r>
      <w:r>
        <w:rPr>
          <w:rFonts w:hint="eastAsia" w:ascii="宋体" w:hAnsi="宋体" w:eastAsia="宋体" w:cs="宋体"/>
          <w:strike w:val="0"/>
          <w:color w:val="auto"/>
          <w:kern w:val="0"/>
          <w:sz w:val="18"/>
          <w:szCs w:val="16"/>
          <w:highlight w:val="none"/>
          <w:lang w:val="en-US" w:eastAsia="zh-CN"/>
        </w:rPr>
        <w:t>。</w:t>
      </w:r>
    </w:p>
    <w:p w14:paraId="14C191E1">
      <w:pPr>
        <w:pStyle w:val="323"/>
        <w:rPr>
          <w:rFonts w:hint="default" w:ascii="Times New Roman" w:hAnsi="Times New Roman" w:cs="Times New Roman"/>
          <w:color w:val="auto"/>
          <w:highlight w:val="none"/>
        </w:rPr>
      </w:pPr>
    </w:p>
    <w:p w14:paraId="56C880CD">
      <w:pPr>
        <w:pStyle w:val="258"/>
        <w:ind w:firstLine="420"/>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船体</w:t>
      </w:r>
      <w:r>
        <w:rPr>
          <w:rFonts w:hint="default" w:ascii="Times New Roman" w:hAnsi="Times New Roman" w:eastAsia="黑体" w:cs="Times New Roman"/>
          <w:b/>
          <w:color w:val="auto"/>
          <w:sz w:val="21"/>
          <w:szCs w:val="21"/>
          <w:highlight w:val="none"/>
          <w:lang w:val="en-US" w:eastAsia="zh-CN" w:bidi="ar-SA"/>
        </w:rPr>
        <w:t xml:space="preserve"> </w:t>
      </w:r>
      <w:r>
        <w:rPr>
          <w:rFonts w:hint="eastAsia" w:ascii="Times New Roman" w:eastAsia="黑体" w:cs="Times New Roman"/>
          <w:b/>
          <w:color w:val="auto"/>
          <w:sz w:val="21"/>
          <w:szCs w:val="21"/>
          <w:highlight w:val="none"/>
          <w:lang w:val="en-US" w:eastAsia="zh-CN" w:bidi="ar-SA"/>
        </w:rPr>
        <w:t xml:space="preserve"> </w:t>
      </w:r>
      <w:r>
        <w:rPr>
          <w:rFonts w:hint="default" w:ascii="Times New Roman" w:hAnsi="Times New Roman" w:eastAsia="黑体" w:cs="Times New Roman"/>
          <w:b/>
          <w:color w:val="auto"/>
          <w:sz w:val="21"/>
          <w:szCs w:val="21"/>
          <w:highlight w:val="none"/>
          <w:lang w:val="en-US" w:eastAsia="zh-CN" w:bidi="ar-SA"/>
        </w:rPr>
        <w:t xml:space="preserve">hull </w:t>
      </w:r>
    </w:p>
    <w:p w14:paraId="11FC520C">
      <w:pPr>
        <w:pStyle w:val="258"/>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为浮式结构物提供浮力</w:t>
      </w:r>
      <w:r>
        <w:rPr>
          <w:rFonts w:hint="eastAsia" w:ascii="Times New Roman" w:cs="Times New Roman"/>
          <w:color w:val="auto"/>
          <w:highlight w:val="none"/>
          <w:lang w:val="en-US" w:eastAsia="zh-CN"/>
        </w:rPr>
        <w:t>的</w:t>
      </w:r>
      <w:r>
        <w:rPr>
          <w:rFonts w:hint="default" w:ascii="Times New Roman" w:hAnsi="Times New Roman" w:cs="Times New Roman"/>
          <w:color w:val="auto"/>
          <w:highlight w:val="none"/>
        </w:rPr>
        <w:t>漂浮结构。</w:t>
      </w:r>
    </w:p>
    <w:p w14:paraId="6A185510">
      <w:pPr>
        <w:pStyle w:val="323"/>
        <w:rPr>
          <w:rFonts w:hint="default" w:ascii="Times New Roman" w:hAnsi="Times New Roman" w:cs="Times New Roman"/>
          <w:color w:val="auto"/>
          <w:highlight w:val="none"/>
        </w:rPr>
      </w:pPr>
    </w:p>
    <w:p w14:paraId="21640E33">
      <w:pPr>
        <w:pStyle w:val="258"/>
        <w:ind w:left="420" w:leftChars="200" w:firstLine="0" w:firstLineChars="0"/>
        <w:rPr>
          <w:rFonts w:hint="default" w:ascii="Times New Roman" w:hAnsi="Times New Roman" w:eastAsia="黑体" w:cs="Times New Roman"/>
          <w:color w:val="auto"/>
          <w:szCs w:val="21"/>
          <w:highlight w:val="none"/>
        </w:rPr>
      </w:pPr>
      <w:r>
        <w:rPr>
          <w:rFonts w:hint="default" w:ascii="Times New Roman" w:hAnsi="Times New Roman" w:eastAsia="黑体" w:cs="Times New Roman"/>
          <w:color w:val="auto"/>
          <w:szCs w:val="21"/>
          <w:highlight w:val="none"/>
        </w:rPr>
        <w:t xml:space="preserve">系泊系统 </w:t>
      </w:r>
      <w:r>
        <w:rPr>
          <w:rFonts w:hint="eastAsia" w:ascii="Times New Roman" w:eastAsia="黑体" w:cs="Times New Roman"/>
          <w:color w:val="auto"/>
          <w:szCs w:val="21"/>
          <w:highlight w:val="none"/>
          <w:lang w:val="en-US" w:eastAsia="zh-CN"/>
        </w:rPr>
        <w:t xml:space="preserve"> </w:t>
      </w:r>
      <w:r>
        <w:rPr>
          <w:rFonts w:hint="default" w:ascii="Times New Roman" w:hAnsi="Times New Roman" w:eastAsia="黑体" w:cs="Times New Roman"/>
          <w:b/>
          <w:color w:val="auto"/>
          <w:sz w:val="21"/>
          <w:szCs w:val="21"/>
          <w:highlight w:val="none"/>
          <w:lang w:val="en-US" w:eastAsia="zh-CN" w:bidi="ar-SA"/>
        </w:rPr>
        <w:t>mooring system</w:t>
      </w:r>
      <w:r>
        <w:rPr>
          <w:rFonts w:hint="default" w:ascii="Times New Roman" w:hAnsi="Times New Roman" w:eastAsia="黑体" w:cs="Times New Roman"/>
          <w:color w:val="auto"/>
          <w:szCs w:val="21"/>
          <w:highlight w:val="none"/>
        </w:rPr>
        <w:t xml:space="preserve"> </w:t>
      </w:r>
    </w:p>
    <w:p w14:paraId="3DDCDE84">
      <w:pPr>
        <w:pStyle w:val="258"/>
        <w:ind w:firstLine="420"/>
        <w:rPr>
          <w:rFonts w:hint="default" w:ascii="Times New Roman" w:hAnsi="Times New Roman" w:cs="Times New Roman"/>
          <w:color w:val="auto"/>
          <w:kern w:val="2"/>
          <w:szCs w:val="24"/>
          <w:highlight w:val="none"/>
        </w:rPr>
      </w:pPr>
      <w:r>
        <w:rPr>
          <w:rFonts w:hint="eastAsia" w:ascii="Times New Roman" w:cs="Times New Roman"/>
          <w:color w:val="auto"/>
          <w:kern w:val="2"/>
          <w:szCs w:val="24"/>
          <w:highlight w:val="none"/>
          <w:lang w:val="en-US" w:eastAsia="zh-CN"/>
        </w:rPr>
        <w:t>由</w:t>
      </w:r>
      <w:r>
        <w:rPr>
          <w:rFonts w:hint="default" w:ascii="Times New Roman" w:hAnsi="Times New Roman" w:cs="Times New Roman"/>
          <w:color w:val="auto"/>
          <w:kern w:val="2"/>
          <w:szCs w:val="24"/>
          <w:highlight w:val="none"/>
        </w:rPr>
        <w:t>系泊缆和系泊基础</w:t>
      </w:r>
      <w:r>
        <w:rPr>
          <w:rFonts w:hint="eastAsia" w:ascii="Times New Roman" w:cs="Times New Roman"/>
          <w:color w:val="auto"/>
          <w:kern w:val="2"/>
          <w:szCs w:val="24"/>
          <w:highlight w:val="none"/>
          <w:lang w:val="en-US" w:eastAsia="zh-CN"/>
        </w:rPr>
        <w:t>组成，</w:t>
      </w:r>
      <w:r>
        <w:rPr>
          <w:rFonts w:hint="default" w:ascii="Times New Roman" w:hAnsi="Times New Roman" w:cs="Times New Roman"/>
          <w:color w:val="auto"/>
          <w:kern w:val="2"/>
          <w:szCs w:val="24"/>
          <w:highlight w:val="none"/>
        </w:rPr>
        <w:t>将海上浮式</w:t>
      </w:r>
      <w:r>
        <w:rPr>
          <w:rFonts w:hint="eastAsia" w:ascii="Times New Roman" w:cs="Times New Roman"/>
          <w:color w:val="auto"/>
          <w:kern w:val="2"/>
          <w:szCs w:val="24"/>
          <w:highlight w:val="none"/>
          <w:lang w:val="en-US" w:eastAsia="zh-CN"/>
        </w:rPr>
        <w:t>装置保持在预定位置上的系泊装置</w:t>
      </w:r>
      <w:r>
        <w:rPr>
          <w:rFonts w:hint="default" w:ascii="Times New Roman" w:hAnsi="Times New Roman" w:cs="Times New Roman"/>
          <w:color w:val="auto"/>
          <w:kern w:val="2"/>
          <w:szCs w:val="24"/>
          <w:highlight w:val="none"/>
        </w:rPr>
        <w:t>。</w:t>
      </w:r>
    </w:p>
    <w:p w14:paraId="2EDFF44D">
      <w:pPr>
        <w:ind w:firstLine="360" w:firstLineChars="200"/>
        <w:rPr>
          <w:rFonts w:hint="eastAsia" w:ascii="黑体" w:hAnsi="黑体" w:eastAsia="黑体" w:cs="黑体"/>
          <w:color w:val="auto"/>
          <w:kern w:val="0"/>
          <w:sz w:val="18"/>
          <w:szCs w:val="16"/>
          <w:highlight w:val="none"/>
          <w:lang w:eastAsia="zh-CN"/>
        </w:rPr>
      </w:pPr>
      <w:r>
        <w:rPr>
          <w:rFonts w:hint="eastAsia" w:ascii="黑体" w:hAnsi="黑体" w:eastAsia="黑体" w:cs="黑体"/>
          <w:color w:val="auto"/>
          <w:kern w:val="0"/>
          <w:sz w:val="18"/>
          <w:szCs w:val="16"/>
          <w:highlight w:val="none"/>
          <w:lang w:val="en-US" w:eastAsia="zh-CN"/>
        </w:rPr>
        <w:t>注：</w:t>
      </w:r>
      <w:r>
        <w:rPr>
          <w:rFonts w:hint="eastAsia" w:ascii="宋体" w:hAnsi="宋体" w:eastAsia="宋体" w:cs="宋体"/>
          <w:b w:val="0"/>
          <w:bCs w:val="0"/>
          <w:color w:val="auto"/>
          <w:kern w:val="0"/>
          <w:sz w:val="18"/>
          <w:szCs w:val="16"/>
          <w:highlight w:val="none"/>
          <w:lang w:val="en-US" w:eastAsia="zh-CN"/>
        </w:rPr>
        <w:t>主要包括单点系泊系统和多点系泊系统，其中单点系泊系统主要有</w:t>
      </w:r>
      <w:r>
        <w:rPr>
          <w:rFonts w:hint="eastAsia" w:ascii="宋体" w:hAnsi="宋体" w:eastAsia="宋体" w:cs="宋体"/>
          <w:b w:val="0"/>
          <w:bCs w:val="0"/>
          <w:color w:val="auto"/>
          <w:kern w:val="0"/>
          <w:sz w:val="18"/>
          <w:szCs w:val="16"/>
          <w:highlight w:val="none"/>
        </w:rPr>
        <w:t>软刚臂单点系泊系统</w:t>
      </w:r>
      <w:r>
        <w:rPr>
          <w:rFonts w:hint="eastAsia" w:ascii="宋体" w:hAnsi="宋体" w:cs="宋体"/>
          <w:b w:val="0"/>
          <w:bCs w:val="0"/>
          <w:color w:val="auto"/>
          <w:kern w:val="0"/>
          <w:sz w:val="18"/>
          <w:szCs w:val="16"/>
          <w:highlight w:val="none"/>
          <w:lang w:val="en-US" w:eastAsia="zh-CN"/>
        </w:rPr>
        <w:t>和</w:t>
      </w:r>
      <w:r>
        <w:rPr>
          <w:rFonts w:hint="eastAsia" w:ascii="宋体" w:hAnsi="宋体" w:eastAsia="宋体" w:cs="宋体"/>
          <w:b w:val="0"/>
          <w:bCs w:val="0"/>
          <w:color w:val="auto"/>
          <w:kern w:val="0"/>
          <w:sz w:val="18"/>
          <w:szCs w:val="16"/>
          <w:highlight w:val="none"/>
        </w:rPr>
        <w:t>内转塔单点系泊系统</w:t>
      </w:r>
      <w:r>
        <w:rPr>
          <w:rFonts w:hint="eastAsia" w:ascii="宋体" w:hAnsi="宋体" w:eastAsia="宋体" w:cs="宋体"/>
          <w:b w:val="0"/>
          <w:bCs w:val="0"/>
          <w:color w:val="auto"/>
          <w:kern w:val="0"/>
          <w:sz w:val="18"/>
          <w:szCs w:val="16"/>
          <w:highlight w:val="none"/>
          <w:lang w:eastAsia="zh-CN"/>
        </w:rPr>
        <w:t>。</w:t>
      </w:r>
    </w:p>
    <w:p w14:paraId="3D11F202">
      <w:pPr>
        <w:pStyle w:val="323"/>
        <w:rPr>
          <w:rFonts w:hint="default" w:ascii="Times New Roman" w:hAnsi="Times New Roman" w:cs="Times New Roman" w:eastAsiaTheme="minorEastAsia"/>
          <w:color w:val="auto"/>
          <w:highlight w:val="none"/>
        </w:rPr>
      </w:pPr>
    </w:p>
    <w:p w14:paraId="5E4F73B0">
      <w:pPr>
        <w:pStyle w:val="258"/>
        <w:ind w:firstLine="420"/>
        <w:rPr>
          <w:rFonts w:hint="default" w:ascii="Times New Roman" w:hAnsi="Times New Roman" w:cs="Times New Roman" w:eastAsiaTheme="minorEastAsia"/>
          <w:color w:val="auto"/>
          <w:highlight w:val="none"/>
        </w:rPr>
      </w:pPr>
      <w:r>
        <w:rPr>
          <w:rFonts w:hint="default" w:ascii="Times New Roman" w:hAnsi="Times New Roman" w:eastAsia="黑体" w:cs="Times New Roman"/>
          <w:color w:val="auto"/>
          <w:szCs w:val="21"/>
          <w:highlight w:val="none"/>
          <w:lang w:val="en-US" w:eastAsia="zh-CN"/>
        </w:rPr>
        <w:t>标准耐火试验</w:t>
      </w:r>
      <w:r>
        <w:rPr>
          <w:rFonts w:hint="eastAsia" w:ascii="Times New Roman" w:eastAsia="黑体" w:cs="Times New Roman"/>
          <w:color w:val="auto"/>
          <w:szCs w:val="21"/>
          <w:highlight w:val="none"/>
          <w:lang w:val="en-US" w:eastAsia="zh-CN"/>
        </w:rPr>
        <w:t xml:space="preserve">  </w:t>
      </w:r>
      <w:r>
        <w:rPr>
          <w:rFonts w:hint="default" w:ascii="Times New Roman" w:hAnsi="Times New Roman" w:cs="Times New Roman" w:eastAsiaTheme="minorEastAsia"/>
          <w:b/>
          <w:bCs/>
          <w:color w:val="auto"/>
          <w:highlight w:val="none"/>
        </w:rPr>
        <w:t>standard fire resistance test</w:t>
      </w:r>
    </w:p>
    <w:p w14:paraId="72C84520">
      <w:pPr>
        <w:pStyle w:val="258"/>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通过模拟火灾环境，评估建筑构件、材料或防火系统在规定时间内抵抗火焰、高温及热传递能力的系统性测试方法。</w:t>
      </w:r>
    </w:p>
    <w:p w14:paraId="34003955">
      <w:pPr>
        <w:pStyle w:val="258"/>
        <w:ind w:firstLine="420"/>
        <w:rPr>
          <w:rFonts w:hint="eastAsia" w:ascii="宋体" w:hAnsi="宋体" w:cs="宋体"/>
          <w:color w:val="auto"/>
          <w:highlight w:val="none"/>
          <w:lang w:val="en-US" w:eastAsia="zh-CN"/>
        </w:rPr>
      </w:pPr>
      <w:r>
        <w:rPr>
          <w:rFonts w:hint="eastAsia" w:hAnsi="宋体" w:cs="宋体"/>
          <w:color w:val="auto"/>
          <w:highlight w:val="none"/>
          <w:lang w:val="en-US" w:eastAsia="zh-CN"/>
        </w:rPr>
        <w:t>[</w:t>
      </w:r>
      <w:r>
        <w:rPr>
          <w:rFonts w:hint="eastAsia" w:ascii="宋体" w:hAnsi="宋体" w:cs="宋体"/>
          <w:color w:val="auto"/>
          <w:highlight w:val="none"/>
          <w:lang w:val="en-US" w:eastAsia="zh-CN"/>
        </w:rPr>
        <w:t>来源：国际海事组织《国际耐火试验程序应用规则》</w:t>
      </w:r>
      <w:r>
        <w:rPr>
          <w:rFonts w:hint="eastAsia" w:hAnsi="宋体" w:cs="宋体"/>
          <w:color w:val="auto"/>
          <w:highlight w:val="none"/>
          <w:lang w:val="en-US" w:eastAsia="zh-CN"/>
        </w:rPr>
        <w:t>]</w:t>
      </w:r>
    </w:p>
    <w:p w14:paraId="718AFF02">
      <w:pPr>
        <w:pStyle w:val="323"/>
        <w:rPr>
          <w:rFonts w:hint="default" w:ascii="Times New Roman" w:hAnsi="Times New Roman" w:cs="Times New Roman" w:eastAsiaTheme="minorEastAsia"/>
          <w:color w:val="auto"/>
          <w:highlight w:val="none"/>
        </w:rPr>
      </w:pPr>
    </w:p>
    <w:p w14:paraId="6A777036">
      <w:pPr>
        <w:pStyle w:val="305"/>
        <w:numPr>
          <w:ilvl w:val="0"/>
          <w:numId w:val="0"/>
        </w:numPr>
        <w:ind w:left="420"/>
        <w:rPr>
          <w:rFonts w:hint="default" w:ascii="Times New Roman" w:hAnsi="Times New Roman" w:cs="Times New Roman" w:eastAsiaTheme="minorEastAsia"/>
          <w:color w:val="auto"/>
          <w:highlight w:val="none"/>
        </w:rPr>
      </w:pPr>
      <w:r>
        <w:rPr>
          <w:rFonts w:hint="default" w:ascii="Times New Roman" w:hAnsi="Times New Roman" w:eastAsia="黑体" w:cs="Times New Roman"/>
          <w:color w:val="auto"/>
          <w:sz w:val="21"/>
          <w:szCs w:val="21"/>
          <w:highlight w:val="none"/>
          <w:lang w:val="en-US" w:eastAsia="zh-CN" w:bidi="ar-SA"/>
        </w:rPr>
        <w:t>原油区域</w:t>
      </w:r>
      <w:r>
        <w:rPr>
          <w:rFonts w:hint="default" w:ascii="Times New Roman" w:hAnsi="Times New Roman" w:cs="Times New Roman" w:eastAsiaTheme="minorEastAsia"/>
          <w:b/>
          <w:bCs/>
          <w:color w:val="auto"/>
          <w:highlight w:val="none"/>
        </w:rPr>
        <w:t xml:space="preserve"> </w:t>
      </w:r>
      <w:r>
        <w:rPr>
          <w:rFonts w:hint="eastAsia" w:ascii="Times New Roman" w:cs="Times New Roman" w:eastAsiaTheme="minorEastAsia"/>
          <w:b/>
          <w:bCs/>
          <w:color w:val="auto"/>
          <w:highlight w:val="none"/>
          <w:lang w:val="en-US" w:eastAsia="zh-CN"/>
        </w:rPr>
        <w:t xml:space="preserve"> </w:t>
      </w:r>
      <w:r>
        <w:rPr>
          <w:rFonts w:hint="default" w:ascii="Times New Roman" w:hAnsi="Times New Roman" w:cs="Times New Roman" w:eastAsiaTheme="minorEastAsia"/>
          <w:b/>
          <w:bCs/>
          <w:color w:val="auto"/>
          <w:highlight w:val="none"/>
        </w:rPr>
        <w:t>oil production zone</w:t>
      </w:r>
    </w:p>
    <w:p w14:paraId="5D192151">
      <w:pPr>
        <w:pStyle w:val="305"/>
        <w:numPr>
          <w:ilvl w:val="0"/>
          <w:numId w:val="0"/>
        </w:numPr>
        <w:ind w:left="0" w:leftChars="0" w:firstLine="420" w:firstLineChars="200"/>
        <w:rPr>
          <w:rFonts w:hint="default" w:ascii="Times New Roman" w:hAnsi="Times New Roman" w:cs="Times New Roman" w:eastAsiaTheme="minorEastAsia"/>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FPSO</w:t>
      </w:r>
      <w:r>
        <w:rPr>
          <w:rFonts w:hint="default" w:ascii="Times New Roman" w:hAnsi="Times New Roman" w:cs="Times New Roman" w:eastAsiaTheme="minorEastAsia"/>
          <w:color w:val="auto"/>
          <w:sz w:val="21"/>
          <w:szCs w:val="21"/>
          <w:highlight w:val="none"/>
          <w:lang w:val="en-US" w:eastAsia="zh-CN" w:bidi="ar-SA"/>
        </w:rPr>
        <w:t>上的</w:t>
      </w:r>
      <w:r>
        <w:rPr>
          <w:rFonts w:hint="eastAsia" w:ascii="Times New Roman" w:cs="Times New Roman" w:eastAsiaTheme="minorEastAsia"/>
          <w:color w:val="auto"/>
          <w:sz w:val="21"/>
          <w:szCs w:val="21"/>
          <w:highlight w:val="none"/>
          <w:lang w:val="en-US" w:eastAsia="zh-CN" w:bidi="ar-SA"/>
        </w:rPr>
        <w:t>货油舱</w:t>
      </w:r>
      <w:r>
        <w:rPr>
          <w:rFonts w:hint="default" w:ascii="Times New Roman" w:hAnsi="Times New Roman" w:cs="Times New Roman" w:eastAsiaTheme="minorEastAsia"/>
          <w:color w:val="auto"/>
          <w:sz w:val="21"/>
          <w:szCs w:val="21"/>
          <w:highlight w:val="none"/>
          <w:lang w:val="en-US" w:eastAsia="zh-CN" w:bidi="ar-SA"/>
        </w:rPr>
        <w:t>、污油水舱（包括生产水舱）、原油泵舱（包括压载泵舱）、隔离舱、相邻于</w:t>
      </w:r>
      <w:r>
        <w:rPr>
          <w:rFonts w:hint="eastAsia" w:ascii="Times New Roman" w:cs="Times New Roman" w:eastAsiaTheme="minorEastAsia"/>
          <w:color w:val="auto"/>
          <w:sz w:val="21"/>
          <w:szCs w:val="21"/>
          <w:highlight w:val="none"/>
          <w:lang w:val="en-US" w:eastAsia="zh-CN" w:bidi="ar-SA"/>
        </w:rPr>
        <w:t>货油舱</w:t>
      </w:r>
      <w:r>
        <w:rPr>
          <w:rFonts w:hint="default" w:ascii="Times New Roman" w:hAnsi="Times New Roman" w:cs="Times New Roman" w:eastAsiaTheme="minorEastAsia"/>
          <w:color w:val="auto"/>
          <w:sz w:val="21"/>
          <w:szCs w:val="21"/>
          <w:highlight w:val="none"/>
          <w:lang w:val="en-US" w:eastAsia="zh-CN" w:bidi="ar-SA"/>
        </w:rPr>
        <w:t>和污油水舱的压载舱和空舱，以及上述处所上方的区域。</w:t>
      </w:r>
    </w:p>
    <w:p w14:paraId="13AD85BC">
      <w:pPr>
        <w:pStyle w:val="323"/>
        <w:rPr>
          <w:rFonts w:hint="default" w:ascii="Times New Roman" w:hAnsi="Times New Roman" w:cs="Times New Roman" w:eastAsiaTheme="minorEastAsia"/>
          <w:color w:val="auto"/>
          <w:highlight w:val="none"/>
        </w:rPr>
      </w:pPr>
    </w:p>
    <w:p w14:paraId="65AAA62F">
      <w:pPr>
        <w:pStyle w:val="305"/>
        <w:numPr>
          <w:ilvl w:val="0"/>
          <w:numId w:val="0"/>
        </w:numPr>
        <w:ind w:left="420"/>
        <w:rPr>
          <w:rFonts w:hint="default" w:ascii="Times New Roman" w:hAnsi="Times New Roman" w:cs="Times New Roman" w:eastAsiaTheme="minorEastAsia"/>
          <w:color w:val="auto"/>
          <w:highlight w:val="none"/>
        </w:rPr>
      </w:pPr>
      <w:r>
        <w:rPr>
          <w:rFonts w:hint="default" w:ascii="Times New Roman" w:hAnsi="Times New Roman" w:eastAsia="黑体" w:cs="Times New Roman"/>
          <w:color w:val="auto"/>
          <w:sz w:val="21"/>
          <w:szCs w:val="21"/>
          <w:highlight w:val="none"/>
          <w:lang w:val="en-US" w:eastAsia="zh-CN" w:bidi="ar-SA"/>
        </w:rPr>
        <w:t>控制站</w:t>
      </w:r>
      <w:r>
        <w:rPr>
          <w:rFonts w:hint="eastAsia" w:ascii="Times New Roman" w:eastAsia="黑体" w:cs="Times New Roman"/>
          <w:color w:val="auto"/>
          <w:sz w:val="21"/>
          <w:szCs w:val="21"/>
          <w:highlight w:val="none"/>
          <w:lang w:val="en-US" w:eastAsia="zh-CN" w:bidi="ar-SA"/>
        </w:rPr>
        <w:t xml:space="preserve">  </w:t>
      </w:r>
      <w:r>
        <w:rPr>
          <w:rFonts w:hint="default" w:ascii="Times New Roman" w:hAnsi="Times New Roman" w:cs="Times New Roman" w:eastAsiaTheme="minorEastAsia"/>
          <w:b/>
          <w:bCs/>
          <w:color w:val="auto"/>
          <w:highlight w:val="none"/>
        </w:rPr>
        <w:t>control station</w:t>
      </w:r>
    </w:p>
    <w:p w14:paraId="1FF024A5">
      <w:pPr>
        <w:pStyle w:val="305"/>
        <w:numPr>
          <w:ilvl w:val="0"/>
          <w:numId w:val="0"/>
        </w:numPr>
        <w:ind w:left="0" w:leftChars="0" w:firstLine="420" w:firstLineChars="200"/>
        <w:rPr>
          <w:rFonts w:hint="default" w:ascii="Times New Roman" w:hAnsi="Times New Roman" w:cs="Times New Roman" w:eastAsiaTheme="minorEastAsia"/>
          <w:color w:val="auto"/>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bidi="ar-SA"/>
        </w:rPr>
        <w:t>具有监视功能且能够对安全设备、生产处理设备及通用机电设备实施</w:t>
      </w:r>
      <w:r>
        <w:rPr>
          <w:rFonts w:hint="default" w:ascii="Times New Roman" w:cs="Times New Roman" w:eastAsiaTheme="minorEastAsia"/>
          <w:color w:val="auto"/>
          <w:sz w:val="21"/>
          <w:szCs w:val="21"/>
          <w:highlight w:val="none"/>
          <w:lang w:val="en-US" w:eastAsia="zh-CN" w:bidi="ar-SA"/>
        </w:rPr>
        <w:t>关停操作</w:t>
      </w:r>
      <w:r>
        <w:rPr>
          <w:rFonts w:hint="default" w:ascii="Times New Roman" w:hAnsi="Times New Roman" w:cs="Times New Roman" w:eastAsiaTheme="minorEastAsia"/>
          <w:color w:val="auto"/>
          <w:sz w:val="21"/>
          <w:szCs w:val="21"/>
          <w:highlight w:val="none"/>
          <w:lang w:val="en-US" w:eastAsia="zh-CN" w:bidi="ar-SA"/>
        </w:rPr>
        <w:t>控制的处所。</w:t>
      </w:r>
    </w:p>
    <w:p w14:paraId="3EF40A92">
      <w:pPr>
        <w:pStyle w:val="259"/>
        <w:outlineLvl w:val="0"/>
        <w:rPr>
          <w:rFonts w:hint="default" w:ascii="Times New Roman" w:hAnsi="Times New Roman" w:cs="Times New Roman"/>
          <w:color w:val="auto"/>
          <w:highlight w:val="none"/>
        </w:rPr>
      </w:pPr>
      <w:bookmarkStart w:id="70" w:name="_Toc8543"/>
      <w:bookmarkStart w:id="71" w:name="_Toc9792"/>
      <w:bookmarkStart w:id="72" w:name="_Toc9321"/>
      <w:bookmarkStart w:id="73" w:name="_Toc11717"/>
      <w:bookmarkStart w:id="74" w:name="_Toc183727651"/>
      <w:bookmarkStart w:id="75" w:name="_Toc8869"/>
      <w:bookmarkStart w:id="76" w:name="_Toc7356"/>
      <w:bookmarkStart w:id="77" w:name="_Toc32670"/>
      <w:bookmarkStart w:id="78" w:name="_Toc28390"/>
      <w:bookmarkStart w:id="79" w:name="_Toc3911"/>
      <w:r>
        <w:rPr>
          <w:rFonts w:hint="default" w:ascii="Times New Roman" w:hAnsi="Times New Roman" w:cs="Times New Roman"/>
          <w:color w:val="auto"/>
          <w:highlight w:val="none"/>
        </w:rPr>
        <w:t>缩略语</w:t>
      </w:r>
      <w:bookmarkEnd w:id="70"/>
      <w:bookmarkEnd w:id="71"/>
      <w:bookmarkEnd w:id="72"/>
      <w:bookmarkEnd w:id="73"/>
      <w:bookmarkEnd w:id="74"/>
      <w:bookmarkEnd w:id="75"/>
      <w:bookmarkEnd w:id="76"/>
      <w:bookmarkEnd w:id="77"/>
      <w:bookmarkEnd w:id="78"/>
      <w:bookmarkEnd w:id="79"/>
    </w:p>
    <w:p w14:paraId="41C4904C">
      <w:pPr>
        <w:ind w:firstLine="420" w:firstLineChars="200"/>
        <w:rPr>
          <w:rFonts w:hint="default" w:ascii="Times New Roman" w:hAnsi="Times New Roman" w:cs="Times New Roman"/>
          <w:color w:val="auto"/>
          <w:kern w:val="0"/>
          <w:szCs w:val="20"/>
          <w:highlight w:val="none"/>
        </w:rPr>
      </w:pPr>
      <w:r>
        <w:rPr>
          <w:rFonts w:hint="default" w:ascii="Times New Roman" w:hAnsi="Times New Roman" w:cs="Times New Roman"/>
          <w:color w:val="auto"/>
          <w:kern w:val="0"/>
          <w:szCs w:val="20"/>
          <w:highlight w:val="none"/>
        </w:rPr>
        <w:t>下列缩略语适用于本文件。</w:t>
      </w:r>
    </w:p>
    <w:p w14:paraId="6036BFB6">
      <w:pPr>
        <w:pStyle w:val="258"/>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ADCI：</w:t>
      </w:r>
      <w:r>
        <w:rPr>
          <w:rFonts w:hint="eastAsia" w:ascii="宋体" w:hAnsi="宋体" w:eastAsia="宋体" w:cs="宋体"/>
          <w:color w:val="auto"/>
          <w:highlight w:val="none"/>
        </w:rPr>
        <w:t>国际潜水承包商协会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Association of Diving Contractors International</w:t>
      </w:r>
      <w:r>
        <w:rPr>
          <w:rFonts w:hint="eastAsia" w:ascii="宋体" w:hAnsi="宋体" w:eastAsia="宋体" w:cs="宋体"/>
          <w:color w:val="auto"/>
          <w:highlight w:val="none"/>
          <w:lang w:eastAsia="zh-CN"/>
        </w:rPr>
        <w:t>）</w:t>
      </w:r>
    </w:p>
    <w:p w14:paraId="3F7E5303">
      <w:pPr>
        <w:pStyle w:val="258"/>
        <w:ind w:firstLine="420"/>
        <w:rPr>
          <w:rFonts w:hint="default" w:ascii="宋体" w:hAnsi="宋体" w:eastAsia="宋体" w:cs="宋体"/>
          <w:color w:val="auto"/>
          <w:highlight w:val="none"/>
          <w:lang w:val="en-US" w:eastAsia="zh-CN"/>
        </w:rPr>
      </w:pPr>
      <w:r>
        <w:rPr>
          <w:rFonts w:hint="eastAsia" w:hAnsi="宋体" w:cs="宋体"/>
          <w:color w:val="auto"/>
          <w:highlight w:val="none"/>
          <w:lang w:val="en-US" w:eastAsia="zh-CN"/>
        </w:rPr>
        <w:t>AIS：船舶自动识别系统（Automatic Identification System）</w:t>
      </w:r>
    </w:p>
    <w:p w14:paraId="44BAE3D9">
      <w:pPr>
        <w:pStyle w:val="258"/>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DSC：</w:t>
      </w:r>
      <w:r>
        <w:rPr>
          <w:rFonts w:hint="default" w:ascii="宋体" w:hAnsi="宋体" w:eastAsia="宋体" w:cs="宋体"/>
          <w:color w:val="auto"/>
          <w:highlight w:val="none"/>
        </w:rPr>
        <w:t>数字选择性呼叫</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Digital Selective Calling</w:t>
      </w:r>
      <w:r>
        <w:rPr>
          <w:rFonts w:hint="eastAsia" w:ascii="宋体" w:hAnsi="宋体" w:eastAsia="宋体" w:cs="宋体"/>
          <w:color w:val="auto"/>
          <w:highlight w:val="none"/>
          <w:lang w:eastAsia="zh-CN"/>
        </w:rPr>
        <w:t>）</w:t>
      </w:r>
    </w:p>
    <w:p w14:paraId="0BC0B75D">
      <w:pPr>
        <w:pStyle w:val="258"/>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rPr>
        <w:t>EPIRB</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应急</w:t>
      </w:r>
      <w:r>
        <w:rPr>
          <w:rFonts w:hint="eastAsia" w:ascii="宋体" w:hAnsi="宋体" w:eastAsia="宋体" w:cs="宋体"/>
          <w:color w:val="auto"/>
          <w:highlight w:val="none"/>
        </w:rPr>
        <w:t>无线电示位标</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Emergency Position Indicating Radio Beacon</w:t>
      </w:r>
      <w:r>
        <w:rPr>
          <w:rFonts w:hint="eastAsia" w:ascii="宋体" w:hAnsi="宋体" w:eastAsia="宋体" w:cs="宋体"/>
          <w:color w:val="auto"/>
          <w:highlight w:val="none"/>
          <w:lang w:eastAsia="zh-CN"/>
        </w:rPr>
        <w:t>）</w:t>
      </w:r>
    </w:p>
    <w:p w14:paraId="17389061">
      <w:pPr>
        <w:pStyle w:val="258"/>
        <w:ind w:firstLine="409" w:firstLineChars="195"/>
        <w:rPr>
          <w:rFonts w:hint="eastAsia" w:ascii="宋体" w:hAnsi="宋体" w:eastAsia="宋体" w:cs="宋体"/>
          <w:color w:val="auto"/>
          <w:highlight w:val="none"/>
        </w:rPr>
      </w:pPr>
      <w:r>
        <w:rPr>
          <w:rFonts w:hint="eastAsia" w:ascii="宋体" w:hAnsi="宋体" w:eastAsia="宋体" w:cs="宋体"/>
          <w:color w:val="auto"/>
          <w:highlight w:val="none"/>
        </w:rPr>
        <w:t>ESD：紧急关断系统（Emergency Shutdown system）</w:t>
      </w:r>
    </w:p>
    <w:p w14:paraId="78E37DBE">
      <w:pPr>
        <w:widowControl/>
        <w:ind w:firstLine="420" w:firstLineChars="200"/>
        <w:jc w:val="left"/>
        <w:rPr>
          <w:rFonts w:ascii="宋体" w:hAnsi="宋体" w:cs="宋体"/>
          <w:color w:val="auto"/>
          <w:kern w:val="0"/>
          <w:szCs w:val="21"/>
          <w:highlight w:val="none"/>
        </w:rPr>
      </w:pPr>
      <w:r>
        <w:rPr>
          <w:rFonts w:ascii="宋体" w:hAnsi="宋体" w:cs="宋体"/>
          <w:color w:val="auto"/>
          <w:kern w:val="0"/>
          <w:szCs w:val="21"/>
          <w:highlight w:val="none"/>
        </w:rPr>
        <w:t>FGS：火气系统（Fire</w:t>
      </w:r>
      <w:r>
        <w:rPr>
          <w:rFonts w:hint="eastAsia" w:ascii="宋体" w:hAnsi="宋体" w:cs="宋体"/>
          <w:color w:val="auto"/>
          <w:kern w:val="0"/>
          <w:sz w:val="10"/>
          <w:szCs w:val="10"/>
          <w:highlight w:val="none"/>
          <w:lang w:val="en-US" w:eastAsia="zh-CN"/>
        </w:rPr>
        <w:t xml:space="preserve"> </w:t>
      </w:r>
      <w:r>
        <w:rPr>
          <w:rFonts w:hint="eastAsia" w:ascii="宋体" w:hAnsi="宋体" w:cs="宋体"/>
          <w:color w:val="auto"/>
          <w:kern w:val="0"/>
          <w:szCs w:val="21"/>
          <w:highlight w:val="none"/>
          <w:lang w:val="en-US" w:eastAsia="zh-CN"/>
        </w:rPr>
        <w:t>&amp;</w:t>
      </w:r>
      <w:r>
        <w:rPr>
          <w:rFonts w:hint="eastAsia" w:ascii="宋体" w:hAnsi="宋体" w:cs="宋体"/>
          <w:color w:val="auto"/>
          <w:kern w:val="0"/>
          <w:sz w:val="10"/>
          <w:szCs w:val="10"/>
          <w:highlight w:val="none"/>
          <w:lang w:val="en-US" w:eastAsia="zh-CN"/>
        </w:rPr>
        <w:t xml:space="preserve"> </w:t>
      </w:r>
      <w:r>
        <w:rPr>
          <w:rFonts w:ascii="宋体" w:hAnsi="宋体" w:cs="宋体"/>
          <w:color w:val="auto"/>
          <w:kern w:val="0"/>
          <w:szCs w:val="21"/>
          <w:highlight w:val="none"/>
        </w:rPr>
        <w:t>Gas System）</w:t>
      </w:r>
    </w:p>
    <w:p w14:paraId="4166A599">
      <w:pPr>
        <w:widowControl/>
        <w:ind w:firstLine="420" w:firstLineChars="200"/>
        <w:jc w:val="left"/>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FPSO：浮式生产储油装置（O</w:t>
      </w:r>
      <w:r>
        <w:rPr>
          <w:rFonts w:hint="default" w:ascii="宋体" w:hAnsi="宋体" w:cs="宋体"/>
          <w:color w:val="auto"/>
          <w:kern w:val="0"/>
          <w:szCs w:val="21"/>
          <w:highlight w:val="none"/>
        </w:rPr>
        <w:t xml:space="preserve">ffshore </w:t>
      </w:r>
      <w:r>
        <w:rPr>
          <w:rFonts w:hint="eastAsia" w:ascii="宋体" w:hAnsi="宋体" w:cs="宋体"/>
          <w:color w:val="auto"/>
          <w:kern w:val="0"/>
          <w:szCs w:val="21"/>
          <w:highlight w:val="none"/>
          <w:lang w:val="en-US" w:eastAsia="zh-CN"/>
        </w:rPr>
        <w:t>F</w:t>
      </w:r>
      <w:r>
        <w:rPr>
          <w:rFonts w:hint="default" w:ascii="宋体" w:hAnsi="宋体" w:cs="宋体"/>
          <w:color w:val="auto"/>
          <w:kern w:val="0"/>
          <w:szCs w:val="21"/>
          <w:highlight w:val="none"/>
        </w:rPr>
        <w:t xml:space="preserve">loating </w:t>
      </w:r>
      <w:r>
        <w:rPr>
          <w:rFonts w:hint="eastAsia" w:ascii="宋体" w:hAnsi="宋体" w:cs="宋体"/>
          <w:color w:val="auto"/>
          <w:kern w:val="0"/>
          <w:szCs w:val="21"/>
          <w:highlight w:val="none"/>
          <w:lang w:val="en-US" w:eastAsia="zh-CN"/>
        </w:rPr>
        <w:t>P</w:t>
      </w:r>
      <w:r>
        <w:rPr>
          <w:rFonts w:hint="default" w:ascii="宋体" w:hAnsi="宋体" w:cs="宋体"/>
          <w:color w:val="auto"/>
          <w:kern w:val="0"/>
          <w:szCs w:val="21"/>
          <w:highlight w:val="none"/>
        </w:rPr>
        <w:t xml:space="preserve">roduction </w:t>
      </w:r>
      <w:r>
        <w:rPr>
          <w:rFonts w:hint="eastAsia" w:ascii="宋体" w:hAnsi="宋体" w:cs="宋体"/>
          <w:color w:val="auto"/>
          <w:kern w:val="0"/>
          <w:szCs w:val="21"/>
          <w:highlight w:val="none"/>
        </w:rPr>
        <w:t xml:space="preserve">storage </w:t>
      </w:r>
      <w:r>
        <w:rPr>
          <w:rFonts w:hint="eastAsia" w:ascii="宋体" w:hAnsi="宋体" w:cs="宋体"/>
          <w:color w:val="auto"/>
          <w:kern w:val="0"/>
          <w:szCs w:val="21"/>
          <w:highlight w:val="none"/>
          <w:lang w:val="en-US" w:eastAsia="zh-CN"/>
        </w:rPr>
        <w:t>O</w:t>
      </w:r>
      <w:r>
        <w:rPr>
          <w:rFonts w:hint="eastAsia" w:ascii="宋体" w:hAnsi="宋体" w:cs="宋体"/>
          <w:color w:val="auto"/>
          <w:kern w:val="0"/>
          <w:szCs w:val="21"/>
          <w:highlight w:val="none"/>
        </w:rPr>
        <w:t xml:space="preserve">ffloading </w:t>
      </w:r>
      <w:r>
        <w:rPr>
          <w:rFonts w:hint="eastAsia" w:ascii="宋体" w:hAnsi="宋体" w:cs="宋体"/>
          <w:color w:val="auto"/>
          <w:kern w:val="0"/>
          <w:szCs w:val="21"/>
          <w:highlight w:val="none"/>
          <w:lang w:val="en-US" w:eastAsia="zh-CN"/>
        </w:rPr>
        <w:t>U</w:t>
      </w:r>
      <w:r>
        <w:rPr>
          <w:rFonts w:hint="eastAsia" w:ascii="宋体" w:hAnsi="宋体" w:cs="宋体"/>
          <w:color w:val="auto"/>
          <w:kern w:val="0"/>
          <w:szCs w:val="21"/>
          <w:highlight w:val="none"/>
        </w:rPr>
        <w:t>nit</w:t>
      </w:r>
      <w:r>
        <w:rPr>
          <w:rFonts w:hint="eastAsia" w:ascii="宋体" w:hAnsi="宋体" w:cs="宋体"/>
          <w:color w:val="auto"/>
          <w:kern w:val="0"/>
          <w:szCs w:val="21"/>
          <w:highlight w:val="none"/>
          <w:lang w:val="en-US" w:eastAsia="zh-CN"/>
        </w:rPr>
        <w:t>）</w:t>
      </w:r>
    </w:p>
    <w:p w14:paraId="3AD0DEB4">
      <w:pPr>
        <w:pStyle w:val="258"/>
        <w:ind w:firstLine="409" w:firstLineChars="195"/>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IMO：国际海事组织（International Marine Organization）</w:t>
      </w:r>
    </w:p>
    <w:p w14:paraId="016491E6">
      <w:pPr>
        <w:pStyle w:val="258"/>
        <w:ind w:firstLine="420" w:firstLineChars="0"/>
        <w:rPr>
          <w:rFonts w:hint="eastAsia" w:ascii="宋体" w:hAnsi="宋体" w:eastAsia="宋体" w:cs="宋体"/>
          <w:color w:val="auto"/>
          <w:highlight w:val="none"/>
        </w:rPr>
      </w:pPr>
      <w:r>
        <w:rPr>
          <w:rFonts w:hint="eastAsia" w:ascii="宋体" w:hAnsi="宋体" w:eastAsia="宋体" w:cs="宋体"/>
          <w:color w:val="auto"/>
          <w:highlight w:val="none"/>
        </w:rPr>
        <w:t>LPG：液化石油气（Liquefied Petroleum Gas）</w:t>
      </w:r>
    </w:p>
    <w:p w14:paraId="6F4ED62E">
      <w:pPr>
        <w:pStyle w:val="258"/>
        <w:ind w:firstLine="42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MF/HF：</w:t>
      </w:r>
      <w:r>
        <w:rPr>
          <w:rFonts w:hint="eastAsia" w:ascii="宋体" w:hAnsi="宋体" w:eastAsia="宋体" w:cs="宋体"/>
          <w:color w:val="auto"/>
          <w:highlight w:val="none"/>
        </w:rPr>
        <w:t>中频/高频</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Medium Frequency</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High Frequency</w:t>
      </w:r>
      <w:r>
        <w:rPr>
          <w:rFonts w:hint="eastAsia" w:ascii="宋体" w:hAnsi="宋体" w:eastAsia="宋体" w:cs="宋体"/>
          <w:color w:val="auto"/>
          <w:highlight w:val="none"/>
          <w:lang w:eastAsia="zh-CN"/>
        </w:rPr>
        <w:t>）</w:t>
      </w:r>
    </w:p>
    <w:p w14:paraId="704173C9">
      <w:pPr>
        <w:pStyle w:val="258"/>
        <w:ind w:firstLine="420"/>
        <w:rPr>
          <w:rStyle w:val="231"/>
          <w:rFonts w:hint="eastAsia" w:ascii="宋体" w:hAnsi="宋体" w:eastAsia="宋体" w:cs="宋体"/>
          <w:i w:val="0"/>
          <w:iCs w:val="0"/>
          <w:caps w:val="0"/>
          <w:color w:val="auto"/>
          <w:spacing w:val="0"/>
          <w:sz w:val="21"/>
          <w:szCs w:val="20"/>
          <w:highlight w:val="none"/>
          <w:shd w:val="clear" w:fill="FFFFFF"/>
          <w:lang w:eastAsia="zh-CN"/>
        </w:rPr>
      </w:pPr>
      <w:r>
        <w:rPr>
          <w:rFonts w:hint="eastAsia" w:ascii="宋体" w:hAnsi="宋体" w:eastAsia="宋体" w:cs="宋体"/>
          <w:color w:val="auto"/>
          <w:highlight w:val="none"/>
          <w:lang w:val="en-US" w:eastAsia="zh-CN"/>
        </w:rPr>
        <w:t>MODU：</w:t>
      </w:r>
      <w:r>
        <w:rPr>
          <w:rStyle w:val="231"/>
          <w:rFonts w:hint="eastAsia" w:ascii="宋体" w:hAnsi="宋体" w:eastAsia="宋体" w:cs="宋体"/>
          <w:i w:val="0"/>
          <w:iCs w:val="0"/>
          <w:caps w:val="0"/>
          <w:color w:val="auto"/>
          <w:spacing w:val="0"/>
          <w:sz w:val="21"/>
          <w:szCs w:val="20"/>
          <w:highlight w:val="none"/>
          <w:shd w:val="clear" w:fill="FFFFFF"/>
        </w:rPr>
        <w:t>移动式</w:t>
      </w:r>
      <w:r>
        <w:rPr>
          <w:rFonts w:hint="eastAsia" w:ascii="宋体" w:hAnsi="宋体" w:eastAsia="宋体" w:cs="宋体"/>
          <w:i w:val="0"/>
          <w:iCs w:val="0"/>
          <w:caps w:val="0"/>
          <w:color w:val="auto"/>
          <w:spacing w:val="0"/>
          <w:sz w:val="21"/>
          <w:szCs w:val="20"/>
          <w:highlight w:val="none"/>
          <w:shd w:val="clear" w:fill="auto"/>
        </w:rPr>
        <w:t>海上</w:t>
      </w:r>
      <w:r>
        <w:rPr>
          <w:rStyle w:val="231"/>
          <w:rFonts w:hint="eastAsia" w:ascii="宋体" w:hAnsi="宋体" w:eastAsia="宋体" w:cs="宋体"/>
          <w:i w:val="0"/>
          <w:iCs w:val="0"/>
          <w:caps w:val="0"/>
          <w:color w:val="auto"/>
          <w:spacing w:val="0"/>
          <w:sz w:val="21"/>
          <w:szCs w:val="20"/>
          <w:highlight w:val="none"/>
          <w:shd w:val="clear" w:fill="FFFFFF"/>
        </w:rPr>
        <w:t>钻井装置</w:t>
      </w:r>
      <w:r>
        <w:rPr>
          <w:rStyle w:val="231"/>
          <w:rFonts w:hint="eastAsia" w:ascii="宋体" w:hAnsi="宋体" w:eastAsia="宋体" w:cs="宋体"/>
          <w:i w:val="0"/>
          <w:iCs w:val="0"/>
          <w:caps w:val="0"/>
          <w:color w:val="auto"/>
          <w:spacing w:val="0"/>
          <w:sz w:val="21"/>
          <w:szCs w:val="20"/>
          <w:highlight w:val="none"/>
          <w:shd w:val="clear" w:fill="FFFFFF"/>
          <w:lang w:eastAsia="zh-CN"/>
        </w:rPr>
        <w:t>（</w:t>
      </w:r>
      <w:r>
        <w:rPr>
          <w:rStyle w:val="231"/>
          <w:rFonts w:hint="eastAsia" w:ascii="宋体" w:hAnsi="宋体" w:eastAsia="宋体" w:cs="宋体"/>
          <w:i w:val="0"/>
          <w:iCs w:val="0"/>
          <w:caps w:val="0"/>
          <w:color w:val="auto"/>
          <w:spacing w:val="0"/>
          <w:sz w:val="21"/>
          <w:szCs w:val="20"/>
          <w:highlight w:val="none"/>
          <w:shd w:val="clear" w:fill="FFFFFF"/>
          <w:lang w:val="en-US" w:eastAsia="zh-CN"/>
        </w:rPr>
        <w:t>Mobile Offshore Drilling Unit</w:t>
      </w:r>
      <w:r>
        <w:rPr>
          <w:rStyle w:val="231"/>
          <w:rFonts w:hint="eastAsia" w:ascii="宋体" w:hAnsi="宋体" w:eastAsia="宋体" w:cs="宋体"/>
          <w:i w:val="0"/>
          <w:iCs w:val="0"/>
          <w:caps w:val="0"/>
          <w:color w:val="auto"/>
          <w:spacing w:val="0"/>
          <w:sz w:val="21"/>
          <w:szCs w:val="20"/>
          <w:highlight w:val="none"/>
          <w:shd w:val="clear" w:fill="FFFFFF"/>
          <w:lang w:eastAsia="zh-CN"/>
        </w:rPr>
        <w:t>）</w:t>
      </w:r>
    </w:p>
    <w:p w14:paraId="3B4790E0">
      <w:pPr>
        <w:pStyle w:val="258"/>
        <w:ind w:firstLine="420"/>
        <w:rPr>
          <w:rStyle w:val="231"/>
          <w:rFonts w:hint="eastAsia" w:ascii="宋体" w:hAnsi="宋体" w:eastAsia="宋体" w:cs="宋体"/>
          <w:i w:val="0"/>
          <w:iCs w:val="0"/>
          <w:caps w:val="0"/>
          <w:color w:val="auto"/>
          <w:spacing w:val="0"/>
          <w:sz w:val="21"/>
          <w:szCs w:val="20"/>
          <w:highlight w:val="none"/>
          <w:shd w:val="clear" w:fill="FFFFFF"/>
          <w:lang w:val="en-US" w:eastAsia="zh-CN"/>
        </w:rPr>
      </w:pPr>
      <w:r>
        <w:rPr>
          <w:rStyle w:val="231"/>
          <w:rFonts w:hint="eastAsia" w:ascii="宋体" w:hAnsi="宋体" w:eastAsia="宋体" w:cs="宋体"/>
          <w:i w:val="0"/>
          <w:iCs w:val="0"/>
          <w:caps w:val="0"/>
          <w:color w:val="auto"/>
          <w:spacing w:val="0"/>
          <w:sz w:val="21"/>
          <w:szCs w:val="20"/>
          <w:highlight w:val="none"/>
          <w:shd w:val="clear" w:fill="FFFFFF"/>
          <w:lang w:val="en-US" w:eastAsia="zh-CN"/>
        </w:rPr>
        <w:t>MSI:海上安全信息</w:t>
      </w:r>
      <w:r>
        <w:rPr>
          <w:rStyle w:val="231"/>
          <w:rFonts w:hint="eastAsia" w:hAnsi="宋体" w:cs="宋体"/>
          <w:i w:val="0"/>
          <w:iCs w:val="0"/>
          <w:caps w:val="0"/>
          <w:color w:val="auto"/>
          <w:spacing w:val="0"/>
          <w:sz w:val="21"/>
          <w:szCs w:val="20"/>
          <w:highlight w:val="none"/>
          <w:shd w:val="clear" w:fill="FFFFFF"/>
          <w:lang w:val="en-US" w:eastAsia="zh-CN"/>
        </w:rPr>
        <w:t>（</w:t>
      </w:r>
      <w:r>
        <w:rPr>
          <w:rStyle w:val="231"/>
          <w:rFonts w:hint="eastAsia" w:ascii="宋体" w:hAnsi="宋体" w:eastAsia="宋体" w:cs="宋体"/>
          <w:i w:val="0"/>
          <w:iCs w:val="0"/>
          <w:caps w:val="0"/>
          <w:color w:val="auto"/>
          <w:spacing w:val="0"/>
          <w:sz w:val="21"/>
          <w:szCs w:val="20"/>
          <w:highlight w:val="none"/>
          <w:shd w:val="clear" w:fill="FFFFFF"/>
          <w:lang w:val="en-US" w:eastAsia="zh-CN"/>
        </w:rPr>
        <w:t>Maritime Safety Information</w:t>
      </w:r>
      <w:r>
        <w:rPr>
          <w:rStyle w:val="231"/>
          <w:rFonts w:hint="eastAsia" w:hAnsi="宋体" w:cs="宋体"/>
          <w:i w:val="0"/>
          <w:iCs w:val="0"/>
          <w:caps w:val="0"/>
          <w:color w:val="auto"/>
          <w:spacing w:val="0"/>
          <w:sz w:val="21"/>
          <w:szCs w:val="20"/>
          <w:highlight w:val="none"/>
          <w:shd w:val="clear" w:fill="FFFFFF"/>
          <w:lang w:val="en-US" w:eastAsia="zh-CN"/>
        </w:rPr>
        <w:t>）</w:t>
      </w:r>
    </w:p>
    <w:p w14:paraId="486054EE">
      <w:pPr>
        <w:keepNext w:val="0"/>
        <w:keepLines w:val="0"/>
        <w:widowControl/>
        <w:suppressLineNumbers w:val="0"/>
        <w:ind w:firstLine="420" w:firstLineChars="200"/>
        <w:jc w:val="left"/>
        <w:rPr>
          <w:rFonts w:hint="eastAsia" w:ascii="宋体" w:hAnsi="宋体" w:eastAsia="宋体" w:cs="宋体"/>
          <w:color w:val="auto"/>
          <w:kern w:val="0"/>
          <w:szCs w:val="20"/>
          <w:highlight w:val="none"/>
        </w:rPr>
      </w:pPr>
      <w:r>
        <w:rPr>
          <w:rFonts w:hint="eastAsia" w:ascii="宋体" w:hAnsi="宋体" w:eastAsia="宋体" w:cs="宋体"/>
          <w:color w:val="auto"/>
          <w:kern w:val="0"/>
          <w:sz w:val="21"/>
          <w:szCs w:val="20"/>
          <w:highlight w:val="none"/>
          <w:lang w:bidi="ar-SA"/>
        </w:rPr>
        <w:t>OCIMF</w:t>
      </w:r>
      <w:r>
        <w:rPr>
          <w:rFonts w:hint="eastAsia" w:ascii="宋体" w:hAnsi="宋体" w:eastAsia="宋体" w:cs="宋体"/>
          <w:color w:val="auto"/>
          <w:kern w:val="0"/>
          <w:sz w:val="21"/>
          <w:szCs w:val="20"/>
          <w:highlight w:val="none"/>
          <w:lang w:eastAsia="zh-CN" w:bidi="ar-SA"/>
        </w:rPr>
        <w:t>：</w:t>
      </w:r>
      <w:r>
        <w:rPr>
          <w:rFonts w:hint="eastAsia" w:ascii="宋体" w:hAnsi="宋体" w:eastAsia="宋体" w:cs="宋体"/>
          <w:color w:val="auto"/>
          <w:kern w:val="0"/>
          <w:sz w:val="21"/>
          <w:szCs w:val="20"/>
          <w:highlight w:val="none"/>
          <w:lang w:val="en-US" w:eastAsia="zh-CN" w:bidi="ar-SA"/>
        </w:rPr>
        <w:t>石油公司国际海事论坛（Oil Companies International Marine Forum）</w:t>
      </w:r>
    </w:p>
    <w:p w14:paraId="70EFAD1A">
      <w:pPr>
        <w:pStyle w:val="258"/>
        <w:ind w:firstLine="420"/>
        <w:rPr>
          <w:rFonts w:hint="default" w:ascii="宋体" w:hAnsi="宋体" w:eastAsia="宋体" w:cs="宋体"/>
          <w:color w:val="auto"/>
          <w:highlight w:val="none"/>
          <w:lang w:val="en-US" w:eastAsia="zh-CN"/>
        </w:rPr>
      </w:pPr>
      <w:r>
        <w:rPr>
          <w:rFonts w:hint="eastAsia" w:hAnsi="宋体" w:cs="宋体"/>
          <w:color w:val="auto"/>
          <w:highlight w:val="none"/>
          <w:lang w:val="en-US" w:eastAsia="zh-CN"/>
        </w:rPr>
        <w:t>PCS：过程控制系统（Process Control System）</w:t>
      </w:r>
    </w:p>
    <w:p w14:paraId="73CED89F">
      <w:pPr>
        <w:pStyle w:val="258"/>
        <w:ind w:firstLine="420"/>
        <w:rPr>
          <w:rFonts w:hint="eastAsia" w:ascii="宋体" w:hAnsi="宋体" w:eastAsia="宋体" w:cs="宋体"/>
          <w:color w:val="auto"/>
          <w:highlight w:val="none"/>
          <w:lang w:eastAsia="zh-CN"/>
        </w:rPr>
      </w:pPr>
      <w:r>
        <w:rPr>
          <w:rFonts w:hint="eastAsia" w:ascii="宋体" w:hAnsi="宋体" w:eastAsia="宋体" w:cs="宋体"/>
          <w:color w:val="auto"/>
          <w:highlight w:val="none"/>
        </w:rPr>
        <w:t>ROV</w:t>
      </w:r>
      <w:r>
        <w:rPr>
          <w:rFonts w:hint="eastAsia" w:ascii="宋体" w:hAnsi="宋体" w:eastAsia="宋体" w:cs="宋体"/>
          <w:color w:val="auto"/>
          <w:highlight w:val="none"/>
          <w:lang w:eastAsia="zh-CN"/>
        </w:rPr>
        <w:t>：</w:t>
      </w:r>
      <w:r>
        <w:rPr>
          <w:rFonts w:hint="eastAsia" w:ascii="宋体" w:hAnsi="宋体" w:eastAsia="宋体" w:cs="宋体"/>
          <w:i w:val="0"/>
          <w:iCs w:val="0"/>
          <w:caps w:val="0"/>
          <w:color w:val="auto"/>
          <w:spacing w:val="0"/>
          <w:sz w:val="20"/>
          <w:szCs w:val="20"/>
          <w:highlight w:val="none"/>
          <w:shd w:val="clear" w:fill="FFFFFF"/>
        </w:rPr>
        <w:t>遥控</w:t>
      </w:r>
      <w:r>
        <w:rPr>
          <w:rFonts w:hint="eastAsia" w:ascii="宋体" w:hAnsi="宋体" w:eastAsia="宋体" w:cs="宋体"/>
          <w:i w:val="0"/>
          <w:iCs w:val="0"/>
          <w:caps w:val="0"/>
          <w:color w:val="auto"/>
          <w:spacing w:val="0"/>
          <w:sz w:val="20"/>
          <w:szCs w:val="20"/>
          <w:highlight w:val="none"/>
          <w:shd w:val="clear" w:fill="FFFFFF"/>
          <w:lang w:val="en-US" w:eastAsia="zh-CN"/>
        </w:rPr>
        <w:t>潜水器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Remotely</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Operated</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Vehicle</w:t>
      </w:r>
      <w:r>
        <w:rPr>
          <w:rFonts w:hint="eastAsia" w:ascii="宋体" w:hAnsi="宋体" w:eastAsia="宋体" w:cs="宋体"/>
          <w:color w:val="auto"/>
          <w:highlight w:val="none"/>
          <w:lang w:eastAsia="zh-CN"/>
        </w:rPr>
        <w:t>）</w:t>
      </w:r>
    </w:p>
    <w:p w14:paraId="58A830D4">
      <w:pPr>
        <w:pStyle w:val="258"/>
        <w:ind w:firstLine="420"/>
        <w:rPr>
          <w:rStyle w:val="231"/>
          <w:rFonts w:hint="eastAsia" w:ascii="宋体" w:hAnsi="宋体" w:eastAsia="宋体" w:cs="宋体"/>
          <w:i w:val="0"/>
          <w:iCs w:val="0"/>
          <w:caps w:val="0"/>
          <w:color w:val="auto"/>
          <w:spacing w:val="0"/>
          <w:sz w:val="21"/>
          <w:szCs w:val="20"/>
          <w:highlight w:val="none"/>
          <w:shd w:val="clear" w:fill="FFFFFF"/>
          <w:lang w:val="en-US" w:eastAsia="zh-CN"/>
        </w:rPr>
      </w:pPr>
      <w:r>
        <w:rPr>
          <w:rStyle w:val="231"/>
          <w:rFonts w:hint="eastAsia" w:ascii="宋体" w:hAnsi="宋体" w:cs="宋体"/>
          <w:color w:val="auto"/>
          <w:highlight w:val="none"/>
          <w:shd w:val="clear" w:fill="FFFFFF"/>
        </w:rPr>
        <w:t>RMSS</w:t>
      </w:r>
      <w:r>
        <w:rPr>
          <w:rStyle w:val="231"/>
          <w:rFonts w:hint="eastAsia" w:ascii="宋体" w:hAnsi="宋体" w:eastAsia="宋体" w:cs="宋体"/>
          <w:i w:val="0"/>
          <w:iCs w:val="0"/>
          <w:caps w:val="0"/>
          <w:color w:val="auto"/>
          <w:spacing w:val="0"/>
          <w:sz w:val="21"/>
          <w:szCs w:val="20"/>
          <w:highlight w:val="none"/>
          <w:shd w:val="clear" w:fill="FFFFFF"/>
          <w:lang w:val="en-US" w:eastAsia="zh-CN"/>
        </w:rPr>
        <w:t>：</w:t>
      </w:r>
      <w:r>
        <w:rPr>
          <w:rFonts w:hint="eastAsia" w:ascii="宋体" w:hAnsi="宋体" w:eastAsia="宋体" w:cs="宋体"/>
          <w:i w:val="0"/>
          <w:iCs w:val="0"/>
          <w:caps w:val="0"/>
          <w:color w:val="auto"/>
          <w:spacing w:val="0"/>
          <w:sz w:val="20"/>
          <w:szCs w:val="20"/>
          <w:highlight w:val="none"/>
          <w:shd w:val="clear" w:fill="FFFFFF"/>
          <w:lang w:val="en-US" w:eastAsia="zh-CN"/>
        </w:rPr>
        <w:t>认可的移动卫星服务</w:t>
      </w:r>
      <w:r>
        <w:rPr>
          <w:rStyle w:val="231"/>
          <w:rFonts w:hint="eastAsia" w:ascii="宋体" w:hAnsi="宋体" w:eastAsia="宋体" w:cs="宋体"/>
          <w:i w:val="0"/>
          <w:iCs w:val="0"/>
          <w:caps w:val="0"/>
          <w:color w:val="auto"/>
          <w:spacing w:val="0"/>
          <w:sz w:val="21"/>
          <w:szCs w:val="20"/>
          <w:highlight w:val="none"/>
          <w:shd w:val="clear" w:fill="FFFFFF"/>
          <w:lang w:val="en-US" w:eastAsia="zh-CN"/>
        </w:rPr>
        <w:t>（</w:t>
      </w:r>
      <w:r>
        <w:rPr>
          <w:rStyle w:val="231"/>
          <w:rFonts w:hint="default" w:ascii="宋体" w:hAnsi="宋体" w:eastAsia="宋体" w:cs="宋体"/>
          <w:i w:val="0"/>
          <w:iCs w:val="0"/>
          <w:caps w:val="0"/>
          <w:color w:val="auto"/>
          <w:spacing w:val="0"/>
          <w:sz w:val="21"/>
          <w:szCs w:val="20"/>
          <w:highlight w:val="none"/>
          <w:shd w:val="clear" w:fill="FFFFFF"/>
          <w:lang w:val="en-US" w:eastAsia="zh-CN"/>
        </w:rPr>
        <w:t>Recognize</w:t>
      </w:r>
      <w:r>
        <w:rPr>
          <w:rStyle w:val="231"/>
          <w:rFonts w:hint="eastAsia" w:ascii="宋体" w:hAnsi="宋体" w:eastAsia="宋体" w:cs="宋体"/>
          <w:i w:val="0"/>
          <w:iCs w:val="0"/>
          <w:caps w:val="0"/>
          <w:color w:val="auto"/>
          <w:spacing w:val="0"/>
          <w:sz w:val="21"/>
          <w:szCs w:val="20"/>
          <w:highlight w:val="none"/>
          <w:shd w:val="clear" w:fill="FFFFFF"/>
          <w:lang w:val="en-US" w:eastAsia="zh-CN"/>
        </w:rPr>
        <w:t xml:space="preserve">d </w:t>
      </w:r>
      <w:r>
        <w:rPr>
          <w:rStyle w:val="231"/>
          <w:rFonts w:hint="default" w:ascii="宋体" w:hAnsi="宋体" w:eastAsia="宋体" w:cs="宋体"/>
          <w:i w:val="0"/>
          <w:iCs w:val="0"/>
          <w:caps w:val="0"/>
          <w:color w:val="auto"/>
          <w:spacing w:val="0"/>
          <w:sz w:val="21"/>
          <w:szCs w:val="20"/>
          <w:highlight w:val="none"/>
          <w:shd w:val="clear" w:fill="FFFFFF"/>
          <w:lang w:val="en-US" w:eastAsia="zh-CN"/>
        </w:rPr>
        <w:t>Mobile Satellite Service</w:t>
      </w:r>
      <w:r>
        <w:rPr>
          <w:rStyle w:val="231"/>
          <w:rFonts w:hint="eastAsia" w:ascii="宋体" w:hAnsi="宋体" w:eastAsia="宋体" w:cs="宋体"/>
          <w:i w:val="0"/>
          <w:iCs w:val="0"/>
          <w:caps w:val="0"/>
          <w:color w:val="auto"/>
          <w:spacing w:val="0"/>
          <w:sz w:val="21"/>
          <w:szCs w:val="20"/>
          <w:highlight w:val="none"/>
          <w:shd w:val="clear" w:fill="FFFFFF"/>
          <w:lang w:val="en-US" w:eastAsia="zh-CN"/>
        </w:rPr>
        <w:t>）</w:t>
      </w:r>
    </w:p>
    <w:p w14:paraId="531F197E">
      <w:pPr>
        <w:pStyle w:val="258"/>
        <w:ind w:firstLine="420"/>
        <w:rPr>
          <w:rFonts w:hint="default" w:ascii="宋体" w:hAnsi="宋体" w:eastAsia="宋体" w:cs="宋体"/>
          <w:i w:val="0"/>
          <w:iCs w:val="0"/>
          <w:caps w:val="0"/>
          <w:color w:val="auto"/>
          <w:spacing w:val="0"/>
          <w:sz w:val="20"/>
          <w:szCs w:val="20"/>
          <w:highlight w:val="none"/>
          <w:shd w:val="clear" w:fill="FFFFFF"/>
          <w:lang w:val="en-US" w:eastAsia="zh-CN"/>
        </w:rPr>
      </w:pPr>
      <w:r>
        <w:rPr>
          <w:rFonts w:hint="eastAsia" w:ascii="宋体" w:hAnsi="宋体" w:eastAsia="宋体" w:cs="宋体"/>
          <w:i w:val="0"/>
          <w:iCs w:val="0"/>
          <w:caps w:val="0"/>
          <w:color w:val="auto"/>
          <w:spacing w:val="0"/>
          <w:sz w:val="20"/>
          <w:szCs w:val="20"/>
          <w:highlight w:val="none"/>
          <w:shd w:val="clear" w:fill="FFFFFF"/>
          <w:lang w:val="en-US" w:eastAsia="zh-CN"/>
        </w:rPr>
        <w:t>VHF：甚高频</w:t>
      </w:r>
      <w:r>
        <w:rPr>
          <w:rStyle w:val="231"/>
          <w:rFonts w:hint="eastAsia" w:ascii="宋体" w:hAnsi="宋体" w:eastAsia="宋体" w:cs="宋体"/>
          <w:i w:val="0"/>
          <w:iCs w:val="0"/>
          <w:caps w:val="0"/>
          <w:color w:val="auto"/>
          <w:spacing w:val="0"/>
          <w:sz w:val="21"/>
          <w:szCs w:val="20"/>
          <w:highlight w:val="none"/>
          <w:shd w:val="clear" w:fill="FFFFFF"/>
          <w:lang w:val="en-US" w:eastAsia="zh-CN"/>
        </w:rPr>
        <w:t>(Very High Frequency)</w:t>
      </w:r>
    </w:p>
    <w:p w14:paraId="204F425A">
      <w:pPr>
        <w:pStyle w:val="259"/>
        <w:outlineLvl w:val="0"/>
        <w:rPr>
          <w:rFonts w:hint="default" w:ascii="Times New Roman" w:hAnsi="Times New Roman" w:cs="Times New Roman"/>
          <w:color w:val="auto"/>
          <w:highlight w:val="none"/>
        </w:rPr>
      </w:pPr>
      <w:bookmarkStart w:id="80" w:name="_Toc183727652"/>
      <w:bookmarkStart w:id="81" w:name="_Toc17854"/>
      <w:bookmarkStart w:id="82" w:name="_Toc13015"/>
      <w:bookmarkStart w:id="83" w:name="_Toc7853"/>
      <w:bookmarkStart w:id="84" w:name="_Toc6347"/>
      <w:bookmarkStart w:id="85" w:name="_Toc20274"/>
      <w:bookmarkStart w:id="86" w:name="_Toc20789"/>
      <w:bookmarkStart w:id="87" w:name="_Toc13452"/>
      <w:bookmarkStart w:id="88" w:name="_Toc477"/>
      <w:bookmarkStart w:id="89" w:name="_Toc25692"/>
      <w:r>
        <w:rPr>
          <w:rFonts w:hint="default" w:ascii="Times New Roman" w:hAnsi="Times New Roman" w:cs="Times New Roman"/>
          <w:color w:val="auto"/>
          <w:highlight w:val="none"/>
        </w:rPr>
        <w:t>总体</w:t>
      </w:r>
      <w:bookmarkEnd w:id="80"/>
      <w:bookmarkEnd w:id="81"/>
      <w:bookmarkEnd w:id="82"/>
      <w:bookmarkEnd w:id="83"/>
      <w:bookmarkEnd w:id="84"/>
      <w:bookmarkEnd w:id="85"/>
      <w:bookmarkEnd w:id="86"/>
      <w:bookmarkEnd w:id="87"/>
      <w:r>
        <w:rPr>
          <w:rFonts w:hint="eastAsia" w:ascii="Times New Roman" w:cs="Times New Roman"/>
          <w:color w:val="auto"/>
          <w:highlight w:val="none"/>
          <w:lang w:val="en-US" w:eastAsia="zh-CN"/>
        </w:rPr>
        <w:t>原则</w:t>
      </w:r>
      <w:bookmarkEnd w:id="88"/>
      <w:bookmarkEnd w:id="89"/>
    </w:p>
    <w:p w14:paraId="0D9FE464">
      <w:pPr>
        <w:pStyle w:val="330"/>
        <w:rPr>
          <w:rFonts w:hint="eastAsia" w:ascii="宋体" w:hAnsi="宋体" w:eastAsia="宋体" w:cs="宋体"/>
          <w:color w:val="auto"/>
          <w:highlight w:val="none"/>
        </w:rPr>
      </w:pPr>
      <w:bookmarkStart w:id="90" w:name="_Toc3583"/>
      <w:bookmarkStart w:id="91" w:name="_Toc6496"/>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的设计单位、建造单位、责任方和发证检验机构遵循风险分析原则，对</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在设计、建造、安装、生产和</w:t>
      </w:r>
      <w:r>
        <w:rPr>
          <w:rFonts w:hint="eastAsia" w:ascii="宋体" w:hAnsi="宋体" w:eastAsia="宋体" w:cs="宋体"/>
          <w:color w:val="auto"/>
          <w:highlight w:val="none"/>
          <w:lang w:val="en-US" w:eastAsia="zh-CN"/>
        </w:rPr>
        <w:t>弃置</w:t>
      </w:r>
      <w:r>
        <w:rPr>
          <w:rFonts w:hint="eastAsia" w:ascii="宋体" w:hAnsi="宋体" w:eastAsia="宋体" w:cs="宋体"/>
          <w:color w:val="auto"/>
          <w:highlight w:val="none"/>
        </w:rPr>
        <w:t>等阶段可能遇到的风险进行全面、系统的分析，使风险降低至最低合理可行的水平。</w:t>
      </w:r>
    </w:p>
    <w:p w14:paraId="225D3BBE">
      <w:pPr>
        <w:pStyle w:val="33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设计、建造、安装以及生产的全过程实施发证检验制度</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主要包括设计审查、建造检验、生产期检验以及产品检验</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船体部分满足实施检验的船级社入级规范的要求</w:t>
      </w:r>
      <w:r>
        <w:rPr>
          <w:rFonts w:hint="eastAsia" w:ascii="宋体" w:hAnsi="宋体" w:eastAsia="宋体" w:cs="宋体"/>
          <w:color w:val="auto"/>
          <w:highlight w:val="none"/>
          <w:lang w:eastAsia="zh-CN"/>
        </w:rPr>
        <w:t>。</w:t>
      </w:r>
    </w:p>
    <w:p w14:paraId="650027BE">
      <w:pPr>
        <w:pStyle w:val="330"/>
        <w:rPr>
          <w:rFonts w:hint="eastAsia" w:ascii="宋体" w:hAnsi="宋体" w:eastAsia="宋体" w:cs="宋体"/>
          <w:color w:val="auto"/>
          <w:highlight w:val="none"/>
        </w:rPr>
      </w:pP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结构设计以</w:t>
      </w:r>
      <w:r>
        <w:rPr>
          <w:rFonts w:hint="eastAsia" w:ascii="宋体" w:hAnsi="宋体" w:eastAsia="宋体" w:cs="宋体"/>
          <w:strike w:val="0"/>
          <w:color w:val="auto"/>
          <w:highlight w:val="none"/>
        </w:rPr>
        <w:t>可靠的</w:t>
      </w:r>
      <w:r>
        <w:rPr>
          <w:rFonts w:hint="eastAsia" w:ascii="宋体" w:hAnsi="宋体" w:eastAsia="宋体" w:cs="宋体"/>
          <w:color w:val="auto"/>
          <w:highlight w:val="none"/>
        </w:rPr>
        <w:t>计算分析为基础，</w:t>
      </w:r>
      <w:r>
        <w:rPr>
          <w:rFonts w:hint="eastAsia" w:ascii="宋体" w:hAnsi="宋体" w:eastAsia="宋体" w:cs="宋体"/>
          <w:strike w:val="0"/>
          <w:color w:val="auto"/>
          <w:highlight w:val="none"/>
          <w:lang w:val="en-US" w:eastAsia="zh-CN"/>
        </w:rPr>
        <w:t>满足</w:t>
      </w:r>
      <w:r>
        <w:rPr>
          <w:rFonts w:hint="eastAsia" w:ascii="宋体" w:hAnsi="宋体" w:eastAsia="宋体" w:cs="宋体"/>
          <w:color w:val="auto"/>
          <w:highlight w:val="none"/>
        </w:rPr>
        <w:t>所在海域环境条件。</w:t>
      </w:r>
      <w:bookmarkEnd w:id="90"/>
      <w:bookmarkEnd w:id="91"/>
    </w:p>
    <w:p w14:paraId="779CCA8A">
      <w:pPr>
        <w:pStyle w:val="330"/>
        <w:rPr>
          <w:rFonts w:hint="eastAsia" w:ascii="宋体" w:hAnsi="宋体" w:eastAsia="宋体" w:cs="宋体"/>
          <w:color w:val="auto"/>
          <w:highlight w:val="none"/>
        </w:rPr>
      </w:pPr>
      <w:bookmarkStart w:id="92" w:name="_Toc25923"/>
      <w:bookmarkStart w:id="93" w:name="_Toc20787"/>
      <w:bookmarkStart w:id="94" w:name="_Toc27606"/>
      <w:bookmarkStart w:id="95" w:name="_Toc506"/>
      <w:r>
        <w:rPr>
          <w:rFonts w:hint="eastAsia" w:ascii="宋体" w:hAnsi="宋体" w:eastAsia="宋体" w:cs="宋体"/>
          <w:color w:val="auto"/>
          <w:highlight w:val="none"/>
        </w:rPr>
        <w:t>设备、压力容器及其管道和附件设计、安装和防护</w:t>
      </w:r>
      <w:r>
        <w:rPr>
          <w:rFonts w:hint="eastAsia" w:ascii="宋体" w:hAnsi="宋体" w:eastAsia="宋体" w:cs="宋体"/>
          <w:color w:val="auto"/>
          <w:highlight w:val="none"/>
          <w:lang w:val="en-US" w:eastAsia="zh-CN"/>
        </w:rPr>
        <w:t>能</w:t>
      </w:r>
      <w:r>
        <w:rPr>
          <w:rFonts w:hint="eastAsia" w:ascii="宋体" w:hAnsi="宋体" w:eastAsia="宋体" w:cs="宋体"/>
          <w:color w:val="auto"/>
          <w:highlight w:val="none"/>
        </w:rPr>
        <w:t>使运动部件、热表面和其他危险对装置上人员伤害</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可能性减至</w:t>
      </w:r>
      <w:r>
        <w:rPr>
          <w:rFonts w:hint="eastAsia" w:ascii="宋体" w:hAnsi="宋体" w:eastAsia="宋体" w:cs="宋体"/>
          <w:color w:val="auto"/>
          <w:highlight w:val="none"/>
          <w:lang w:val="en-US" w:eastAsia="zh-CN"/>
        </w:rPr>
        <w:t>合理</w:t>
      </w:r>
      <w:r>
        <w:rPr>
          <w:rFonts w:hint="eastAsia" w:ascii="宋体" w:hAnsi="宋体" w:eastAsia="宋体" w:cs="宋体"/>
          <w:color w:val="auto"/>
          <w:highlight w:val="none"/>
        </w:rPr>
        <w:t>程度。</w:t>
      </w:r>
      <w:bookmarkEnd w:id="92"/>
      <w:bookmarkEnd w:id="93"/>
    </w:p>
    <w:p w14:paraId="19E762AE">
      <w:pPr>
        <w:pStyle w:val="330"/>
        <w:rPr>
          <w:rFonts w:hint="eastAsia" w:ascii="宋体" w:hAnsi="宋体" w:eastAsia="宋体" w:cs="宋体"/>
          <w:color w:val="auto"/>
          <w:highlight w:val="none"/>
        </w:rPr>
      </w:pPr>
      <w:r>
        <w:rPr>
          <w:rFonts w:hint="eastAsia" w:ascii="宋体" w:hAnsi="宋体" w:eastAsia="宋体" w:cs="宋体"/>
          <w:color w:val="auto"/>
          <w:highlight w:val="none"/>
        </w:rPr>
        <w:t>危险区域根据易燃、可燃气体或蒸气的释放频次和持续时间以及通风条件，划分为0区、1区和2区；当通风不良时，提高危险区域的等级。</w:t>
      </w:r>
    </w:p>
    <w:p w14:paraId="5A11C755">
      <w:pPr>
        <w:pStyle w:val="330"/>
        <w:jc w:val="both"/>
        <w:rPr>
          <w:rFonts w:hint="eastAsia" w:ascii="宋体" w:hAnsi="宋体" w:eastAsia="宋体" w:cs="宋体"/>
          <w:color w:val="auto"/>
          <w:highlight w:val="none"/>
        </w:rPr>
      </w:pPr>
      <w:r>
        <w:rPr>
          <w:rFonts w:hint="eastAsia" w:ascii="宋体" w:hAnsi="宋体" w:eastAsia="宋体" w:cs="宋体"/>
          <w:color w:val="auto"/>
          <w:highlight w:val="none"/>
        </w:rPr>
        <w:t>消防设施能有效减少火灾危险带来的人身和财产损失。用于控火、灭火的消防设施能有效控制或扑灭火灾，用于防护冷却或防火分隔的消防设施，能在规定时间内有效阻止火灾蔓延。</w:t>
      </w:r>
    </w:p>
    <w:bookmarkEnd w:id="94"/>
    <w:bookmarkEnd w:id="95"/>
    <w:p w14:paraId="095E28C3">
      <w:pPr>
        <w:pStyle w:val="330"/>
        <w:rPr>
          <w:rFonts w:hint="eastAsia" w:ascii="宋体" w:hAnsi="宋体" w:eastAsia="宋体" w:cs="宋体"/>
          <w:color w:val="auto"/>
          <w:highlight w:val="none"/>
        </w:rPr>
      </w:pPr>
      <w:r>
        <w:rPr>
          <w:rFonts w:hint="eastAsia" w:ascii="宋体" w:hAnsi="宋体" w:eastAsia="宋体" w:cs="宋体"/>
          <w:color w:val="auto"/>
          <w:highlight w:val="none"/>
        </w:rPr>
        <w:t>救生和逃生设备及装置的能力满足</w:t>
      </w: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总人数要求</w:t>
      </w:r>
      <w:r>
        <w:rPr>
          <w:rFonts w:hint="eastAsia" w:ascii="宋体" w:hAnsi="宋体" w:eastAsia="宋体" w:cs="宋体"/>
          <w:color w:val="auto"/>
          <w:highlight w:val="none"/>
          <w:lang w:eastAsia="zh-CN"/>
        </w:rPr>
        <w:t>。</w:t>
      </w:r>
    </w:p>
    <w:p w14:paraId="5C767DAA">
      <w:pPr>
        <w:pStyle w:val="33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FPSO在</w:t>
      </w:r>
      <w:r>
        <w:rPr>
          <w:rFonts w:hint="eastAsia" w:ascii="宋体" w:hAnsi="宋体" w:eastAsia="宋体" w:cs="宋体"/>
          <w:color w:val="auto"/>
          <w:highlight w:val="none"/>
        </w:rPr>
        <w:t>设计阶段开展危险与可操作</w:t>
      </w:r>
      <w:r>
        <w:rPr>
          <w:rFonts w:hint="eastAsia" w:ascii="宋体" w:hAnsi="宋体" w:eastAsia="宋体" w:cs="宋体"/>
          <w:color w:val="auto"/>
          <w:highlight w:val="none"/>
          <w:lang w:val="en-US" w:eastAsia="zh-CN"/>
        </w:rPr>
        <w:t>性</w:t>
      </w:r>
      <w:r>
        <w:rPr>
          <w:rFonts w:hint="eastAsia" w:ascii="宋体" w:hAnsi="宋体" w:eastAsia="宋体" w:cs="宋体"/>
          <w:color w:val="auto"/>
          <w:highlight w:val="none"/>
        </w:rPr>
        <w:t>分析和</w:t>
      </w:r>
      <w:r>
        <w:rPr>
          <w:rFonts w:hint="eastAsia" w:ascii="宋体" w:hAnsi="宋体" w:eastAsia="宋体" w:cs="宋体"/>
          <w:color w:val="auto"/>
          <w:highlight w:val="none"/>
          <w:lang w:val="en-US" w:eastAsia="zh-CN"/>
        </w:rPr>
        <w:t>安全仪表系统</w:t>
      </w:r>
      <w:r>
        <w:rPr>
          <w:rFonts w:hint="eastAsia" w:ascii="宋体" w:hAnsi="宋体" w:eastAsia="宋体" w:cs="宋体"/>
          <w:color w:val="auto"/>
          <w:highlight w:val="none"/>
        </w:rPr>
        <w:t>完整性等级分析。</w:t>
      </w:r>
    </w:p>
    <w:p w14:paraId="5F4F066A">
      <w:pPr>
        <w:pStyle w:val="259"/>
        <w:outlineLvl w:val="0"/>
        <w:rPr>
          <w:rFonts w:hint="default" w:ascii="Times New Roman" w:hAnsi="Times New Roman" w:cs="Times New Roman"/>
          <w:color w:val="auto"/>
          <w:highlight w:val="none"/>
        </w:rPr>
      </w:pPr>
      <w:bookmarkStart w:id="96" w:name="_Toc183727653"/>
      <w:bookmarkStart w:id="97" w:name="_Toc20482"/>
      <w:bookmarkStart w:id="98" w:name="_Toc5641"/>
      <w:bookmarkStart w:id="99" w:name="_Toc15138"/>
      <w:bookmarkStart w:id="100" w:name="_Toc2406"/>
      <w:bookmarkStart w:id="101" w:name="_Toc31469"/>
      <w:bookmarkStart w:id="102" w:name="_Toc28102"/>
      <w:bookmarkStart w:id="103" w:name="_Toc18391"/>
      <w:bookmarkStart w:id="104" w:name="_Toc7635"/>
      <w:bookmarkStart w:id="105" w:name="_Toc28451"/>
      <w:r>
        <w:rPr>
          <w:rFonts w:hint="default" w:ascii="Times New Roman" w:hAnsi="Times New Roman" w:cs="Times New Roman"/>
          <w:color w:val="auto"/>
          <w:highlight w:val="none"/>
        </w:rPr>
        <w:t>总体布置</w:t>
      </w:r>
      <w:bookmarkEnd w:id="96"/>
      <w:bookmarkEnd w:id="97"/>
      <w:bookmarkEnd w:id="98"/>
      <w:bookmarkEnd w:id="99"/>
      <w:bookmarkEnd w:id="100"/>
      <w:bookmarkEnd w:id="101"/>
      <w:bookmarkEnd w:id="102"/>
      <w:bookmarkEnd w:id="103"/>
      <w:bookmarkEnd w:id="104"/>
      <w:bookmarkEnd w:id="105"/>
    </w:p>
    <w:p w14:paraId="1C359F1C">
      <w:pPr>
        <w:pStyle w:val="260"/>
        <w:outlineLvl w:val="1"/>
        <w:rPr>
          <w:rFonts w:hint="default" w:ascii="Times New Roman" w:hAnsi="Times New Roman" w:cs="Times New Roman"/>
          <w:color w:val="auto"/>
          <w:highlight w:val="none"/>
        </w:rPr>
      </w:pPr>
      <w:bookmarkStart w:id="106" w:name="_Toc26925"/>
      <w:bookmarkStart w:id="107" w:name="_Toc28760"/>
      <w:bookmarkStart w:id="108" w:name="_Toc18934"/>
      <w:bookmarkStart w:id="109" w:name="_Toc18836"/>
      <w:bookmarkStart w:id="110" w:name="_Toc10926"/>
      <w:bookmarkStart w:id="111" w:name="_Toc18869"/>
      <w:bookmarkStart w:id="112" w:name="_Toc73980425"/>
      <w:bookmarkStart w:id="113" w:name="_Toc73863410"/>
      <w:r>
        <w:rPr>
          <w:rFonts w:hint="eastAsia" w:ascii="Times New Roman" w:cs="Times New Roman"/>
          <w:color w:val="auto"/>
          <w:highlight w:val="none"/>
          <w:lang w:eastAsia="zh-CN"/>
        </w:rPr>
        <w:t>通</w:t>
      </w:r>
      <w:bookmarkEnd w:id="106"/>
      <w:bookmarkEnd w:id="107"/>
      <w:bookmarkEnd w:id="108"/>
      <w:bookmarkEnd w:id="109"/>
      <w:r>
        <w:rPr>
          <w:rFonts w:hint="eastAsia" w:ascii="Times New Roman" w:cs="Times New Roman"/>
          <w:color w:val="auto"/>
          <w:highlight w:val="none"/>
          <w:lang w:val="en-US" w:eastAsia="zh-CN"/>
        </w:rPr>
        <w:t>则</w:t>
      </w:r>
      <w:bookmarkEnd w:id="110"/>
      <w:bookmarkEnd w:id="111"/>
    </w:p>
    <w:p w14:paraId="0883DDAD">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114" w:name="_Toc32635"/>
      <w:r>
        <w:rPr>
          <w:rFonts w:hint="eastAsia" w:ascii="宋体" w:hAnsi="宋体" w:eastAsia="宋体" w:cs="宋体"/>
          <w:color w:val="auto"/>
          <w:highlight w:val="none"/>
        </w:rPr>
        <w:t>总体布置</w:t>
      </w:r>
      <w:r>
        <w:rPr>
          <w:rFonts w:hint="eastAsia" w:ascii="宋体" w:hAnsi="宋体" w:eastAsia="宋体" w:cs="宋体"/>
          <w:color w:val="auto"/>
          <w:highlight w:val="none"/>
          <w:lang w:val="en-US" w:eastAsia="zh-CN"/>
        </w:rPr>
        <w:t>遵循</w:t>
      </w:r>
      <w:r>
        <w:rPr>
          <w:rFonts w:hint="eastAsia" w:ascii="宋体" w:hAnsi="宋体" w:eastAsia="宋体" w:cs="宋体"/>
          <w:color w:val="auto"/>
          <w:highlight w:val="none"/>
        </w:rPr>
        <w:t>设备设施安全、可靠、适用</w:t>
      </w:r>
      <w:r>
        <w:rPr>
          <w:rFonts w:hint="eastAsia" w:ascii="宋体" w:hAnsi="宋体" w:eastAsia="宋体" w:cs="宋体"/>
          <w:strike w:val="0"/>
          <w:color w:val="auto"/>
          <w:highlight w:val="none"/>
          <w:lang w:val="en-US" w:eastAsia="zh-CN"/>
        </w:rPr>
        <w:t>的原则</w:t>
      </w:r>
      <w:r>
        <w:rPr>
          <w:rFonts w:hint="eastAsia" w:ascii="宋体" w:hAnsi="宋体" w:eastAsia="宋体" w:cs="宋体"/>
          <w:color w:val="auto"/>
          <w:highlight w:val="none"/>
        </w:rPr>
        <w:t>，便于生产设施安装、操作</w:t>
      </w:r>
      <w:r>
        <w:rPr>
          <w:rFonts w:hint="eastAsia" w:ascii="宋体" w:hAnsi="宋体" w:eastAsia="宋体" w:cs="宋体"/>
          <w:color w:val="auto"/>
          <w:highlight w:val="none"/>
          <w:lang w:val="en-US" w:eastAsia="zh-CN"/>
        </w:rPr>
        <w:t>和</w:t>
      </w:r>
      <w:r>
        <w:rPr>
          <w:rFonts w:hint="eastAsia" w:ascii="宋体" w:hAnsi="宋体" w:eastAsia="宋体" w:cs="宋体"/>
          <w:color w:val="auto"/>
          <w:highlight w:val="none"/>
        </w:rPr>
        <w:t>维修。</w:t>
      </w:r>
    </w:p>
    <w:p w14:paraId="48BF3B35">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115" w:name="_Toc28431"/>
      <w:bookmarkStart w:id="116" w:name="_Toc15204"/>
      <w:r>
        <w:rPr>
          <w:rFonts w:hint="eastAsia" w:ascii="宋体" w:hAnsi="宋体" w:eastAsia="宋体" w:cs="宋体"/>
          <w:color w:val="auto"/>
          <w:highlight w:val="none"/>
        </w:rPr>
        <w:t>总体布置</w:t>
      </w:r>
      <w:r>
        <w:rPr>
          <w:rFonts w:hint="eastAsia" w:ascii="宋体" w:hAnsi="宋体" w:eastAsia="宋体" w:cs="宋体"/>
          <w:color w:val="auto"/>
          <w:highlight w:val="none"/>
          <w:lang w:val="en-US" w:eastAsia="zh-CN"/>
        </w:rPr>
        <w:t>满足</w:t>
      </w:r>
      <w:r>
        <w:rPr>
          <w:rFonts w:hint="eastAsia" w:ascii="宋体" w:hAnsi="宋体" w:eastAsia="宋体" w:cs="宋体"/>
          <w:color w:val="auto"/>
          <w:highlight w:val="none"/>
        </w:rPr>
        <w:t>：</w:t>
      </w:r>
      <w:bookmarkEnd w:id="115"/>
      <w:bookmarkEnd w:id="116"/>
    </w:p>
    <w:p w14:paraId="48985CBB">
      <w:pPr>
        <w:pStyle w:val="326"/>
        <w:keepNext w:val="0"/>
        <w:keepLines w:val="0"/>
        <w:pageBreakBefore w:val="0"/>
        <w:widowControl/>
        <w:numPr>
          <w:ilvl w:val="0"/>
          <w:numId w:val="30"/>
        </w:numPr>
        <w:tabs>
          <w:tab w:val="left" w:pos="738"/>
        </w:tabs>
        <w:kinsoku/>
        <w:wordWrap/>
        <w:overflowPunct/>
        <w:topLinePunct w:val="0"/>
        <w:autoSpaceDE/>
        <w:autoSpaceDN/>
        <w:bidi w:val="0"/>
        <w:adjustRightInd/>
        <w:snapToGrid/>
        <w:textAlignment w:val="auto"/>
        <w:rPr>
          <w:rFonts w:hint="eastAsia" w:ascii="宋体" w:hAnsi="宋体" w:eastAsia="宋体" w:cs="宋体"/>
          <w:color w:val="auto"/>
          <w:highlight w:val="none"/>
        </w:rPr>
      </w:pPr>
      <w:r>
        <w:rPr>
          <w:rFonts w:hint="eastAsia" w:ascii="宋体" w:hAnsi="宋体" w:eastAsia="宋体" w:cs="宋体"/>
          <w:color w:val="auto"/>
          <w:highlight w:val="none"/>
        </w:rPr>
        <w:t>使危险区逸出的可燃气体进入含有引爆源区域的可能性</w:t>
      </w:r>
      <w:r>
        <w:rPr>
          <w:rFonts w:hint="eastAsia" w:ascii="宋体" w:hAnsi="宋体" w:eastAsia="宋体" w:cs="宋体"/>
          <w:color w:val="auto"/>
          <w:highlight w:val="none"/>
          <w:lang w:val="en-US" w:eastAsia="zh-CN"/>
        </w:rPr>
        <w:t>降</w:t>
      </w:r>
      <w:r>
        <w:rPr>
          <w:rFonts w:hint="eastAsia" w:ascii="宋体" w:hAnsi="宋体" w:eastAsia="宋体" w:cs="宋体"/>
          <w:color w:val="auto"/>
          <w:highlight w:val="none"/>
        </w:rPr>
        <w:t>至</w:t>
      </w:r>
      <w:r>
        <w:rPr>
          <w:rFonts w:hint="eastAsia" w:ascii="宋体" w:hAnsi="宋体" w:eastAsia="宋体" w:cs="宋体"/>
          <w:color w:val="auto"/>
          <w:highlight w:val="none"/>
          <w:lang w:val="en-US" w:eastAsia="zh-CN"/>
        </w:rPr>
        <w:t>最</w:t>
      </w:r>
      <w:r>
        <w:rPr>
          <w:rFonts w:hint="eastAsia" w:ascii="宋体" w:hAnsi="宋体" w:eastAsia="宋体" w:cs="宋体"/>
          <w:color w:val="auto"/>
          <w:highlight w:val="none"/>
        </w:rPr>
        <w:t>低；</w:t>
      </w:r>
    </w:p>
    <w:p w14:paraId="185FEC01">
      <w:pPr>
        <w:pStyle w:val="326"/>
        <w:keepNext w:val="0"/>
        <w:keepLines w:val="0"/>
        <w:pageBreakBefore w:val="0"/>
        <w:widowControl/>
        <w:numPr>
          <w:ilvl w:val="0"/>
          <w:numId w:val="30"/>
        </w:numPr>
        <w:tabs>
          <w:tab w:val="left" w:pos="738"/>
        </w:tabs>
        <w:kinsoku/>
        <w:wordWrap/>
        <w:overflowPunct/>
        <w:topLinePunct w:val="0"/>
        <w:autoSpaceDE/>
        <w:autoSpaceDN/>
        <w:bidi w:val="0"/>
        <w:adjustRightInd/>
        <w:snapToGrid/>
        <w:textAlignment w:val="auto"/>
        <w:rPr>
          <w:rFonts w:hint="eastAsia" w:ascii="宋体" w:hAnsi="宋体" w:eastAsia="宋体" w:cs="宋体"/>
          <w:color w:val="auto"/>
          <w:highlight w:val="none"/>
        </w:rPr>
      </w:pPr>
      <w:r>
        <w:rPr>
          <w:rFonts w:hint="eastAsia" w:ascii="宋体" w:hAnsi="宋体" w:eastAsia="宋体" w:cs="宋体"/>
          <w:color w:val="auto"/>
          <w:highlight w:val="none"/>
        </w:rPr>
        <w:t>使火炬燃烧产生的废气以及冷放空的可燃气体远离FPSO；</w:t>
      </w:r>
    </w:p>
    <w:p w14:paraId="485E232D">
      <w:pPr>
        <w:pStyle w:val="326"/>
        <w:keepNext w:val="0"/>
        <w:keepLines w:val="0"/>
        <w:pageBreakBefore w:val="0"/>
        <w:widowControl/>
        <w:numPr>
          <w:ilvl w:val="0"/>
          <w:numId w:val="30"/>
        </w:numPr>
        <w:tabs>
          <w:tab w:val="left" w:pos="738"/>
        </w:tabs>
        <w:kinsoku/>
        <w:wordWrap/>
        <w:overflowPunct/>
        <w:topLinePunct w:val="0"/>
        <w:autoSpaceDE/>
        <w:autoSpaceDN/>
        <w:bidi w:val="0"/>
        <w:adjustRightInd/>
        <w:snapToGrid/>
        <w:textAlignment w:val="auto"/>
        <w:rPr>
          <w:rFonts w:hint="eastAsia" w:ascii="宋体" w:hAnsi="宋体" w:eastAsia="宋体" w:cs="宋体"/>
          <w:color w:val="auto"/>
          <w:highlight w:val="none"/>
        </w:rPr>
      </w:pPr>
      <w:r>
        <w:rPr>
          <w:rFonts w:hint="eastAsia" w:ascii="宋体" w:hAnsi="宋体" w:eastAsia="宋体" w:cs="宋体"/>
          <w:color w:val="auto"/>
          <w:highlight w:val="none"/>
        </w:rPr>
        <w:t>使火灾和爆炸产生的烟气进入居住区、临时避难所（若有）和撤离地点的可能性</w:t>
      </w:r>
      <w:r>
        <w:rPr>
          <w:rFonts w:hint="eastAsia" w:ascii="宋体" w:hAnsi="宋体" w:eastAsia="宋体" w:cs="宋体"/>
          <w:color w:val="auto"/>
          <w:highlight w:val="none"/>
          <w:lang w:val="en-US" w:eastAsia="zh-CN"/>
        </w:rPr>
        <w:t>降</w:t>
      </w:r>
      <w:r>
        <w:rPr>
          <w:rFonts w:hint="eastAsia" w:ascii="宋体" w:hAnsi="宋体" w:eastAsia="宋体" w:cs="宋体"/>
          <w:color w:val="auto"/>
          <w:highlight w:val="none"/>
        </w:rPr>
        <w:t>至</w:t>
      </w:r>
      <w:r>
        <w:rPr>
          <w:rFonts w:hint="eastAsia" w:ascii="宋体" w:hAnsi="宋体" w:eastAsia="宋体" w:cs="宋体"/>
          <w:color w:val="auto"/>
          <w:highlight w:val="none"/>
          <w:lang w:val="en-US" w:eastAsia="zh-CN"/>
        </w:rPr>
        <w:t>最</w:t>
      </w:r>
      <w:r>
        <w:rPr>
          <w:rFonts w:hint="eastAsia" w:ascii="宋体" w:hAnsi="宋体" w:eastAsia="宋体" w:cs="宋体"/>
          <w:color w:val="auto"/>
          <w:highlight w:val="none"/>
        </w:rPr>
        <w:t>低。</w:t>
      </w:r>
    </w:p>
    <w:p w14:paraId="6498F428">
      <w:pPr>
        <w:pStyle w:val="261"/>
        <w:keepNext w:val="0"/>
        <w:keepLines w:val="0"/>
        <w:pageBreakBefore w:val="0"/>
        <w:widowControl/>
        <w:kinsoku/>
        <w:wordWrap/>
        <w:overflowPunct/>
        <w:topLinePunct w:val="0"/>
        <w:autoSpaceDE/>
        <w:autoSpaceDN/>
        <w:bidi w:val="0"/>
        <w:adjustRightInd/>
        <w:snapToGrid/>
        <w:spacing w:beforeLines="0" w:afterLines="0"/>
        <w:textAlignment w:val="auto"/>
        <w:outlineLvl w:val="9"/>
        <w:rPr>
          <w:rFonts w:hint="eastAsia" w:ascii="宋体" w:hAnsi="宋体" w:eastAsia="宋体" w:cs="宋体"/>
          <w:color w:val="auto"/>
          <w:highlight w:val="none"/>
        </w:rPr>
      </w:pPr>
      <w:bookmarkStart w:id="117" w:name="_Toc23912"/>
      <w:bookmarkStart w:id="118" w:name="_Toc2294"/>
      <w:bookmarkStart w:id="119" w:name="_Toc25239"/>
      <w:r>
        <w:rPr>
          <w:rFonts w:hint="eastAsia" w:ascii="宋体" w:hAnsi="宋体" w:eastAsia="宋体" w:cs="宋体"/>
          <w:color w:val="auto"/>
          <w:highlight w:val="none"/>
        </w:rPr>
        <w:t>危险区远离含有引火源和引爆源的区域</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模块。</w:t>
      </w:r>
      <w:r>
        <w:rPr>
          <w:rFonts w:hint="eastAsia" w:ascii="宋体" w:hAnsi="宋体" w:eastAsia="宋体" w:cs="宋体"/>
          <w:color w:val="auto"/>
          <w:highlight w:val="none"/>
          <w:lang w:val="en-US" w:eastAsia="zh-CN"/>
        </w:rPr>
        <w:t>当</w:t>
      </w:r>
      <w:r>
        <w:rPr>
          <w:rFonts w:hint="eastAsia" w:ascii="宋体" w:hAnsi="宋体" w:eastAsia="宋体" w:cs="宋体"/>
          <w:color w:val="auto"/>
          <w:highlight w:val="none"/>
        </w:rPr>
        <w:t>无法远离</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，使用防火墙进行隔离。</w:t>
      </w:r>
      <w:bookmarkEnd w:id="117"/>
      <w:bookmarkEnd w:id="118"/>
      <w:bookmarkEnd w:id="119"/>
    </w:p>
    <w:p w14:paraId="32A17F44">
      <w:pPr>
        <w:pStyle w:val="261"/>
        <w:keepNext w:val="0"/>
        <w:keepLines w:val="0"/>
        <w:pageBreakBefore w:val="0"/>
        <w:widowControl/>
        <w:kinsoku/>
        <w:wordWrap/>
        <w:overflowPunct/>
        <w:topLinePunct w:val="0"/>
        <w:autoSpaceDE/>
        <w:autoSpaceDN/>
        <w:bidi w:val="0"/>
        <w:adjustRightInd/>
        <w:snapToGrid/>
        <w:spacing w:beforeLines="0" w:afterLine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火炬塔的</w:t>
      </w:r>
      <w:r>
        <w:rPr>
          <w:rFonts w:hint="eastAsia" w:ascii="宋体" w:hAnsi="宋体" w:eastAsia="宋体" w:cs="宋体"/>
          <w:color w:val="auto"/>
          <w:highlight w:val="none"/>
          <w:lang w:val="en-US" w:eastAsia="zh-CN"/>
        </w:rPr>
        <w:t>布</w:t>
      </w:r>
      <w:r>
        <w:rPr>
          <w:rFonts w:hint="eastAsia" w:ascii="宋体" w:hAnsi="宋体" w:eastAsia="宋体" w:cs="宋体"/>
          <w:color w:val="auto"/>
          <w:highlight w:val="none"/>
        </w:rPr>
        <w:t>置远离起居处所和直升机起降区</w:t>
      </w:r>
      <w:r>
        <w:rPr>
          <w:rFonts w:hint="eastAsia" w:ascii="宋体" w:hAnsi="宋体" w:eastAsia="宋体" w:cs="宋体"/>
          <w:color w:val="auto"/>
          <w:highlight w:val="none"/>
          <w:lang w:eastAsia="zh-CN"/>
        </w:rPr>
        <w:t>。</w:t>
      </w:r>
      <w:bookmarkEnd w:id="114"/>
    </w:p>
    <w:p w14:paraId="0BACD88D">
      <w:pPr>
        <w:pStyle w:val="260"/>
        <w:outlineLvl w:val="1"/>
        <w:rPr>
          <w:rFonts w:hint="default" w:ascii="Times New Roman" w:hAnsi="Times New Roman" w:cs="Times New Roman"/>
          <w:color w:val="auto"/>
          <w:highlight w:val="none"/>
        </w:rPr>
      </w:pPr>
      <w:bookmarkStart w:id="120" w:name="_Toc31238"/>
      <w:bookmarkStart w:id="121" w:name="_Toc24761"/>
      <w:bookmarkStart w:id="122" w:name="_Toc10808"/>
      <w:bookmarkStart w:id="123" w:name="_Toc6630"/>
      <w:bookmarkStart w:id="124" w:name="_Toc1658"/>
      <w:bookmarkStart w:id="125" w:name="_Toc10538"/>
      <w:bookmarkStart w:id="126" w:name="_Toc27071"/>
      <w:bookmarkStart w:id="127" w:name="_Toc31606"/>
      <w:bookmarkStart w:id="128" w:name="_Toc12732"/>
      <w:bookmarkStart w:id="129" w:name="_Toc183727655"/>
      <w:r>
        <w:rPr>
          <w:rFonts w:hint="default" w:ascii="Times New Roman" w:hAnsi="Times New Roman" w:cs="Times New Roman"/>
          <w:color w:val="auto"/>
          <w:highlight w:val="none"/>
        </w:rPr>
        <w:t>上部模块布置</w:t>
      </w:r>
      <w:bookmarkEnd w:id="120"/>
      <w:bookmarkEnd w:id="121"/>
      <w:bookmarkEnd w:id="122"/>
      <w:bookmarkEnd w:id="123"/>
      <w:bookmarkEnd w:id="124"/>
      <w:bookmarkEnd w:id="125"/>
      <w:bookmarkEnd w:id="126"/>
      <w:bookmarkEnd w:id="127"/>
      <w:bookmarkEnd w:id="128"/>
      <w:bookmarkEnd w:id="129"/>
    </w:p>
    <w:bookmarkEnd w:id="112"/>
    <w:bookmarkEnd w:id="113"/>
    <w:p w14:paraId="057E0EF8">
      <w:pPr>
        <w:pStyle w:val="261"/>
        <w:spacing w:before="156" w:after="156"/>
        <w:outlineLvl w:val="2"/>
        <w:rPr>
          <w:rFonts w:hint="default" w:ascii="Times New Roman" w:hAnsi="Times New Roman" w:cs="Times New Roman"/>
          <w:color w:val="auto"/>
          <w:highlight w:val="none"/>
        </w:rPr>
      </w:pPr>
      <w:bookmarkStart w:id="130" w:name="_Toc31363"/>
      <w:bookmarkStart w:id="131" w:name="_Toc8321"/>
      <w:bookmarkStart w:id="132" w:name="_Toc5984"/>
      <w:bookmarkStart w:id="133" w:name="_Toc19290"/>
      <w:bookmarkStart w:id="134" w:name="_Toc24779"/>
      <w:bookmarkStart w:id="135" w:name="_Toc32403"/>
      <w:bookmarkStart w:id="136" w:name="_Toc344"/>
      <w:bookmarkStart w:id="137" w:name="_Toc17810"/>
      <w:bookmarkStart w:id="138" w:name="_Toc24226"/>
      <w:bookmarkStart w:id="139" w:name="_Toc28585"/>
      <w:r>
        <w:rPr>
          <w:rFonts w:hint="eastAsia" w:ascii="Times New Roman" w:cs="Times New Roman"/>
          <w:color w:val="auto"/>
          <w:highlight w:val="none"/>
          <w:lang w:val="en-US" w:eastAsia="zh-CN"/>
        </w:rPr>
        <w:t>公用</w:t>
      </w:r>
      <w:r>
        <w:rPr>
          <w:rFonts w:hint="default" w:ascii="Times New Roman" w:hAnsi="Times New Roman" w:cs="Times New Roman"/>
          <w:color w:val="auto"/>
          <w:highlight w:val="none"/>
        </w:rPr>
        <w:t>设备模块</w:t>
      </w:r>
      <w:bookmarkEnd w:id="130"/>
      <w:bookmarkEnd w:id="131"/>
      <w:bookmarkEnd w:id="132"/>
      <w:bookmarkEnd w:id="133"/>
      <w:bookmarkEnd w:id="134"/>
      <w:bookmarkEnd w:id="135"/>
      <w:bookmarkEnd w:id="136"/>
      <w:bookmarkEnd w:id="137"/>
    </w:p>
    <w:p w14:paraId="7B79890E">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公用设备模块</w:t>
      </w:r>
      <w:r>
        <w:rPr>
          <w:rFonts w:hint="eastAsia" w:ascii="宋体" w:hAnsi="宋体" w:eastAsia="宋体" w:cs="宋体"/>
          <w:color w:val="auto"/>
          <w:highlight w:val="none"/>
          <w:lang w:val="en-US" w:eastAsia="zh-CN"/>
        </w:rPr>
        <w:t>主要包括发电机组模块、热介质加热器模块和惰气发生器模块，</w:t>
      </w:r>
      <w:r>
        <w:rPr>
          <w:rFonts w:hint="eastAsia" w:ascii="宋体" w:hAnsi="宋体" w:eastAsia="宋体" w:cs="宋体"/>
          <w:color w:val="auto"/>
          <w:highlight w:val="none"/>
          <w:lang w:eastAsia="zh-CN"/>
        </w:rPr>
        <w:t>公用设备模块</w:t>
      </w:r>
      <w:r>
        <w:rPr>
          <w:rFonts w:hint="eastAsia" w:ascii="宋体" w:hAnsi="宋体" w:eastAsia="宋体" w:cs="宋体"/>
          <w:color w:val="auto"/>
          <w:highlight w:val="none"/>
        </w:rPr>
        <w:t>应设置在原油区域高于</w:t>
      </w:r>
      <w:r>
        <w:rPr>
          <w:rFonts w:hint="eastAsia" w:ascii="宋体" w:hAnsi="宋体" w:eastAsia="宋体" w:cs="宋体"/>
          <w:color w:val="auto"/>
          <w:highlight w:val="none"/>
          <w:lang w:val="en-US" w:eastAsia="zh-CN"/>
        </w:rPr>
        <w:t>主</w:t>
      </w:r>
      <w:r>
        <w:rPr>
          <w:rFonts w:hint="eastAsia" w:ascii="宋体" w:hAnsi="宋体" w:eastAsia="宋体" w:cs="宋体"/>
          <w:color w:val="auto"/>
          <w:highlight w:val="none"/>
        </w:rPr>
        <w:t>甲板3</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r>
        <w:rPr>
          <w:rFonts w:hint="eastAsia" w:ascii="宋体" w:hAnsi="宋体" w:eastAsia="宋体" w:cs="宋体"/>
          <w:color w:val="auto"/>
          <w:highlight w:val="none"/>
          <w:lang w:val="en-US" w:eastAsia="zh-CN"/>
        </w:rPr>
        <w:t>及</w:t>
      </w:r>
      <w:r>
        <w:rPr>
          <w:rFonts w:hint="eastAsia" w:ascii="宋体" w:hAnsi="宋体" w:eastAsia="宋体" w:cs="宋体"/>
          <w:color w:val="auto"/>
          <w:highlight w:val="none"/>
        </w:rPr>
        <w:t>以上的实地板平台上。</w:t>
      </w:r>
    </w:p>
    <w:p w14:paraId="0A8CC4E5">
      <w:pPr>
        <w:pStyle w:val="290"/>
        <w:spacing w:before="0" w:beforeLines="0" w:after="0" w:afterLines="0"/>
        <w:outlineLvl w:val="9"/>
        <w:rPr>
          <w:rFonts w:hint="eastAsia"/>
          <w:color w:val="auto"/>
          <w:highlight w:val="none"/>
        </w:rPr>
      </w:pPr>
      <w:r>
        <w:rPr>
          <w:rFonts w:hint="eastAsia" w:ascii="宋体" w:hAnsi="宋体" w:eastAsia="宋体" w:cs="宋体"/>
          <w:color w:val="auto"/>
          <w:highlight w:val="none"/>
          <w:lang w:eastAsia="zh-CN"/>
        </w:rPr>
        <w:t>公用设备模块</w:t>
      </w:r>
      <w:r>
        <w:rPr>
          <w:rFonts w:hint="eastAsia" w:ascii="宋体" w:hAnsi="宋体" w:eastAsia="宋体" w:cs="宋体"/>
          <w:color w:val="auto"/>
          <w:highlight w:val="none"/>
        </w:rPr>
        <w:t>应距离起居处所10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r>
        <w:rPr>
          <w:rFonts w:hint="eastAsia" w:ascii="宋体" w:hAnsi="宋体" w:eastAsia="宋体" w:cs="宋体"/>
          <w:color w:val="auto"/>
          <w:highlight w:val="none"/>
          <w:lang w:val="en-US" w:eastAsia="zh-CN"/>
        </w:rPr>
        <w:t>及</w:t>
      </w:r>
      <w:r>
        <w:rPr>
          <w:rFonts w:hint="eastAsia" w:ascii="宋体" w:hAnsi="宋体" w:eastAsia="宋体" w:cs="宋体"/>
          <w:color w:val="auto"/>
          <w:highlight w:val="none"/>
        </w:rPr>
        <w:t>以上，或设置安全分隔；</w:t>
      </w:r>
      <w:r>
        <w:rPr>
          <w:rFonts w:hint="eastAsia" w:ascii="宋体" w:hAnsi="宋体" w:eastAsia="宋体" w:cs="宋体"/>
          <w:color w:val="auto"/>
          <w:highlight w:val="none"/>
          <w:lang w:val="en-US" w:eastAsia="zh-CN"/>
        </w:rPr>
        <w:t>公用设备</w:t>
      </w:r>
      <w:r>
        <w:rPr>
          <w:rFonts w:hint="eastAsia" w:ascii="宋体" w:hAnsi="宋体" w:eastAsia="宋体" w:cs="宋体"/>
          <w:color w:val="auto"/>
          <w:highlight w:val="none"/>
        </w:rPr>
        <w:t>模块的宽度应</w:t>
      </w:r>
      <w:r>
        <w:rPr>
          <w:rFonts w:hint="eastAsia" w:ascii="宋体" w:hAnsi="宋体" w:eastAsia="宋体" w:cs="宋体"/>
          <w:color w:val="auto"/>
          <w:highlight w:val="none"/>
          <w:lang w:val="en-US" w:eastAsia="zh-CN"/>
        </w:rPr>
        <w:t>不大</w:t>
      </w:r>
      <w:r>
        <w:rPr>
          <w:rFonts w:hint="eastAsia" w:ascii="宋体" w:hAnsi="宋体" w:eastAsia="宋体" w:cs="宋体"/>
          <w:color w:val="auto"/>
          <w:highlight w:val="none"/>
        </w:rPr>
        <w:t>于FPSO的型宽。</w:t>
      </w:r>
    </w:p>
    <w:p w14:paraId="248DCF27">
      <w:pPr>
        <w:pStyle w:val="261"/>
        <w:spacing w:before="156" w:after="156"/>
        <w:outlineLvl w:val="2"/>
        <w:rPr>
          <w:rFonts w:hint="eastAsia" w:ascii="Times New Roman" w:hAnsi="Times New Roman" w:cs="Times New Roman"/>
          <w:color w:val="auto"/>
          <w:highlight w:val="none"/>
        </w:rPr>
      </w:pPr>
      <w:bookmarkStart w:id="140" w:name="_Toc29837"/>
      <w:bookmarkStart w:id="141" w:name="_Toc13479"/>
      <w:bookmarkStart w:id="142" w:name="_Toc29951"/>
      <w:bookmarkStart w:id="143" w:name="_Toc11219"/>
      <w:bookmarkStart w:id="144" w:name="_Toc5022"/>
      <w:bookmarkStart w:id="145" w:name="_Toc22174"/>
      <w:bookmarkStart w:id="146" w:name="_Toc24029"/>
      <w:bookmarkStart w:id="147" w:name="_Toc13292"/>
      <w:r>
        <w:rPr>
          <w:rFonts w:hint="eastAsia" w:ascii="Times New Roman" w:hAnsi="Times New Roman" w:cs="Times New Roman"/>
          <w:color w:val="auto"/>
          <w:highlight w:val="none"/>
        </w:rPr>
        <w:t>油、气、水处理模块</w:t>
      </w:r>
      <w:bookmarkEnd w:id="138"/>
      <w:bookmarkEnd w:id="139"/>
      <w:bookmarkEnd w:id="140"/>
      <w:bookmarkEnd w:id="141"/>
      <w:bookmarkEnd w:id="142"/>
      <w:bookmarkEnd w:id="143"/>
      <w:bookmarkEnd w:id="144"/>
      <w:bookmarkEnd w:id="145"/>
      <w:bookmarkEnd w:id="146"/>
      <w:bookmarkEnd w:id="147"/>
    </w:p>
    <w:p w14:paraId="39DA9025">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油、气、水处理模块应设置在高于</w:t>
      </w:r>
      <w:r>
        <w:rPr>
          <w:rFonts w:hint="eastAsia" w:ascii="宋体" w:hAnsi="宋体" w:eastAsia="宋体" w:cs="宋体"/>
          <w:color w:val="auto"/>
          <w:highlight w:val="none"/>
          <w:lang w:val="en-US" w:eastAsia="zh-CN"/>
        </w:rPr>
        <w:t>主</w:t>
      </w:r>
      <w:r>
        <w:rPr>
          <w:rFonts w:hint="eastAsia" w:ascii="宋体" w:hAnsi="宋体" w:eastAsia="宋体" w:cs="宋体"/>
          <w:color w:val="auto"/>
          <w:highlight w:val="none"/>
        </w:rPr>
        <w:t>甲板3</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r>
        <w:rPr>
          <w:rFonts w:hint="eastAsia" w:ascii="宋体" w:hAnsi="宋体" w:eastAsia="宋体" w:cs="宋体"/>
          <w:color w:val="auto"/>
          <w:highlight w:val="none"/>
          <w:lang w:val="en-US" w:eastAsia="zh-CN"/>
        </w:rPr>
        <w:t>及</w:t>
      </w:r>
      <w:r>
        <w:rPr>
          <w:rFonts w:hint="eastAsia" w:ascii="宋体" w:hAnsi="宋体" w:eastAsia="宋体" w:cs="宋体"/>
          <w:color w:val="auto"/>
          <w:highlight w:val="none"/>
        </w:rPr>
        <w:t>以上的工艺甲板上，同一系统模块</w:t>
      </w:r>
      <w:r>
        <w:rPr>
          <w:rFonts w:hint="eastAsia" w:ascii="宋体" w:hAnsi="宋体" w:eastAsia="宋体" w:cs="宋体"/>
          <w:color w:val="auto"/>
          <w:highlight w:val="none"/>
          <w:lang w:val="en-US" w:eastAsia="zh-CN"/>
        </w:rPr>
        <w:t>应相邻</w:t>
      </w:r>
      <w:r>
        <w:rPr>
          <w:rFonts w:hint="eastAsia" w:ascii="宋体" w:hAnsi="宋体" w:eastAsia="宋体" w:cs="宋体"/>
          <w:color w:val="auto"/>
          <w:highlight w:val="none"/>
        </w:rPr>
        <w:t>布置。</w:t>
      </w:r>
    </w:p>
    <w:p w14:paraId="2CCA039D">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油、气、水处理模块应距离</w:t>
      </w:r>
      <w:r>
        <w:rPr>
          <w:rFonts w:hint="eastAsia" w:ascii="宋体" w:hAnsi="宋体" w:eastAsia="宋体" w:cs="宋体"/>
          <w:color w:val="auto"/>
          <w:highlight w:val="none"/>
          <w:lang w:val="en-US" w:eastAsia="zh-CN"/>
        </w:rPr>
        <w:t>公用</w:t>
      </w:r>
      <w:r>
        <w:rPr>
          <w:rFonts w:hint="eastAsia" w:ascii="宋体" w:hAnsi="宋体" w:eastAsia="宋体" w:cs="宋体"/>
          <w:color w:val="auto"/>
          <w:highlight w:val="none"/>
        </w:rPr>
        <w:t>设备模块3</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r>
        <w:rPr>
          <w:rFonts w:hint="eastAsia" w:ascii="宋体" w:hAnsi="宋体" w:eastAsia="宋体" w:cs="宋体"/>
          <w:color w:val="auto"/>
          <w:highlight w:val="none"/>
          <w:lang w:val="en-US" w:eastAsia="zh-CN"/>
        </w:rPr>
        <w:t>及</w:t>
      </w:r>
      <w:r>
        <w:rPr>
          <w:rFonts w:hint="eastAsia" w:ascii="宋体" w:hAnsi="宋体" w:eastAsia="宋体" w:cs="宋体"/>
          <w:color w:val="auto"/>
          <w:highlight w:val="none"/>
        </w:rPr>
        <w:t>以上</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达不到距离要求时，应</w:t>
      </w:r>
      <w:r>
        <w:rPr>
          <w:rFonts w:hint="eastAsia" w:ascii="宋体" w:hAnsi="宋体" w:eastAsia="宋体" w:cs="宋体"/>
          <w:color w:val="auto"/>
          <w:highlight w:val="none"/>
          <w:lang w:val="en-US" w:eastAsia="zh-CN"/>
        </w:rPr>
        <w:t>通过</w:t>
      </w:r>
      <w:r>
        <w:rPr>
          <w:rFonts w:hint="eastAsia" w:ascii="宋体" w:hAnsi="宋体" w:eastAsia="宋体" w:cs="宋体"/>
          <w:color w:val="auto"/>
          <w:highlight w:val="none"/>
        </w:rPr>
        <w:t>防火墙进行分隔。</w:t>
      </w:r>
    </w:p>
    <w:p w14:paraId="183F0373">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油、气、水处理模块应远离起居处所，宽度应小于FPSO的型宽。</w:t>
      </w:r>
    </w:p>
    <w:p w14:paraId="23C55A16">
      <w:pPr>
        <w:pStyle w:val="290"/>
        <w:spacing w:before="0" w:beforeLines="0" w:after="0" w:afterLines="0"/>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油、气、水处理模块设有用火加热的压力容器时，除本身应满足防爆要求外，应远离其他无火加热的设备。</w:t>
      </w:r>
    </w:p>
    <w:p w14:paraId="1D03A595">
      <w:pPr>
        <w:pStyle w:val="261"/>
        <w:spacing w:before="156" w:after="156"/>
        <w:outlineLvl w:val="2"/>
        <w:rPr>
          <w:rFonts w:hint="default" w:ascii="Times New Roman" w:hAnsi="Times New Roman" w:cs="Times New Roman"/>
          <w:color w:val="auto"/>
          <w:highlight w:val="none"/>
        </w:rPr>
      </w:pPr>
      <w:bookmarkStart w:id="148" w:name="_Toc12952"/>
      <w:bookmarkStart w:id="149" w:name="_Toc29314"/>
      <w:bookmarkStart w:id="150" w:name="_Toc13231"/>
      <w:bookmarkStart w:id="151" w:name="_Toc17782"/>
      <w:bookmarkStart w:id="152" w:name="_Toc17148"/>
      <w:bookmarkStart w:id="153" w:name="_Toc28059"/>
      <w:bookmarkStart w:id="154" w:name="_Toc13341"/>
      <w:bookmarkStart w:id="155" w:name="_Toc12677"/>
      <w:bookmarkStart w:id="156" w:name="_Toc8857"/>
      <w:bookmarkStart w:id="157" w:name="_Toc19508"/>
      <w:r>
        <w:rPr>
          <w:rFonts w:hint="default" w:ascii="Times New Roman" w:hAnsi="Times New Roman" w:cs="Times New Roman"/>
          <w:color w:val="auto"/>
          <w:highlight w:val="none"/>
          <w:lang w:eastAsia="zh-CN"/>
        </w:rPr>
        <w:t>起居处所</w:t>
      </w:r>
      <w:r>
        <w:rPr>
          <w:rFonts w:hint="default" w:ascii="Times New Roman" w:hAnsi="Times New Roman" w:cs="Times New Roman"/>
          <w:color w:val="auto"/>
          <w:highlight w:val="none"/>
        </w:rPr>
        <w:t>和控制室</w:t>
      </w:r>
      <w:bookmarkEnd w:id="148"/>
      <w:bookmarkEnd w:id="149"/>
      <w:bookmarkEnd w:id="150"/>
      <w:bookmarkEnd w:id="151"/>
      <w:bookmarkEnd w:id="152"/>
      <w:bookmarkEnd w:id="153"/>
      <w:bookmarkEnd w:id="154"/>
      <w:bookmarkEnd w:id="155"/>
      <w:bookmarkEnd w:id="156"/>
      <w:bookmarkEnd w:id="157"/>
    </w:p>
    <w:p w14:paraId="2128EB38">
      <w:pPr>
        <w:pStyle w:val="290"/>
        <w:spacing w:before="0" w:beforeLines="0" w:after="0" w:afterLines="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起居处所应布置</w:t>
      </w:r>
      <w:r>
        <w:rPr>
          <w:rFonts w:hint="eastAsia" w:ascii="宋体" w:hAnsi="宋体" w:eastAsia="宋体" w:cs="宋体"/>
          <w:color w:val="auto"/>
          <w:highlight w:val="none"/>
          <w:lang w:val="en-US" w:eastAsia="zh-CN"/>
        </w:rPr>
        <w:t>在</w:t>
      </w:r>
      <w:r>
        <w:rPr>
          <w:rFonts w:hint="eastAsia" w:ascii="宋体" w:hAnsi="宋体" w:eastAsia="宋体" w:cs="宋体"/>
          <w:color w:val="auto"/>
          <w:highlight w:val="none"/>
          <w:lang w:eastAsia="zh-CN"/>
        </w:rPr>
        <w:t>非危险区，并远离火炬塔，如其中一个</w:t>
      </w:r>
      <w:r>
        <w:rPr>
          <w:rFonts w:hint="eastAsia" w:ascii="宋体" w:hAnsi="宋体" w:eastAsia="宋体" w:cs="宋体"/>
          <w:color w:val="auto"/>
          <w:highlight w:val="none"/>
          <w:lang w:val="en-US" w:eastAsia="zh-CN"/>
        </w:rPr>
        <w:t>布置</w:t>
      </w:r>
      <w:r>
        <w:rPr>
          <w:rFonts w:hint="eastAsia" w:ascii="宋体" w:hAnsi="宋体" w:eastAsia="宋体" w:cs="宋体"/>
          <w:color w:val="auto"/>
          <w:highlight w:val="none"/>
          <w:lang w:eastAsia="zh-CN"/>
        </w:rPr>
        <w:t>于船艏端，则另一个应</w:t>
      </w:r>
      <w:r>
        <w:rPr>
          <w:rFonts w:hint="eastAsia" w:ascii="宋体" w:hAnsi="宋体" w:eastAsia="宋体" w:cs="宋体"/>
          <w:color w:val="auto"/>
          <w:highlight w:val="none"/>
          <w:lang w:val="en-US" w:eastAsia="zh-CN"/>
        </w:rPr>
        <w:t>布</w:t>
      </w:r>
      <w:r>
        <w:rPr>
          <w:rFonts w:hint="eastAsia" w:ascii="宋体" w:hAnsi="宋体" w:eastAsia="宋体" w:cs="宋体"/>
          <w:color w:val="auto"/>
          <w:highlight w:val="none"/>
          <w:lang w:eastAsia="zh-CN"/>
        </w:rPr>
        <w:t>置于船艉端。</w:t>
      </w:r>
    </w:p>
    <w:p w14:paraId="17F8632D">
      <w:pPr>
        <w:pStyle w:val="290"/>
        <w:spacing w:before="0" w:beforeLines="0" w:after="0" w:afterLines="0"/>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起居处所的出入口、空气进口和其他开口应位于端部舱壁、上层建筑或甲板室的舷侧，且距面向原油区域的端壁至少为3 m。</w:t>
      </w:r>
    </w:p>
    <w:p w14:paraId="47C17EB1">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中央控制室应</w:t>
      </w:r>
      <w:r>
        <w:rPr>
          <w:rFonts w:hint="eastAsia" w:ascii="宋体" w:hAnsi="宋体" w:eastAsia="宋体" w:cs="宋体"/>
          <w:color w:val="auto"/>
          <w:highlight w:val="none"/>
          <w:lang w:val="en-US" w:eastAsia="zh-CN"/>
        </w:rPr>
        <w:t>布置</w:t>
      </w:r>
      <w:r>
        <w:rPr>
          <w:rFonts w:hint="eastAsia" w:ascii="宋体" w:hAnsi="宋体" w:eastAsia="宋体" w:cs="宋体"/>
          <w:color w:val="auto"/>
          <w:highlight w:val="none"/>
          <w:lang w:eastAsia="zh-CN"/>
        </w:rPr>
        <w:t>在起居处所内，其他控制室应</w:t>
      </w:r>
      <w:r>
        <w:rPr>
          <w:rFonts w:hint="eastAsia" w:ascii="宋体" w:hAnsi="宋体" w:eastAsia="宋体" w:cs="宋体"/>
          <w:color w:val="auto"/>
          <w:highlight w:val="none"/>
          <w:lang w:val="en-US" w:eastAsia="zh-CN"/>
        </w:rPr>
        <w:t>布置</w:t>
      </w:r>
      <w:r>
        <w:rPr>
          <w:rFonts w:hint="eastAsia" w:ascii="宋体" w:hAnsi="宋体" w:eastAsia="宋体" w:cs="宋体"/>
          <w:color w:val="auto"/>
          <w:highlight w:val="none"/>
          <w:lang w:eastAsia="zh-CN"/>
        </w:rPr>
        <w:t>在起居处所之内或靠近起居处所的非危险区之内。</w:t>
      </w:r>
    </w:p>
    <w:p w14:paraId="78AB448D">
      <w:pPr>
        <w:pStyle w:val="261"/>
        <w:spacing w:before="156" w:after="156"/>
        <w:outlineLvl w:val="2"/>
        <w:rPr>
          <w:rFonts w:hint="default" w:ascii="Times New Roman" w:hAnsi="Times New Roman" w:cs="Times New Roman"/>
          <w:color w:val="auto"/>
          <w:highlight w:val="none"/>
        </w:rPr>
      </w:pPr>
      <w:bookmarkStart w:id="158" w:name="_Toc26151"/>
      <w:bookmarkStart w:id="159" w:name="_Toc9216"/>
      <w:bookmarkStart w:id="160" w:name="_Toc7855"/>
      <w:bookmarkStart w:id="161" w:name="_Toc15361"/>
      <w:bookmarkStart w:id="162" w:name="_Toc30961"/>
      <w:bookmarkStart w:id="163" w:name="_Toc10612"/>
      <w:bookmarkStart w:id="164" w:name="_Toc21689"/>
      <w:bookmarkStart w:id="165" w:name="_Toc18362"/>
      <w:bookmarkStart w:id="166" w:name="_Toc27009"/>
      <w:bookmarkStart w:id="167" w:name="_Toc21635"/>
      <w:r>
        <w:rPr>
          <w:rFonts w:hint="default" w:ascii="Times New Roman" w:hAnsi="Times New Roman" w:cs="Times New Roman"/>
          <w:color w:val="auto"/>
          <w:highlight w:val="none"/>
        </w:rPr>
        <w:t>直升机甲板</w:t>
      </w:r>
      <w:bookmarkEnd w:id="158"/>
      <w:bookmarkEnd w:id="159"/>
      <w:bookmarkEnd w:id="160"/>
      <w:bookmarkEnd w:id="161"/>
      <w:bookmarkEnd w:id="162"/>
      <w:bookmarkEnd w:id="163"/>
      <w:bookmarkEnd w:id="164"/>
      <w:bookmarkEnd w:id="165"/>
      <w:bookmarkEnd w:id="166"/>
      <w:bookmarkEnd w:id="167"/>
    </w:p>
    <w:p w14:paraId="6388168A">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w w:val="98"/>
          <w:sz w:val="21"/>
          <w:highlight w:val="none"/>
        </w:rPr>
        <w:t>直升机甲板应</w:t>
      </w:r>
      <w:r>
        <w:rPr>
          <w:rFonts w:hint="eastAsia" w:ascii="宋体" w:hAnsi="宋体" w:eastAsia="宋体" w:cs="宋体"/>
          <w:color w:val="auto"/>
          <w:w w:val="98"/>
          <w:sz w:val="21"/>
          <w:highlight w:val="none"/>
          <w:lang w:val="en-US" w:eastAsia="zh-CN"/>
        </w:rPr>
        <w:t>布</w:t>
      </w:r>
      <w:r>
        <w:rPr>
          <w:rFonts w:hint="eastAsia" w:ascii="宋体" w:hAnsi="宋体" w:eastAsia="宋体" w:cs="宋体"/>
          <w:color w:val="auto"/>
          <w:w w:val="98"/>
          <w:sz w:val="21"/>
          <w:highlight w:val="none"/>
        </w:rPr>
        <w:t>置于</w:t>
      </w:r>
      <w:r>
        <w:rPr>
          <w:rFonts w:hint="eastAsia" w:ascii="宋体" w:hAnsi="宋体" w:eastAsia="宋体" w:cs="宋体"/>
          <w:color w:val="auto"/>
          <w:w w:val="98"/>
          <w:sz w:val="21"/>
          <w:highlight w:val="none"/>
          <w:lang w:eastAsia="zh-CN"/>
        </w:rPr>
        <w:t>起居处所</w:t>
      </w:r>
      <w:r>
        <w:rPr>
          <w:rFonts w:hint="eastAsia" w:ascii="宋体" w:hAnsi="宋体" w:eastAsia="宋体" w:cs="宋体"/>
          <w:color w:val="auto"/>
          <w:w w:val="98"/>
          <w:sz w:val="21"/>
          <w:highlight w:val="none"/>
        </w:rPr>
        <w:t>或其他非危险区域的上方，并与下支承面留有至少1.8</w:t>
      </w:r>
      <w:r>
        <w:rPr>
          <w:rFonts w:hint="eastAsia" w:ascii="宋体" w:hAnsi="宋体" w:eastAsia="宋体" w:cs="宋体"/>
          <w:color w:val="auto"/>
          <w:w w:val="98"/>
          <w:sz w:val="21"/>
          <w:highlight w:val="none"/>
          <w:lang w:val="en-US" w:eastAsia="zh-CN"/>
        </w:rPr>
        <w:t xml:space="preserve"> </w:t>
      </w:r>
      <w:r>
        <w:rPr>
          <w:rFonts w:hint="eastAsia" w:ascii="宋体" w:hAnsi="宋体" w:eastAsia="宋体" w:cs="宋体"/>
          <w:color w:val="auto"/>
          <w:w w:val="98"/>
          <w:sz w:val="21"/>
          <w:highlight w:val="none"/>
        </w:rPr>
        <w:t>m的间隙。</w:t>
      </w:r>
    </w:p>
    <w:p w14:paraId="02F87FE7">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直升机甲板应</w:t>
      </w:r>
      <w:r>
        <w:rPr>
          <w:rFonts w:hint="eastAsia" w:ascii="宋体" w:hAnsi="宋体" w:eastAsia="宋体" w:cs="宋体"/>
          <w:color w:val="auto"/>
          <w:highlight w:val="none"/>
          <w:lang w:val="en-US" w:eastAsia="zh-CN"/>
        </w:rPr>
        <w:t>布置在受</w:t>
      </w:r>
      <w:r>
        <w:rPr>
          <w:rFonts w:hint="eastAsia" w:ascii="宋体" w:hAnsi="宋体" w:eastAsia="宋体" w:cs="宋体"/>
          <w:color w:val="auto"/>
          <w:highlight w:val="none"/>
        </w:rPr>
        <w:t>内燃机及其他燃烧装置的</w:t>
      </w:r>
      <w:r>
        <w:rPr>
          <w:rFonts w:hint="eastAsia" w:ascii="宋体" w:hAnsi="宋体" w:eastAsia="宋体" w:cs="宋体"/>
          <w:color w:val="auto"/>
          <w:highlight w:val="none"/>
          <w:lang w:val="en-US" w:eastAsia="zh-CN"/>
        </w:rPr>
        <w:t>高温烟气影响较小的位置</w:t>
      </w:r>
      <w:r>
        <w:rPr>
          <w:rFonts w:hint="eastAsia" w:ascii="宋体" w:hAnsi="宋体" w:eastAsia="宋体" w:cs="宋体"/>
          <w:color w:val="auto"/>
          <w:highlight w:val="none"/>
        </w:rPr>
        <w:t>。</w:t>
      </w:r>
    </w:p>
    <w:p w14:paraId="07F2B6BA">
      <w:pPr>
        <w:pStyle w:val="261"/>
        <w:spacing w:before="156" w:after="156"/>
        <w:outlineLvl w:val="2"/>
        <w:rPr>
          <w:rFonts w:hint="default" w:ascii="Times New Roman" w:hAnsi="Times New Roman" w:cs="Times New Roman"/>
          <w:color w:val="auto"/>
          <w:highlight w:val="none"/>
        </w:rPr>
      </w:pPr>
      <w:bookmarkStart w:id="168" w:name="_Toc22931"/>
      <w:bookmarkStart w:id="169" w:name="_Toc19221"/>
      <w:bookmarkStart w:id="170" w:name="_Toc7918"/>
      <w:bookmarkStart w:id="171" w:name="_Toc29855"/>
      <w:bookmarkStart w:id="172" w:name="_Toc3732"/>
      <w:bookmarkStart w:id="173" w:name="_Toc11776"/>
      <w:bookmarkStart w:id="174" w:name="_Toc26108"/>
      <w:bookmarkStart w:id="175" w:name="_Toc20567"/>
      <w:bookmarkStart w:id="176" w:name="_Toc19540"/>
      <w:bookmarkStart w:id="177" w:name="_Toc23186"/>
      <w:r>
        <w:rPr>
          <w:rFonts w:hint="default" w:ascii="Times New Roman" w:hAnsi="Times New Roman" w:cs="Times New Roman"/>
          <w:color w:val="auto"/>
          <w:highlight w:val="none"/>
        </w:rPr>
        <w:t>火炬塔</w:t>
      </w:r>
      <w:bookmarkEnd w:id="168"/>
      <w:bookmarkEnd w:id="169"/>
      <w:bookmarkEnd w:id="170"/>
      <w:bookmarkEnd w:id="171"/>
      <w:bookmarkEnd w:id="172"/>
      <w:bookmarkEnd w:id="173"/>
      <w:bookmarkEnd w:id="174"/>
      <w:bookmarkEnd w:id="175"/>
      <w:bookmarkEnd w:id="176"/>
      <w:bookmarkEnd w:id="177"/>
    </w:p>
    <w:p w14:paraId="5FAA3F4C">
      <w:pPr>
        <w:pStyle w:val="290"/>
        <w:numPr>
          <w:ilvl w:val="-1"/>
          <w:numId w:val="0"/>
        </w:numPr>
        <w:spacing w:before="0" w:beforeLines="0" w:after="0" w:afterLines="0"/>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rPr>
        <w:t>火炬塔的高度应满足辐射热和气体扩散的要求，减小烟、热以及非正常情况下喷出的液体对FPSO的影响</w:t>
      </w:r>
      <w:r>
        <w:rPr>
          <w:rFonts w:hint="eastAsia" w:ascii="宋体" w:hAnsi="宋体" w:eastAsia="宋体" w:cs="宋体"/>
          <w:color w:val="auto"/>
          <w:highlight w:val="none"/>
          <w:lang w:eastAsia="zh-CN"/>
        </w:rPr>
        <w:t>。</w:t>
      </w:r>
    </w:p>
    <w:p w14:paraId="108FAC78">
      <w:pPr>
        <w:pStyle w:val="261"/>
        <w:spacing w:before="156" w:after="156"/>
        <w:outlineLvl w:val="2"/>
        <w:rPr>
          <w:rFonts w:hint="default" w:ascii="Times New Roman" w:hAnsi="Times New Roman" w:cs="Times New Roman"/>
          <w:color w:val="auto"/>
          <w:highlight w:val="none"/>
        </w:rPr>
      </w:pPr>
      <w:bookmarkStart w:id="178" w:name="_Toc21376"/>
      <w:bookmarkStart w:id="179" w:name="_Toc14934"/>
      <w:bookmarkStart w:id="180" w:name="_Toc25593"/>
      <w:bookmarkStart w:id="181" w:name="_Toc4911"/>
      <w:bookmarkStart w:id="182" w:name="_Toc2698"/>
      <w:bookmarkStart w:id="183" w:name="_Toc29709"/>
      <w:bookmarkStart w:id="184" w:name="_Toc8895"/>
      <w:bookmarkStart w:id="185" w:name="_Toc4325"/>
      <w:bookmarkStart w:id="186" w:name="_Toc11349"/>
      <w:bookmarkStart w:id="187" w:name="_Toc24762"/>
      <w:r>
        <w:rPr>
          <w:rFonts w:hint="default" w:ascii="Times New Roman" w:hAnsi="Times New Roman" w:cs="Times New Roman"/>
          <w:color w:val="auto"/>
          <w:highlight w:val="none"/>
        </w:rPr>
        <w:t>安全焊接处所</w:t>
      </w:r>
      <w:bookmarkEnd w:id="178"/>
      <w:bookmarkEnd w:id="179"/>
      <w:bookmarkEnd w:id="180"/>
      <w:bookmarkEnd w:id="181"/>
      <w:bookmarkEnd w:id="182"/>
      <w:bookmarkEnd w:id="183"/>
      <w:bookmarkEnd w:id="184"/>
      <w:bookmarkEnd w:id="185"/>
      <w:bookmarkEnd w:id="186"/>
      <w:bookmarkEnd w:id="187"/>
    </w:p>
    <w:p w14:paraId="374E4EDD">
      <w:pPr>
        <w:pStyle w:val="39"/>
        <w:keepNext w:val="0"/>
        <w:keepLines w:val="0"/>
        <w:pageBreakBefore w:val="0"/>
        <w:widowControl/>
        <w:kinsoku/>
        <w:wordWrap/>
        <w:overflowPunct/>
        <w:topLinePunct w:val="0"/>
        <w:autoSpaceDE/>
        <w:autoSpaceDN/>
        <w:bidi w:val="0"/>
        <w:adjustRightInd/>
        <w:snapToGrid/>
        <w:spacing w:after="0" w:line="279" w:lineRule="auto"/>
        <w:ind w:right="221" w:firstLine="420"/>
        <w:jc w:val="both"/>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安全焊接处所不</w:t>
      </w:r>
      <w:r>
        <w:rPr>
          <w:rFonts w:hint="eastAsia" w:cs="Times New Roman"/>
          <w:color w:val="auto"/>
          <w:highlight w:val="none"/>
          <w:lang w:val="en-US" w:eastAsia="zh-CN"/>
        </w:rPr>
        <w:t>应</w:t>
      </w:r>
      <w:r>
        <w:rPr>
          <w:rFonts w:hint="default" w:ascii="Times New Roman" w:hAnsi="Times New Roman" w:cs="Times New Roman"/>
          <w:color w:val="auto"/>
          <w:highlight w:val="none"/>
        </w:rPr>
        <w:t>与任何油舱及可能积存可燃气的</w:t>
      </w:r>
      <w:r>
        <w:rPr>
          <w:rFonts w:hint="eastAsia" w:cs="Times New Roman"/>
          <w:color w:val="auto"/>
          <w:highlight w:val="none"/>
          <w:lang w:eastAsia="zh-CN"/>
        </w:rPr>
        <w:t>危险处所</w:t>
      </w:r>
      <w:r>
        <w:rPr>
          <w:rFonts w:hint="default" w:ascii="Times New Roman" w:hAnsi="Times New Roman" w:cs="Times New Roman"/>
          <w:color w:val="auto"/>
          <w:highlight w:val="none"/>
        </w:rPr>
        <w:t>相邻接，其排污系统应与危险区的排污系统分开，该处所应有充分的通风。</w:t>
      </w:r>
    </w:p>
    <w:p w14:paraId="2238BAED">
      <w:pPr>
        <w:pStyle w:val="261"/>
        <w:spacing w:before="156" w:after="156"/>
        <w:outlineLvl w:val="2"/>
        <w:rPr>
          <w:rFonts w:hint="default" w:ascii="Times New Roman" w:hAnsi="Times New Roman" w:cs="Times New Roman"/>
          <w:color w:val="auto"/>
          <w:highlight w:val="none"/>
        </w:rPr>
      </w:pPr>
      <w:bookmarkStart w:id="188" w:name="_Toc12188"/>
      <w:bookmarkStart w:id="189" w:name="_Toc18797"/>
      <w:bookmarkStart w:id="190" w:name="_Toc10741"/>
      <w:bookmarkStart w:id="191" w:name="_Toc46"/>
      <w:bookmarkStart w:id="192" w:name="_Toc9292"/>
      <w:bookmarkStart w:id="193" w:name="_Toc32393"/>
      <w:bookmarkStart w:id="194" w:name="_Toc8243"/>
      <w:bookmarkStart w:id="195" w:name="_Toc31350"/>
      <w:bookmarkStart w:id="196" w:name="_Toc25846"/>
      <w:bookmarkStart w:id="197" w:name="_Toc4349"/>
      <w:r>
        <w:rPr>
          <w:rFonts w:hint="default" w:ascii="Times New Roman" w:hAnsi="Times New Roman" w:cs="Times New Roman"/>
          <w:color w:val="auto"/>
          <w:highlight w:val="none"/>
        </w:rPr>
        <w:t>其他</w:t>
      </w:r>
      <w:bookmarkEnd w:id="188"/>
      <w:bookmarkEnd w:id="189"/>
      <w:bookmarkEnd w:id="190"/>
      <w:bookmarkEnd w:id="191"/>
      <w:bookmarkEnd w:id="192"/>
      <w:bookmarkEnd w:id="193"/>
      <w:bookmarkEnd w:id="194"/>
      <w:bookmarkEnd w:id="195"/>
      <w:bookmarkEnd w:id="196"/>
      <w:bookmarkEnd w:id="197"/>
    </w:p>
    <w:p w14:paraId="7CE1388C">
      <w:pPr>
        <w:pStyle w:val="290"/>
        <w:spacing w:before="0" w:beforeLines="0" w:after="0" w:afterLines="0"/>
        <w:outlineLvl w:val="9"/>
        <w:rPr>
          <w:rFonts w:hint="default" w:ascii="Times New Roman" w:hAnsi="Times New Roman" w:cs="Times New Roman" w:eastAsiaTheme="minorEastAsia"/>
          <w:strike w:val="0"/>
          <w:dstrike w:val="0"/>
          <w:color w:val="auto"/>
          <w:highlight w:val="none"/>
        </w:rPr>
      </w:pPr>
      <w:r>
        <w:rPr>
          <w:rFonts w:hint="default" w:ascii="Times New Roman" w:hAnsi="Times New Roman" w:cs="Times New Roman" w:eastAsiaTheme="minorEastAsia"/>
          <w:strike w:val="0"/>
          <w:dstrike w:val="0"/>
          <w:color w:val="auto"/>
          <w:highlight w:val="none"/>
        </w:rPr>
        <w:t>作业时会产生</w:t>
      </w:r>
      <w:r>
        <w:rPr>
          <w:rFonts w:hint="eastAsia" w:ascii="Times New Roman" w:hAnsi="Times New Roman" w:cs="Times New Roman" w:eastAsiaTheme="minorEastAsia"/>
          <w:b w:val="0"/>
          <w:bCs w:val="0"/>
          <w:strike w:val="0"/>
          <w:dstrike w:val="0"/>
          <w:color w:val="auto"/>
          <w:highlight w:val="none"/>
          <w:lang w:val="en-US" w:eastAsia="zh-CN"/>
        </w:rPr>
        <w:t>摩</w:t>
      </w:r>
      <w:r>
        <w:rPr>
          <w:rFonts w:hint="default" w:ascii="Times New Roman" w:hAnsi="Times New Roman" w:cs="Times New Roman" w:eastAsiaTheme="minorEastAsia"/>
          <w:strike w:val="0"/>
          <w:dstrike w:val="0"/>
          <w:color w:val="auto"/>
          <w:highlight w:val="none"/>
        </w:rPr>
        <w:t>擦火花或表面高温的锚泊和系泊设备应</w:t>
      </w:r>
      <w:r>
        <w:rPr>
          <w:rFonts w:hint="eastAsia" w:ascii="Times New Roman" w:hAnsi="Times New Roman" w:cs="Times New Roman" w:eastAsiaTheme="minorEastAsia"/>
          <w:strike w:val="0"/>
          <w:dstrike w:val="0"/>
          <w:color w:val="auto"/>
          <w:highlight w:val="none"/>
          <w:lang w:val="en-US" w:eastAsia="zh-CN"/>
        </w:rPr>
        <w:t>布置于非</w:t>
      </w:r>
      <w:r>
        <w:rPr>
          <w:rFonts w:hint="default" w:ascii="Times New Roman" w:hAnsi="Times New Roman" w:cs="Times New Roman" w:eastAsiaTheme="minorEastAsia"/>
          <w:strike w:val="0"/>
          <w:dstrike w:val="0"/>
          <w:color w:val="auto"/>
          <w:highlight w:val="none"/>
        </w:rPr>
        <w:t>危险区，</w:t>
      </w:r>
      <w:r>
        <w:rPr>
          <w:rFonts w:hint="eastAsia" w:ascii="Times New Roman" w:hAnsi="Times New Roman" w:cs="Times New Roman" w:eastAsiaTheme="minorEastAsia"/>
          <w:strike w:val="0"/>
          <w:dstrike w:val="0"/>
          <w:color w:val="auto"/>
          <w:highlight w:val="none"/>
          <w:lang w:val="en-US" w:eastAsia="zh-CN"/>
        </w:rPr>
        <w:t>如不可行，应</w:t>
      </w:r>
      <w:r>
        <w:rPr>
          <w:rFonts w:hint="default" w:ascii="Times New Roman" w:hAnsi="Times New Roman" w:cs="Times New Roman" w:eastAsiaTheme="minorEastAsia"/>
          <w:strike w:val="0"/>
          <w:dstrike w:val="0"/>
          <w:color w:val="auto"/>
          <w:highlight w:val="none"/>
        </w:rPr>
        <w:t>采取相应的安全措施。</w:t>
      </w:r>
    </w:p>
    <w:p w14:paraId="44F08319">
      <w:pPr>
        <w:pStyle w:val="290"/>
        <w:spacing w:before="0" w:beforeLines="0" w:after="0" w:afterLines="0"/>
        <w:outlineLvl w:val="9"/>
        <w:rPr>
          <w:rFonts w:hint="default" w:ascii="Times New Roman" w:hAnsi="Times New Roman" w:cs="Times New Roman" w:eastAsiaTheme="minorEastAsia"/>
          <w:strike w:val="0"/>
          <w:dstrike w:val="0"/>
          <w:color w:val="auto"/>
          <w:highlight w:val="none"/>
        </w:rPr>
      </w:pPr>
      <w:r>
        <w:rPr>
          <w:rFonts w:hint="default" w:ascii="Times New Roman" w:hAnsi="Times New Roman" w:cs="Times New Roman" w:eastAsiaTheme="minorEastAsia"/>
          <w:strike w:val="0"/>
          <w:dstrike w:val="0"/>
          <w:color w:val="auto"/>
          <w:highlight w:val="none"/>
        </w:rPr>
        <w:t>经过</w:t>
      </w:r>
      <w:r>
        <w:rPr>
          <w:rFonts w:hint="eastAsia" w:ascii="Times New Roman" w:hAnsi="Times New Roman" w:cs="Times New Roman" w:eastAsiaTheme="minorEastAsia"/>
          <w:strike w:val="0"/>
          <w:dstrike w:val="0"/>
          <w:color w:val="auto"/>
          <w:highlight w:val="none"/>
          <w:lang w:eastAsia="zh-CN"/>
        </w:rPr>
        <w:t>起居处所</w:t>
      </w:r>
      <w:r>
        <w:rPr>
          <w:rFonts w:hint="default" w:ascii="Times New Roman" w:hAnsi="Times New Roman" w:cs="Times New Roman" w:eastAsiaTheme="minorEastAsia"/>
          <w:strike w:val="0"/>
          <w:dstrike w:val="0"/>
          <w:color w:val="auto"/>
          <w:highlight w:val="none"/>
        </w:rPr>
        <w:t>的原油外输管或油气输入管应从开敞的靠近舷侧的位置通过，且不应设</w:t>
      </w:r>
      <w:r>
        <w:rPr>
          <w:rFonts w:hint="eastAsia" w:ascii="Times New Roman" w:hAnsi="Times New Roman" w:cs="Times New Roman" w:eastAsiaTheme="minorEastAsia"/>
          <w:strike w:val="0"/>
          <w:dstrike w:val="0"/>
          <w:color w:val="auto"/>
          <w:highlight w:val="none"/>
          <w:lang w:val="en-US" w:eastAsia="zh-CN"/>
        </w:rPr>
        <w:t>置</w:t>
      </w:r>
      <w:r>
        <w:rPr>
          <w:rFonts w:hint="default" w:ascii="Times New Roman" w:hAnsi="Times New Roman" w:cs="Times New Roman" w:eastAsiaTheme="minorEastAsia"/>
          <w:strike w:val="0"/>
          <w:dstrike w:val="0"/>
          <w:color w:val="auto"/>
          <w:highlight w:val="none"/>
        </w:rPr>
        <w:t>可拆卸的接头。</w:t>
      </w:r>
    </w:p>
    <w:p w14:paraId="058288FC">
      <w:pPr>
        <w:pStyle w:val="290"/>
        <w:spacing w:beforeLines="0" w:afterLines="0"/>
        <w:outlineLvl w:val="9"/>
        <w:rPr>
          <w:rFonts w:hint="eastAsia" w:ascii="宋体" w:hAnsi="宋体" w:eastAsia="宋体" w:cs="宋体"/>
          <w:strike w:val="0"/>
          <w:dstrike w:val="0"/>
          <w:color w:val="auto"/>
          <w:highlight w:val="none"/>
        </w:rPr>
      </w:pPr>
      <w:r>
        <w:rPr>
          <w:rFonts w:hint="eastAsia" w:ascii="宋体" w:hAnsi="宋体" w:eastAsia="宋体" w:cs="宋体"/>
          <w:strike w:val="0"/>
          <w:dstrike w:val="0"/>
          <w:color w:val="auto"/>
          <w:highlight w:val="none"/>
        </w:rPr>
        <w:t>临时避难所（若有）应设在</w:t>
      </w:r>
      <w:r>
        <w:rPr>
          <w:rFonts w:hint="eastAsia" w:ascii="宋体" w:hAnsi="宋体" w:eastAsia="宋体" w:cs="宋体"/>
          <w:strike w:val="0"/>
          <w:dstrike w:val="0"/>
          <w:color w:val="auto"/>
          <w:highlight w:val="none"/>
          <w:lang w:eastAsia="zh-CN"/>
        </w:rPr>
        <w:t>非危险区</w:t>
      </w:r>
      <w:r>
        <w:rPr>
          <w:rFonts w:hint="eastAsia" w:ascii="宋体" w:hAnsi="宋体" w:eastAsia="宋体" w:cs="宋体"/>
          <w:strike w:val="0"/>
          <w:dstrike w:val="0"/>
          <w:color w:val="auto"/>
          <w:highlight w:val="none"/>
        </w:rPr>
        <w:t>域并靠近撤离地点。</w:t>
      </w:r>
    </w:p>
    <w:p w14:paraId="22A88927">
      <w:pPr>
        <w:pStyle w:val="290"/>
        <w:spacing w:beforeLines="0" w:afterLines="0"/>
        <w:outlineLvl w:val="9"/>
        <w:rPr>
          <w:rFonts w:hint="eastAsia" w:ascii="宋体" w:hAnsi="宋体" w:eastAsia="宋体" w:cs="宋体"/>
          <w:strike w:val="0"/>
          <w:dstrike w:val="0"/>
          <w:color w:val="auto"/>
          <w:highlight w:val="none"/>
        </w:rPr>
      </w:pPr>
      <w:r>
        <w:rPr>
          <w:rFonts w:hint="eastAsia" w:ascii="宋体" w:hAnsi="宋体" w:eastAsia="宋体" w:cs="宋体"/>
          <w:strike w:val="0"/>
          <w:dstrike w:val="0"/>
          <w:color w:val="auto"/>
          <w:highlight w:val="none"/>
        </w:rPr>
        <w:t>艉部卸油站应远离居住区、临时避难所（若有）及撤离地点。</w:t>
      </w:r>
    </w:p>
    <w:p w14:paraId="16B80798">
      <w:pPr>
        <w:pStyle w:val="290"/>
        <w:spacing w:beforeLines="0" w:afterLines="0"/>
        <w:outlineLvl w:val="9"/>
        <w:rPr>
          <w:rFonts w:hint="eastAsia" w:ascii="宋体" w:hAnsi="宋体" w:eastAsia="宋体" w:cs="宋体"/>
          <w:strike w:val="0"/>
          <w:dstrike w:val="0"/>
          <w:color w:val="auto"/>
          <w:highlight w:val="none"/>
        </w:rPr>
      </w:pPr>
      <w:r>
        <w:rPr>
          <w:rFonts w:hint="eastAsia" w:ascii="宋体" w:hAnsi="宋体" w:eastAsia="宋体" w:cs="宋体"/>
          <w:strike w:val="0"/>
          <w:dstrike w:val="0"/>
          <w:color w:val="auto"/>
          <w:highlight w:val="none"/>
        </w:rPr>
        <w:t>氧</w:t>
      </w:r>
      <w:r>
        <w:rPr>
          <w:rFonts w:hint="eastAsia" w:ascii="宋体" w:hAnsi="宋体" w:eastAsia="宋体" w:cs="宋体"/>
          <w:strike w:val="0"/>
          <w:dstrike w:val="0"/>
          <w:color w:val="auto"/>
          <w:highlight w:val="none"/>
          <w:lang w:val="en-US" w:eastAsia="zh-CN"/>
        </w:rPr>
        <w:t>气瓶和</w:t>
      </w:r>
      <w:r>
        <w:rPr>
          <w:rFonts w:hint="eastAsia" w:ascii="宋体" w:hAnsi="宋体" w:eastAsia="宋体" w:cs="宋体"/>
          <w:strike w:val="0"/>
          <w:dstrike w:val="0"/>
          <w:color w:val="auto"/>
          <w:highlight w:val="none"/>
        </w:rPr>
        <w:t>乙炔瓶的储存间应设置在</w:t>
      </w:r>
      <w:r>
        <w:rPr>
          <w:rFonts w:hint="eastAsia" w:ascii="宋体" w:hAnsi="宋体" w:eastAsia="宋体" w:cs="宋体"/>
          <w:strike w:val="0"/>
          <w:dstrike w:val="0"/>
          <w:color w:val="auto"/>
          <w:highlight w:val="none"/>
          <w:lang w:val="en-US" w:eastAsia="zh-CN"/>
        </w:rPr>
        <w:t>主</w:t>
      </w:r>
      <w:r>
        <w:rPr>
          <w:rFonts w:hint="eastAsia" w:ascii="宋体" w:hAnsi="宋体" w:eastAsia="宋体" w:cs="宋体"/>
          <w:strike w:val="0"/>
          <w:dstrike w:val="0"/>
          <w:color w:val="auto"/>
          <w:highlight w:val="none"/>
        </w:rPr>
        <w:t>甲板上。</w:t>
      </w:r>
    </w:p>
    <w:p w14:paraId="3859DF90">
      <w:pPr>
        <w:pStyle w:val="290"/>
        <w:spacing w:beforeLines="0" w:afterLines="0"/>
        <w:outlineLvl w:val="9"/>
        <w:rPr>
          <w:rFonts w:hint="eastAsia" w:ascii="宋体" w:hAnsi="宋体" w:eastAsia="宋体" w:cs="宋体"/>
          <w:strike w:val="0"/>
          <w:dstrike w:val="0"/>
          <w:color w:val="auto"/>
          <w:highlight w:val="none"/>
        </w:rPr>
      </w:pPr>
      <w:r>
        <w:rPr>
          <w:rFonts w:hint="eastAsia" w:ascii="宋体" w:hAnsi="宋体" w:eastAsia="宋体" w:cs="宋体"/>
          <w:strike w:val="0"/>
          <w:dstrike w:val="0"/>
          <w:color w:val="auto"/>
          <w:highlight w:val="none"/>
        </w:rPr>
        <w:t>有人值班的区域及油、气、水处理模块应设有</w:t>
      </w:r>
      <w:r>
        <w:rPr>
          <w:rFonts w:hint="eastAsia" w:ascii="宋体" w:hAnsi="宋体" w:eastAsia="宋体" w:cs="宋体"/>
          <w:strike w:val="0"/>
          <w:dstrike w:val="0"/>
          <w:color w:val="auto"/>
          <w:highlight w:val="none"/>
          <w:lang w:val="en-US" w:eastAsia="zh-CN"/>
        </w:rPr>
        <w:t>2</w:t>
      </w:r>
      <w:r>
        <w:rPr>
          <w:rFonts w:hint="eastAsia" w:ascii="宋体" w:hAnsi="宋体" w:eastAsia="宋体" w:cs="宋体"/>
          <w:strike w:val="0"/>
          <w:dstrike w:val="0"/>
          <w:color w:val="auto"/>
          <w:highlight w:val="none"/>
        </w:rPr>
        <w:t>个互相远离的明显通路，通向救生艇和直升机登乘地点。</w:t>
      </w:r>
    </w:p>
    <w:p w14:paraId="05D3576B">
      <w:pPr>
        <w:pStyle w:val="290"/>
        <w:spacing w:beforeLines="0" w:afterLines="0"/>
        <w:outlineLvl w:val="9"/>
        <w:rPr>
          <w:rFonts w:hint="default" w:ascii="Times New Roman" w:hAnsi="Times New Roman" w:cs="Times New Roman" w:eastAsiaTheme="minorEastAsia"/>
          <w:strike w:val="0"/>
          <w:dstrike w:val="0"/>
          <w:color w:val="auto"/>
          <w:highlight w:val="none"/>
        </w:rPr>
      </w:pPr>
      <w:r>
        <w:rPr>
          <w:rFonts w:hint="default" w:ascii="Times New Roman" w:hAnsi="Times New Roman" w:cs="Times New Roman" w:eastAsiaTheme="minorEastAsia"/>
          <w:strike w:val="0"/>
          <w:dstrike w:val="0"/>
          <w:color w:val="auto"/>
          <w:highlight w:val="none"/>
        </w:rPr>
        <w:t>救生艇筏应设在非危险区，并远离危险区。</w:t>
      </w:r>
    </w:p>
    <w:p w14:paraId="122389AF">
      <w:pPr>
        <w:pStyle w:val="290"/>
        <w:spacing w:beforeLines="0" w:afterLines="0"/>
        <w:outlineLvl w:val="9"/>
        <w:rPr>
          <w:rFonts w:hint="default" w:ascii="Times New Roman" w:hAnsi="Times New Roman" w:cs="Times New Roman" w:eastAsiaTheme="minorEastAsia"/>
          <w:strike w:val="0"/>
          <w:dstrike w:val="0"/>
          <w:color w:val="auto"/>
          <w:highlight w:val="none"/>
        </w:rPr>
      </w:pPr>
      <w:r>
        <w:rPr>
          <w:rFonts w:hint="default" w:ascii="Times New Roman" w:hAnsi="Times New Roman" w:cs="Times New Roman" w:eastAsiaTheme="minorEastAsia"/>
          <w:strike w:val="0"/>
          <w:dstrike w:val="0"/>
          <w:color w:val="auto"/>
          <w:highlight w:val="none"/>
        </w:rPr>
        <w:t>实验室应设置在起居处所以外的位置。</w:t>
      </w:r>
    </w:p>
    <w:p w14:paraId="4DF6D481">
      <w:pPr>
        <w:pStyle w:val="290"/>
        <w:spacing w:beforeLines="0" w:afterLines="0"/>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strike w:val="0"/>
          <w:dstrike w:val="0"/>
          <w:color w:val="auto"/>
          <w:highlight w:val="none"/>
        </w:rPr>
        <w:t>危险物品存放场所</w:t>
      </w:r>
      <w:r>
        <w:rPr>
          <w:rFonts w:hint="default" w:ascii="Times New Roman" w:hAnsi="Times New Roman" w:cs="Times New Roman" w:eastAsiaTheme="minorEastAsia"/>
          <w:b w:val="0"/>
          <w:bCs w:val="0"/>
          <w:strike w:val="0"/>
          <w:dstrike w:val="0"/>
          <w:color w:val="auto"/>
          <w:highlight w:val="none"/>
        </w:rPr>
        <w:t>应远离</w:t>
      </w:r>
      <w:r>
        <w:rPr>
          <w:rFonts w:hint="default" w:ascii="Times New Roman" w:hAnsi="Times New Roman" w:cs="Times New Roman" w:eastAsiaTheme="minorEastAsia"/>
          <w:strike w:val="0"/>
          <w:dstrike w:val="0"/>
          <w:color w:val="auto"/>
          <w:highlight w:val="none"/>
        </w:rPr>
        <w:t>起居处所、人员密集区及危险区，并标有明显的警示标识。</w:t>
      </w:r>
    </w:p>
    <w:p w14:paraId="2C137980">
      <w:pPr>
        <w:pStyle w:val="260"/>
        <w:outlineLvl w:val="1"/>
        <w:rPr>
          <w:rFonts w:hint="default" w:ascii="Times New Roman" w:hAnsi="Times New Roman" w:cs="Times New Roman"/>
          <w:color w:val="auto"/>
          <w:highlight w:val="none"/>
        </w:rPr>
      </w:pPr>
      <w:bookmarkStart w:id="198" w:name="_Toc183727656"/>
      <w:bookmarkStart w:id="199" w:name="_Toc26466"/>
      <w:bookmarkStart w:id="200" w:name="_Toc28347"/>
      <w:bookmarkStart w:id="201" w:name="_Toc29518"/>
      <w:bookmarkStart w:id="202" w:name="_Toc18786"/>
      <w:bookmarkStart w:id="203" w:name="_Toc45"/>
      <w:bookmarkStart w:id="204" w:name="_Toc27291"/>
      <w:bookmarkStart w:id="205" w:name="_Toc10398"/>
      <w:bookmarkStart w:id="206" w:name="_Toc31158"/>
      <w:bookmarkStart w:id="207" w:name="_Toc4616"/>
      <w:r>
        <w:rPr>
          <w:rFonts w:hint="default" w:ascii="Times New Roman" w:hAnsi="Times New Roman" w:cs="Times New Roman"/>
          <w:color w:val="auto"/>
          <w:highlight w:val="none"/>
        </w:rPr>
        <w:t>舱室布置</w:t>
      </w:r>
      <w:bookmarkEnd w:id="198"/>
      <w:bookmarkEnd w:id="199"/>
      <w:bookmarkEnd w:id="200"/>
      <w:bookmarkEnd w:id="201"/>
      <w:bookmarkEnd w:id="202"/>
      <w:bookmarkEnd w:id="203"/>
      <w:bookmarkEnd w:id="204"/>
      <w:bookmarkEnd w:id="205"/>
      <w:bookmarkEnd w:id="206"/>
      <w:bookmarkEnd w:id="207"/>
    </w:p>
    <w:p w14:paraId="701F7896">
      <w:pPr>
        <w:pStyle w:val="261"/>
        <w:spacing w:before="156" w:after="156"/>
        <w:outlineLvl w:val="2"/>
        <w:rPr>
          <w:rFonts w:hint="default" w:ascii="Times New Roman" w:hAnsi="Times New Roman" w:cs="Times New Roman"/>
          <w:color w:val="auto"/>
          <w:highlight w:val="none"/>
        </w:rPr>
      </w:pPr>
      <w:bookmarkStart w:id="208" w:name="_Toc31852"/>
      <w:bookmarkStart w:id="209" w:name="_Toc6529"/>
      <w:bookmarkStart w:id="210" w:name="_Toc15999"/>
      <w:bookmarkStart w:id="211" w:name="_Toc5473"/>
      <w:bookmarkStart w:id="212" w:name="_Toc15747"/>
      <w:bookmarkStart w:id="213" w:name="_Toc8109"/>
      <w:bookmarkStart w:id="214" w:name="_Toc24218"/>
      <w:bookmarkStart w:id="215" w:name="_Toc18458"/>
      <w:bookmarkStart w:id="216" w:name="_Toc7919"/>
      <w:bookmarkStart w:id="217" w:name="_Toc8599"/>
      <w:r>
        <w:rPr>
          <w:rFonts w:hint="default" w:ascii="Times New Roman" w:hAnsi="Times New Roman" w:cs="Times New Roman"/>
          <w:color w:val="auto"/>
          <w:highlight w:val="none"/>
        </w:rPr>
        <w:t>船体舱室</w:t>
      </w:r>
      <w:bookmarkEnd w:id="208"/>
      <w:bookmarkEnd w:id="209"/>
      <w:bookmarkEnd w:id="210"/>
      <w:bookmarkEnd w:id="211"/>
      <w:bookmarkEnd w:id="212"/>
      <w:bookmarkEnd w:id="213"/>
      <w:bookmarkEnd w:id="214"/>
      <w:bookmarkEnd w:id="215"/>
    </w:p>
    <w:p w14:paraId="773DADE3">
      <w:pPr>
        <w:pStyle w:val="290"/>
        <w:spacing w:before="0" w:beforeLines="0" w:after="0" w:afterLines="0"/>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舱室布置应保持结构舱壁的连续性过渡。</w:t>
      </w:r>
    </w:p>
    <w:p w14:paraId="2FEB4D36">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对于具有自航能力的FPSO，其</w:t>
      </w:r>
      <w:r>
        <w:rPr>
          <w:rFonts w:hint="eastAsia" w:ascii="宋体" w:hAnsi="宋体" w:eastAsia="宋体" w:cs="宋体"/>
          <w:color w:val="auto"/>
          <w:highlight w:val="none"/>
        </w:rPr>
        <w:t>防撞舱壁距首垂线的距离应不小于5%船长</w:t>
      </w:r>
      <w:r>
        <w:rPr>
          <w:rFonts w:hint="eastAsia" w:ascii="宋体" w:hAnsi="宋体" w:eastAsia="宋体" w:cs="宋体"/>
          <w:color w:val="auto"/>
          <w:highlight w:val="none"/>
          <w:lang w:val="en-US" w:eastAsia="zh-CN"/>
        </w:rPr>
        <w:t>与</w:t>
      </w:r>
      <w:r>
        <w:rPr>
          <w:rFonts w:hint="eastAsia" w:ascii="宋体" w:hAnsi="宋体" w:eastAsia="宋体" w:cs="宋体"/>
          <w:color w:val="auto"/>
          <w:highlight w:val="none"/>
        </w:rPr>
        <w:t>10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m中的较小值，不大于8%船长</w:t>
      </w:r>
      <w:r>
        <w:rPr>
          <w:rFonts w:hint="eastAsia" w:ascii="宋体" w:hAnsi="宋体" w:eastAsia="宋体" w:cs="宋体"/>
          <w:color w:val="auto"/>
          <w:highlight w:val="none"/>
          <w:lang w:val="en-US" w:eastAsia="zh-CN"/>
        </w:rPr>
        <w:t>和</w:t>
      </w:r>
      <w:r>
        <w:rPr>
          <w:rFonts w:hint="eastAsia" w:ascii="宋体" w:hAnsi="宋体" w:eastAsia="宋体" w:cs="宋体"/>
          <w:color w:val="auto"/>
          <w:highlight w:val="none"/>
        </w:rPr>
        <w:t>5%船长</w:t>
      </w:r>
      <w:r>
        <w:rPr>
          <w:rFonts w:hint="eastAsia" w:ascii="宋体" w:hAnsi="宋体" w:eastAsia="宋体" w:cs="宋体"/>
          <w:color w:val="auto"/>
          <w:highlight w:val="none"/>
          <w:lang w:val="en-US" w:eastAsia="zh-CN"/>
        </w:rPr>
        <w:t>加上</w:t>
      </w: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m中的较大值。</w:t>
      </w:r>
    </w:p>
    <w:p w14:paraId="1018F4F1">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船型FPSO机泵舱应布置在船艏或船艉，货油舱区前后应设置隔离空舱，其他FPSO应根据结构型式综合布置。</w:t>
      </w:r>
    </w:p>
    <w:p w14:paraId="5046A9A0">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航行锚的锚链舱应设置在船体艏部</w:t>
      </w:r>
      <w:r>
        <w:rPr>
          <w:rFonts w:hint="eastAsia" w:ascii="宋体" w:hAnsi="宋体" w:eastAsia="宋体" w:cs="宋体"/>
          <w:strike w:val="0"/>
          <w:color w:val="auto"/>
          <w:highlight w:val="none"/>
          <w:lang w:eastAsia="zh-CN"/>
        </w:rPr>
        <w:t>。</w:t>
      </w:r>
    </w:p>
    <w:p w14:paraId="49BFA6F8">
      <w:pPr>
        <w:pStyle w:val="261"/>
        <w:spacing w:before="156" w:after="156"/>
        <w:outlineLvl w:val="2"/>
        <w:rPr>
          <w:rFonts w:hint="default" w:ascii="Times New Roman" w:hAnsi="Times New Roman" w:cs="Times New Roman"/>
          <w:color w:val="auto"/>
          <w:highlight w:val="none"/>
        </w:rPr>
      </w:pPr>
      <w:bookmarkStart w:id="218" w:name="_Toc4635"/>
      <w:bookmarkStart w:id="219" w:name="_Toc10707"/>
      <w:bookmarkStart w:id="220" w:name="_Toc21772"/>
      <w:bookmarkStart w:id="221" w:name="_Toc9439"/>
      <w:bookmarkStart w:id="222" w:name="_Toc30518"/>
      <w:bookmarkStart w:id="223" w:name="_Toc15963"/>
      <w:bookmarkStart w:id="224" w:name="_Toc6763"/>
      <w:bookmarkStart w:id="225" w:name="_Toc29100"/>
      <w:r>
        <w:rPr>
          <w:rFonts w:hint="default" w:ascii="Times New Roman" w:hAnsi="Times New Roman" w:cs="Times New Roman"/>
          <w:color w:val="auto"/>
          <w:highlight w:val="none"/>
        </w:rPr>
        <w:t>舱壁甲板下的机器处所</w:t>
      </w:r>
      <w:bookmarkEnd w:id="216"/>
      <w:bookmarkEnd w:id="217"/>
      <w:bookmarkEnd w:id="218"/>
      <w:bookmarkEnd w:id="219"/>
      <w:bookmarkEnd w:id="220"/>
      <w:bookmarkEnd w:id="221"/>
      <w:bookmarkEnd w:id="222"/>
      <w:bookmarkEnd w:id="223"/>
      <w:bookmarkEnd w:id="224"/>
      <w:bookmarkEnd w:id="225"/>
    </w:p>
    <w:p w14:paraId="3BB3C6B2">
      <w:pPr>
        <w:pStyle w:val="290"/>
        <w:spacing w:before="0" w:beforeLines="0" w:after="0" w:afterLines="0"/>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舱壁甲板下的机器处所不应设在中部。</w:t>
      </w:r>
    </w:p>
    <w:p w14:paraId="4A9AF108">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应使用隔离空舱、压载舱等将机器处所与</w:t>
      </w:r>
      <w:r>
        <w:rPr>
          <w:rFonts w:hint="eastAsia" w:ascii="Times New Roman" w:hAnsi="Times New Roman" w:cs="Times New Roman" w:eastAsiaTheme="minorEastAsia"/>
          <w:color w:val="auto"/>
          <w:highlight w:val="none"/>
          <w:lang w:eastAsia="zh-CN"/>
        </w:rPr>
        <w:t>货油舱</w:t>
      </w:r>
      <w:r>
        <w:rPr>
          <w:rFonts w:hint="default" w:ascii="Times New Roman" w:hAnsi="Times New Roman" w:cs="Times New Roman" w:eastAsiaTheme="minorEastAsia"/>
          <w:color w:val="auto"/>
          <w:highlight w:val="none"/>
        </w:rPr>
        <w:t>、污油水舱和生产水舱相隔离。该机器处所的管路不</w:t>
      </w:r>
      <w:r>
        <w:rPr>
          <w:rFonts w:hint="eastAsia" w:ascii="Times New Roman" w:hAnsi="Times New Roman" w:cs="Times New Roman" w:eastAsiaTheme="minorEastAsia"/>
          <w:color w:val="auto"/>
          <w:highlight w:val="none"/>
          <w:lang w:val="en-US" w:eastAsia="zh-CN"/>
        </w:rPr>
        <w:t>应</w:t>
      </w:r>
      <w:r>
        <w:rPr>
          <w:rFonts w:hint="default" w:ascii="Times New Roman" w:hAnsi="Times New Roman" w:cs="Times New Roman" w:eastAsiaTheme="minorEastAsia"/>
          <w:color w:val="auto"/>
          <w:highlight w:val="none"/>
        </w:rPr>
        <w:t>穿过</w:t>
      </w:r>
      <w:r>
        <w:rPr>
          <w:rFonts w:hint="eastAsia" w:ascii="Times New Roman" w:hAnsi="Times New Roman" w:cs="Times New Roman" w:eastAsiaTheme="minorEastAsia"/>
          <w:color w:val="auto"/>
          <w:highlight w:val="none"/>
          <w:lang w:eastAsia="zh-CN"/>
        </w:rPr>
        <w:t>货油舱</w:t>
      </w:r>
      <w:r>
        <w:rPr>
          <w:rFonts w:hint="default" w:ascii="Times New Roman" w:hAnsi="Times New Roman" w:cs="Times New Roman" w:eastAsiaTheme="minorEastAsia"/>
          <w:color w:val="auto"/>
          <w:highlight w:val="none"/>
        </w:rPr>
        <w:t>、污油水舱和生产水舱，也不</w:t>
      </w:r>
      <w:r>
        <w:rPr>
          <w:rFonts w:hint="eastAsia" w:ascii="Times New Roman" w:hAnsi="Times New Roman" w:cs="Times New Roman" w:eastAsiaTheme="minorEastAsia"/>
          <w:color w:val="auto"/>
          <w:highlight w:val="none"/>
          <w:lang w:val="en-US" w:eastAsia="zh-CN"/>
        </w:rPr>
        <w:t>应</w:t>
      </w:r>
      <w:r>
        <w:rPr>
          <w:rFonts w:hint="default" w:ascii="Times New Roman" w:hAnsi="Times New Roman" w:cs="Times New Roman" w:eastAsiaTheme="minorEastAsia"/>
          <w:color w:val="auto"/>
          <w:highlight w:val="none"/>
        </w:rPr>
        <w:t>穿过与</w:t>
      </w:r>
      <w:r>
        <w:rPr>
          <w:rFonts w:hint="eastAsia" w:ascii="Times New Roman" w:hAnsi="Times New Roman" w:cs="Times New Roman" w:eastAsiaTheme="minorEastAsia"/>
          <w:color w:val="auto"/>
          <w:highlight w:val="none"/>
          <w:lang w:eastAsia="zh-CN"/>
        </w:rPr>
        <w:t>货油舱</w:t>
      </w:r>
      <w:r>
        <w:rPr>
          <w:rFonts w:hint="default" w:ascii="Times New Roman" w:hAnsi="Times New Roman" w:cs="Times New Roman" w:eastAsiaTheme="minorEastAsia"/>
          <w:color w:val="auto"/>
          <w:highlight w:val="none"/>
        </w:rPr>
        <w:t>、污油水舱和生产水舱直接相邻的处所。</w:t>
      </w:r>
    </w:p>
    <w:p w14:paraId="2A44DBCD">
      <w:pPr>
        <w:pStyle w:val="261"/>
        <w:spacing w:before="156" w:after="156"/>
        <w:outlineLvl w:val="2"/>
        <w:rPr>
          <w:rFonts w:hint="default" w:ascii="Times New Roman" w:hAnsi="Times New Roman" w:cs="Times New Roman"/>
          <w:color w:val="auto"/>
          <w:highlight w:val="none"/>
        </w:rPr>
      </w:pPr>
      <w:bookmarkStart w:id="226" w:name="_Toc29273"/>
      <w:bookmarkStart w:id="227" w:name="_Toc22419"/>
      <w:bookmarkStart w:id="228" w:name="_Toc21130"/>
      <w:bookmarkStart w:id="229" w:name="_Toc27607"/>
      <w:bookmarkStart w:id="230" w:name="_Toc20961"/>
      <w:bookmarkStart w:id="231" w:name="_Toc13945"/>
      <w:bookmarkStart w:id="232" w:name="_Toc3698"/>
      <w:bookmarkStart w:id="233" w:name="_Toc17609"/>
      <w:bookmarkStart w:id="234" w:name="_Toc7038"/>
      <w:bookmarkStart w:id="235" w:name="_Toc741"/>
      <w:r>
        <w:rPr>
          <w:rFonts w:hint="default" w:ascii="Times New Roman" w:hAnsi="Times New Roman" w:cs="Times New Roman"/>
          <w:color w:val="auto"/>
          <w:highlight w:val="none"/>
        </w:rPr>
        <w:t>原油泵舱</w:t>
      </w:r>
      <w:bookmarkEnd w:id="226"/>
      <w:bookmarkEnd w:id="227"/>
      <w:bookmarkEnd w:id="228"/>
      <w:bookmarkEnd w:id="229"/>
      <w:bookmarkEnd w:id="230"/>
      <w:bookmarkEnd w:id="231"/>
      <w:bookmarkEnd w:id="232"/>
      <w:bookmarkEnd w:id="233"/>
      <w:bookmarkEnd w:id="234"/>
      <w:bookmarkEnd w:id="235"/>
    </w:p>
    <w:p w14:paraId="567B2FFB">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当原油泵舱与舱壁甲板下的机器处所相邻时，为安置泵的需要允许泵舱的下部凹入机器处所，凹入部分的顶板高度应不超过龙骨上面型深的1/3。</w:t>
      </w:r>
    </w:p>
    <w:p w14:paraId="61859354">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用于与</w:t>
      </w:r>
      <w:r>
        <w:rPr>
          <w:rFonts w:hint="eastAsia" w:ascii="宋体" w:hAnsi="宋体" w:eastAsia="宋体" w:cs="宋体"/>
          <w:color w:val="auto"/>
          <w:highlight w:val="none"/>
          <w:lang w:eastAsia="zh-CN"/>
        </w:rPr>
        <w:t>货油舱</w:t>
      </w:r>
      <w:r>
        <w:rPr>
          <w:rFonts w:hint="eastAsia" w:ascii="宋体" w:hAnsi="宋体" w:eastAsia="宋体" w:cs="宋体"/>
          <w:color w:val="auto"/>
          <w:highlight w:val="none"/>
        </w:rPr>
        <w:t>或污油水舱相邻连接</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压载舱的压载泵</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布置</w:t>
      </w:r>
      <w:r>
        <w:rPr>
          <w:rFonts w:hint="eastAsia" w:ascii="宋体" w:hAnsi="宋体" w:eastAsia="宋体" w:cs="宋体"/>
          <w:color w:val="auto"/>
          <w:highlight w:val="none"/>
        </w:rPr>
        <w:t>于原油泵舱内或</w:t>
      </w:r>
      <w:r>
        <w:rPr>
          <w:rFonts w:hint="eastAsia" w:ascii="宋体" w:hAnsi="宋体" w:eastAsia="宋体" w:cs="宋体"/>
          <w:color w:val="auto"/>
          <w:highlight w:val="none"/>
          <w:lang w:val="en-US" w:eastAsia="zh-CN"/>
        </w:rPr>
        <w:t>布置</w:t>
      </w:r>
      <w:r>
        <w:rPr>
          <w:rFonts w:hint="eastAsia" w:ascii="宋体" w:hAnsi="宋体" w:eastAsia="宋体" w:cs="宋体"/>
          <w:color w:val="auto"/>
          <w:highlight w:val="none"/>
        </w:rPr>
        <w:t>于原油区域无任何引爆源的处所。</w:t>
      </w:r>
    </w:p>
    <w:p w14:paraId="58212F59">
      <w:pPr>
        <w:pStyle w:val="261"/>
        <w:spacing w:before="156" w:after="156"/>
        <w:outlineLvl w:val="2"/>
        <w:rPr>
          <w:rFonts w:hint="default" w:ascii="Times New Roman" w:hAnsi="Times New Roman" w:cs="Times New Roman"/>
          <w:color w:val="auto"/>
          <w:highlight w:val="none"/>
        </w:rPr>
      </w:pPr>
      <w:bookmarkStart w:id="236" w:name="_Toc17040"/>
      <w:bookmarkStart w:id="237" w:name="_Toc9820"/>
      <w:bookmarkStart w:id="238" w:name="_Toc27377"/>
      <w:bookmarkStart w:id="239" w:name="_Toc22317"/>
      <w:bookmarkStart w:id="240" w:name="_Toc20422"/>
      <w:bookmarkStart w:id="241" w:name="_Toc8620"/>
      <w:bookmarkStart w:id="242" w:name="_Toc17639"/>
      <w:bookmarkStart w:id="243" w:name="_Toc29050"/>
      <w:bookmarkStart w:id="244" w:name="_Toc13407"/>
      <w:bookmarkStart w:id="245" w:name="_Toc5164"/>
      <w:r>
        <w:rPr>
          <w:rFonts w:hint="eastAsia" w:ascii="Times New Roman" w:cs="Times New Roman"/>
          <w:color w:val="auto"/>
          <w:highlight w:val="none"/>
          <w:lang w:eastAsia="zh-CN"/>
        </w:rPr>
        <w:t>货油舱</w:t>
      </w:r>
      <w:r>
        <w:rPr>
          <w:rFonts w:hint="default" w:ascii="Times New Roman" w:hAnsi="Times New Roman" w:cs="Times New Roman"/>
          <w:color w:val="auto"/>
          <w:highlight w:val="none"/>
        </w:rPr>
        <w:t>、污油水舱和生产水</w:t>
      </w:r>
      <w:bookmarkEnd w:id="236"/>
      <w:bookmarkEnd w:id="237"/>
      <w:r>
        <w:rPr>
          <w:rFonts w:hint="default" w:ascii="Times New Roman" w:hAnsi="Times New Roman" w:cs="Times New Roman"/>
          <w:color w:val="auto"/>
          <w:highlight w:val="none"/>
        </w:rPr>
        <w:t>舱</w:t>
      </w:r>
      <w:bookmarkEnd w:id="238"/>
      <w:bookmarkEnd w:id="239"/>
      <w:bookmarkEnd w:id="240"/>
      <w:bookmarkEnd w:id="241"/>
      <w:bookmarkEnd w:id="242"/>
      <w:bookmarkEnd w:id="243"/>
      <w:bookmarkEnd w:id="244"/>
      <w:bookmarkEnd w:id="245"/>
    </w:p>
    <w:p w14:paraId="1BA2326E">
      <w:pPr>
        <w:pStyle w:val="290"/>
        <w:numPr>
          <w:ilvl w:val="-1"/>
          <w:numId w:val="0"/>
        </w:numPr>
        <w:spacing w:before="0" w:beforeLines="0" w:after="0" w:afterLines="0"/>
        <w:ind w:firstLine="420" w:firstLineChars="20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货油舱</w:t>
      </w:r>
      <w:r>
        <w:rPr>
          <w:rFonts w:hint="eastAsia" w:ascii="宋体" w:hAnsi="宋体" w:eastAsia="宋体" w:cs="宋体"/>
          <w:color w:val="auto"/>
          <w:highlight w:val="none"/>
        </w:rPr>
        <w:t>、污油水舱和生产水舱应具有双层舷侧结构。</w:t>
      </w:r>
      <w:r>
        <w:rPr>
          <w:rFonts w:hint="eastAsia" w:ascii="宋体" w:hAnsi="宋体" w:eastAsia="宋体" w:cs="宋体"/>
          <w:color w:val="auto"/>
          <w:kern w:val="0"/>
          <w:sz w:val="21"/>
          <w:szCs w:val="21"/>
          <w:highlight w:val="none"/>
          <w:lang w:val="en-US" w:eastAsia="zh-CN" w:bidi="ar"/>
        </w:rPr>
        <w:t>双层舷侧结构应保证在预期碰撞事故发生后</w:t>
      </w:r>
      <w:r>
        <w:rPr>
          <w:rFonts w:hint="eastAsia" w:ascii="宋体" w:hAnsi="宋体" w:eastAsia="宋体" w:cs="宋体"/>
          <w:color w:val="auto"/>
          <w:highlight w:val="none"/>
        </w:rPr>
        <w:t>不造成</w:t>
      </w:r>
      <w:r>
        <w:rPr>
          <w:rFonts w:hint="eastAsia" w:ascii="宋体" w:hAnsi="宋体" w:eastAsia="宋体" w:cs="宋体"/>
          <w:color w:val="auto"/>
          <w:highlight w:val="none"/>
          <w:lang w:val="en-US" w:eastAsia="zh-CN"/>
        </w:rPr>
        <w:t>货油舱</w:t>
      </w:r>
      <w:r>
        <w:rPr>
          <w:rFonts w:hint="eastAsia" w:ascii="宋体" w:hAnsi="宋体" w:eastAsia="宋体" w:cs="宋体"/>
          <w:color w:val="auto"/>
          <w:highlight w:val="none"/>
        </w:rPr>
        <w:t>的损伤，也不造成</w:t>
      </w:r>
      <w:r>
        <w:rPr>
          <w:rFonts w:hint="eastAsia" w:ascii="宋体" w:hAnsi="宋体" w:eastAsia="宋体" w:cs="宋体"/>
          <w:color w:val="auto"/>
          <w:highlight w:val="none"/>
          <w:lang w:val="en-US" w:eastAsia="zh-CN"/>
        </w:rPr>
        <w:t>原</w:t>
      </w:r>
      <w:r>
        <w:rPr>
          <w:rFonts w:hint="eastAsia" w:ascii="宋体" w:hAnsi="宋体" w:eastAsia="宋体" w:cs="宋体"/>
          <w:color w:val="auto"/>
          <w:highlight w:val="none"/>
        </w:rPr>
        <w:t>油从生产系统中流出，且生产系统能经受</w:t>
      </w:r>
      <w:r>
        <w:rPr>
          <w:rFonts w:hint="eastAsia" w:ascii="宋体" w:hAnsi="宋体" w:eastAsia="宋体" w:cs="宋体"/>
          <w:color w:val="auto"/>
          <w:highlight w:val="none"/>
          <w:lang w:val="en-US" w:eastAsia="zh-CN"/>
        </w:rPr>
        <w:t>碰撞</w:t>
      </w:r>
      <w:r>
        <w:rPr>
          <w:rFonts w:hint="eastAsia" w:ascii="宋体" w:hAnsi="宋体" w:eastAsia="宋体" w:cs="宋体"/>
          <w:color w:val="auto"/>
          <w:highlight w:val="none"/>
        </w:rPr>
        <w:t>造成的倾斜</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预期碰撞事故不应低于由排水量5000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t、速度2</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m/s的供应船碰撞所造成。</w:t>
      </w:r>
    </w:p>
    <w:p w14:paraId="60F1BA28">
      <w:pPr>
        <w:pStyle w:val="261"/>
        <w:spacing w:before="156" w:after="156"/>
        <w:outlineLvl w:val="2"/>
        <w:rPr>
          <w:rFonts w:hint="default" w:ascii="Times New Roman" w:hAnsi="Times New Roman" w:cs="Times New Roman"/>
          <w:color w:val="auto"/>
          <w:highlight w:val="none"/>
        </w:rPr>
      </w:pPr>
      <w:bookmarkStart w:id="246" w:name="_Toc5530"/>
      <w:bookmarkStart w:id="247" w:name="_Toc31357"/>
      <w:bookmarkStart w:id="248" w:name="_Toc8423"/>
      <w:bookmarkStart w:id="249" w:name="_Toc792"/>
      <w:bookmarkStart w:id="250" w:name="_Toc32069"/>
      <w:bookmarkStart w:id="251" w:name="_Toc11837"/>
      <w:bookmarkStart w:id="252" w:name="_Toc11829"/>
      <w:bookmarkStart w:id="253" w:name="_Toc20305"/>
      <w:bookmarkStart w:id="254" w:name="_Toc12839"/>
      <w:bookmarkStart w:id="255" w:name="_Toc15941"/>
      <w:r>
        <w:rPr>
          <w:rFonts w:hint="default" w:ascii="Times New Roman" w:hAnsi="Times New Roman" w:cs="Times New Roman"/>
          <w:color w:val="auto"/>
          <w:highlight w:val="none"/>
        </w:rPr>
        <w:t>燃料油舱</w:t>
      </w:r>
      <w:bookmarkEnd w:id="246"/>
      <w:bookmarkEnd w:id="247"/>
      <w:bookmarkEnd w:id="248"/>
      <w:bookmarkEnd w:id="249"/>
      <w:bookmarkEnd w:id="250"/>
      <w:bookmarkEnd w:id="251"/>
      <w:bookmarkEnd w:id="252"/>
      <w:bookmarkEnd w:id="253"/>
      <w:bookmarkEnd w:id="254"/>
      <w:bookmarkEnd w:id="255"/>
    </w:p>
    <w:p w14:paraId="71E046BB">
      <w:pPr>
        <w:pStyle w:val="290"/>
        <w:spacing w:before="0" w:beforeLines="0" w:after="0" w:afterLines="0"/>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燃料油舱不应以易碰撞的舷侧部位作为限界面。</w:t>
      </w:r>
    </w:p>
    <w:p w14:paraId="76A0995A">
      <w:pPr>
        <w:pStyle w:val="290"/>
        <w:spacing w:before="0" w:beforeLines="0" w:after="0" w:afterLines="0"/>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原油区域的双层底内不应装载燃料油。</w:t>
      </w:r>
    </w:p>
    <w:p w14:paraId="65F55732">
      <w:pPr>
        <w:pStyle w:val="290"/>
        <w:spacing w:before="0" w:beforeLines="0" w:after="0" w:afterLines="0"/>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艏尖舱</w:t>
      </w:r>
      <w:r>
        <w:rPr>
          <w:rFonts w:hint="eastAsia" w:ascii="Times New Roman" w:hAnsi="Times New Roman" w:cs="Times New Roman" w:eastAsiaTheme="minorEastAsia"/>
          <w:color w:val="auto"/>
          <w:highlight w:val="none"/>
          <w:lang w:val="en-US" w:eastAsia="zh-CN"/>
        </w:rPr>
        <w:t>和艉尖舱</w:t>
      </w:r>
      <w:r>
        <w:rPr>
          <w:rFonts w:hint="default" w:ascii="Times New Roman" w:hAnsi="Times New Roman" w:cs="Times New Roman" w:eastAsiaTheme="minorEastAsia"/>
          <w:color w:val="auto"/>
          <w:highlight w:val="none"/>
        </w:rPr>
        <w:t>内不应装载燃料油。</w:t>
      </w:r>
    </w:p>
    <w:p w14:paraId="597CC61D">
      <w:pPr>
        <w:pStyle w:val="261"/>
        <w:spacing w:before="156" w:after="156"/>
        <w:outlineLvl w:val="2"/>
        <w:rPr>
          <w:rFonts w:hint="default" w:ascii="Times New Roman" w:hAnsi="Times New Roman" w:cs="Times New Roman"/>
          <w:color w:val="auto"/>
          <w:highlight w:val="none"/>
        </w:rPr>
      </w:pPr>
      <w:bookmarkStart w:id="256" w:name="_Toc31948"/>
      <w:bookmarkStart w:id="257" w:name="_Toc9971"/>
      <w:bookmarkStart w:id="258" w:name="_Toc17758"/>
      <w:bookmarkStart w:id="259" w:name="_Toc1920"/>
      <w:bookmarkStart w:id="260" w:name="_Toc1045"/>
      <w:bookmarkStart w:id="261" w:name="_Toc639"/>
      <w:bookmarkStart w:id="262" w:name="_Toc8062"/>
      <w:bookmarkStart w:id="263" w:name="_Toc24412"/>
      <w:bookmarkStart w:id="264" w:name="_Toc23146"/>
      <w:bookmarkStart w:id="265" w:name="_Toc7324"/>
      <w:r>
        <w:rPr>
          <w:rFonts w:hint="default" w:ascii="Times New Roman" w:hAnsi="Times New Roman" w:cs="Times New Roman"/>
          <w:color w:val="auto"/>
          <w:highlight w:val="none"/>
        </w:rPr>
        <w:t>边压载舱及双层底</w:t>
      </w:r>
      <w:bookmarkEnd w:id="256"/>
      <w:bookmarkEnd w:id="257"/>
      <w:bookmarkEnd w:id="258"/>
      <w:bookmarkEnd w:id="259"/>
      <w:bookmarkEnd w:id="260"/>
      <w:bookmarkEnd w:id="261"/>
      <w:bookmarkEnd w:id="262"/>
      <w:bookmarkEnd w:id="263"/>
      <w:bookmarkEnd w:id="264"/>
      <w:bookmarkEnd w:id="265"/>
    </w:p>
    <w:p w14:paraId="2A05A1C5">
      <w:pPr>
        <w:pStyle w:val="290"/>
        <w:spacing w:beforeLines="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边压载舱宽度应</w:t>
      </w:r>
      <w:r>
        <w:rPr>
          <w:rFonts w:hint="eastAsia" w:ascii="宋体" w:hAnsi="宋体" w:eastAsia="宋体" w:cs="宋体"/>
          <w:color w:val="auto"/>
          <w:highlight w:val="none"/>
          <w:lang w:val="en-US" w:eastAsia="zh-CN"/>
        </w:rPr>
        <w:t>满足</w:t>
      </w:r>
      <w:r>
        <w:rPr>
          <w:rFonts w:hint="eastAsia" w:ascii="宋体" w:hAnsi="宋体" w:eastAsia="宋体" w:cs="宋体"/>
          <w:color w:val="auto"/>
          <w:highlight w:val="none"/>
        </w:rPr>
        <w:t>破舱稳性、上部模块对船宽、压载工况调载等要求，</w:t>
      </w:r>
      <w:r>
        <w:rPr>
          <w:rFonts w:hint="eastAsia" w:ascii="宋体" w:hAnsi="宋体" w:eastAsia="宋体" w:cs="宋体"/>
          <w:color w:val="auto"/>
          <w:highlight w:val="none"/>
          <w:lang w:val="en-US" w:eastAsia="zh-CN"/>
        </w:rPr>
        <w:t>并</w:t>
      </w:r>
      <w:r>
        <w:rPr>
          <w:rFonts w:hint="eastAsia" w:ascii="宋体" w:hAnsi="宋体" w:eastAsia="宋体" w:cs="宋体"/>
          <w:color w:val="auto"/>
          <w:highlight w:val="none"/>
        </w:rPr>
        <w:t>不应小于3</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p>
    <w:p w14:paraId="6506F26D">
      <w:pPr>
        <w:pStyle w:val="290"/>
        <w:spacing w:beforeLines="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双层底高度应满足结构设计要求，且不应小于船宽的1/20</w:t>
      </w:r>
      <w:r>
        <w:rPr>
          <w:rFonts w:hint="eastAsia" w:ascii="宋体" w:hAnsi="宋体" w:eastAsia="宋体" w:cs="宋体"/>
          <w:b w:val="0"/>
          <w:bCs w:val="0"/>
          <w:color w:val="auto"/>
          <w:highlight w:val="none"/>
          <w:lang w:val="en-US" w:eastAsia="zh-CN"/>
        </w:rPr>
        <w:t>和</w:t>
      </w: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m中的较小值。</w:t>
      </w:r>
    </w:p>
    <w:p w14:paraId="753FD263">
      <w:pPr>
        <w:pStyle w:val="261"/>
        <w:spacing w:before="156" w:after="156"/>
        <w:outlineLvl w:val="2"/>
        <w:rPr>
          <w:rFonts w:hint="default" w:ascii="Times New Roman" w:hAnsi="Times New Roman" w:cs="Times New Roman"/>
          <w:color w:val="auto"/>
          <w:highlight w:val="none"/>
        </w:rPr>
      </w:pPr>
      <w:bookmarkStart w:id="266" w:name="_Toc13878"/>
      <w:bookmarkStart w:id="267" w:name="_Toc29315"/>
      <w:bookmarkStart w:id="268" w:name="_Toc5508"/>
      <w:bookmarkStart w:id="269" w:name="_Toc12653"/>
      <w:bookmarkStart w:id="270" w:name="_Toc2511"/>
      <w:bookmarkStart w:id="271" w:name="_Toc19530"/>
      <w:bookmarkStart w:id="272" w:name="_Toc13632"/>
      <w:bookmarkStart w:id="273" w:name="_Toc18306"/>
      <w:bookmarkStart w:id="274" w:name="_Toc9107"/>
      <w:bookmarkStart w:id="275" w:name="_Toc10274"/>
      <w:r>
        <w:rPr>
          <w:rFonts w:hint="default" w:ascii="Times New Roman" w:hAnsi="Times New Roman" w:cs="Times New Roman"/>
          <w:color w:val="auto"/>
          <w:highlight w:val="none"/>
        </w:rPr>
        <w:t>外输区域</w:t>
      </w:r>
      <w:bookmarkEnd w:id="266"/>
      <w:bookmarkEnd w:id="267"/>
      <w:bookmarkEnd w:id="268"/>
      <w:bookmarkEnd w:id="269"/>
      <w:bookmarkEnd w:id="270"/>
      <w:bookmarkEnd w:id="271"/>
      <w:bookmarkEnd w:id="272"/>
      <w:bookmarkEnd w:id="273"/>
      <w:bookmarkEnd w:id="274"/>
      <w:bookmarkEnd w:id="275"/>
    </w:p>
    <w:p w14:paraId="2C4A80ED">
      <w:pPr>
        <w:pStyle w:val="258"/>
        <w:ind w:firstLine="420"/>
        <w:rPr>
          <w:rFonts w:hint="default" w:ascii="Times New Roman" w:hAnsi="Times New Roman" w:cs="Times New Roman"/>
          <w:color w:val="auto"/>
          <w:kern w:val="2"/>
          <w:szCs w:val="24"/>
          <w:highlight w:val="none"/>
        </w:rPr>
      </w:pPr>
      <w:r>
        <w:rPr>
          <w:rFonts w:hint="default" w:ascii="Times New Roman" w:hAnsi="Times New Roman" w:cs="Times New Roman"/>
          <w:color w:val="auto"/>
          <w:kern w:val="2"/>
          <w:szCs w:val="24"/>
          <w:highlight w:val="none"/>
        </w:rPr>
        <w:t>外输区域应设置在艏尖舱或者船艉舱的上部，根据外输装置合理布置外输和系泊等设施。</w:t>
      </w:r>
    </w:p>
    <w:p w14:paraId="709CA177">
      <w:pPr>
        <w:pStyle w:val="259"/>
        <w:outlineLvl w:val="0"/>
        <w:rPr>
          <w:rFonts w:hint="default" w:ascii="Times New Roman" w:hAnsi="Times New Roman" w:cs="Times New Roman"/>
          <w:color w:val="auto"/>
          <w:highlight w:val="none"/>
        </w:rPr>
      </w:pPr>
      <w:bookmarkStart w:id="276" w:name="_Toc5310"/>
      <w:bookmarkStart w:id="277" w:name="_Toc183727657"/>
      <w:bookmarkStart w:id="278" w:name="_Toc3795"/>
      <w:bookmarkStart w:id="279" w:name="_Toc4687"/>
      <w:bookmarkStart w:id="280" w:name="_Toc28519"/>
      <w:bookmarkStart w:id="281" w:name="_Toc12436"/>
      <w:bookmarkStart w:id="282" w:name="_Toc2659"/>
      <w:bookmarkStart w:id="283" w:name="_Toc17059"/>
      <w:bookmarkStart w:id="284" w:name="_Toc6319"/>
      <w:bookmarkStart w:id="285" w:name="_Toc27628"/>
      <w:r>
        <w:rPr>
          <w:rFonts w:hint="default" w:ascii="Times New Roman" w:hAnsi="Times New Roman" w:cs="Times New Roman"/>
          <w:color w:val="auto"/>
          <w:highlight w:val="none"/>
        </w:rPr>
        <w:t>总体性能</w:t>
      </w:r>
      <w:bookmarkEnd w:id="276"/>
      <w:bookmarkEnd w:id="277"/>
      <w:bookmarkEnd w:id="278"/>
      <w:bookmarkEnd w:id="279"/>
      <w:bookmarkEnd w:id="280"/>
      <w:bookmarkEnd w:id="281"/>
      <w:bookmarkEnd w:id="282"/>
      <w:bookmarkEnd w:id="283"/>
      <w:bookmarkEnd w:id="284"/>
      <w:bookmarkEnd w:id="285"/>
    </w:p>
    <w:p w14:paraId="0E19DA81">
      <w:pPr>
        <w:pStyle w:val="260"/>
        <w:outlineLvl w:val="1"/>
        <w:rPr>
          <w:rFonts w:hint="default" w:ascii="Times New Roman" w:hAnsi="Times New Roman" w:cs="Times New Roman"/>
          <w:color w:val="auto"/>
          <w:highlight w:val="none"/>
        </w:rPr>
      </w:pPr>
      <w:bookmarkStart w:id="286" w:name="_TOC_250129"/>
      <w:bookmarkEnd w:id="286"/>
      <w:bookmarkStart w:id="287" w:name="_Toc28061"/>
      <w:bookmarkStart w:id="288" w:name="_Toc29932"/>
      <w:r>
        <w:rPr>
          <w:rFonts w:hint="default" w:ascii="Times New Roman" w:hAnsi="Times New Roman" w:cs="Times New Roman"/>
          <w:color w:val="auto"/>
          <w:highlight w:val="none"/>
        </w:rPr>
        <w:t>稳性</w:t>
      </w:r>
      <w:bookmarkEnd w:id="287"/>
      <w:bookmarkEnd w:id="288"/>
    </w:p>
    <w:p w14:paraId="1F5B8490">
      <w:pPr>
        <w:pStyle w:val="261"/>
        <w:spacing w:before="156" w:after="156"/>
        <w:outlineLvl w:val="2"/>
        <w:rPr>
          <w:rFonts w:hint="default" w:ascii="Times New Roman" w:hAnsi="Times New Roman" w:cs="Times New Roman"/>
          <w:color w:val="auto"/>
          <w:highlight w:val="none"/>
          <w:lang w:val="en-US" w:eastAsia="zh-CN"/>
        </w:rPr>
      </w:pPr>
      <w:bookmarkStart w:id="289" w:name="_Toc4804"/>
      <w:bookmarkStart w:id="290" w:name="_Toc30697"/>
      <w:bookmarkStart w:id="291" w:name="_Toc23490"/>
      <w:r>
        <w:rPr>
          <w:rFonts w:hint="eastAsia" w:ascii="Times New Roman" w:hAnsi="Times New Roman" w:cs="Times New Roman"/>
          <w:color w:val="auto"/>
          <w:highlight w:val="none"/>
          <w:lang w:val="en-US" w:eastAsia="zh-CN"/>
        </w:rPr>
        <w:t>完整稳性</w:t>
      </w:r>
      <w:bookmarkEnd w:id="289"/>
      <w:bookmarkEnd w:id="290"/>
      <w:bookmarkEnd w:id="291"/>
    </w:p>
    <w:p w14:paraId="12566C9F">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FPSO在全生命周期内可能达到的任何漂浮状态下，在静水平衡位置，经自由液面修正后的初稳性高度GM应不小于0.15 m。</w:t>
      </w:r>
    </w:p>
    <w:p w14:paraId="354834B6">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FPSO在装载工况下的完整稳性应满足以下要求：</w:t>
      </w:r>
    </w:p>
    <w:p w14:paraId="60D52BFF">
      <w:pPr>
        <w:pStyle w:val="326"/>
        <w:numPr>
          <w:ilvl w:val="0"/>
          <w:numId w:val="31"/>
        </w:numPr>
        <w:tabs>
          <w:tab w:val="left" w:pos="738"/>
        </w:tabs>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对船型FPSO，至第2交点和进水角处的复原力矩曲线下的面积中的较小者，至少比至同一限定角处风倾力矩曲线下面积大40%；</w:t>
      </w:r>
    </w:p>
    <w:p w14:paraId="1F3878A3">
      <w:pPr>
        <w:pStyle w:val="326"/>
        <w:numPr>
          <w:ilvl w:val="0"/>
          <w:numId w:val="31"/>
        </w:numPr>
        <w:tabs>
          <w:tab w:val="left" w:pos="738"/>
        </w:tabs>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对半潜式和圆筒型FPSO，至第2交点和进水角处的复原力矩曲线下的面积中的较小者，至少比至同一限定角处风倾力矩曲线下面积大30%。</w:t>
      </w:r>
    </w:p>
    <w:p w14:paraId="3F9AD2BD">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完整稳性计算风速应满足以下要求：</w:t>
      </w:r>
    </w:p>
    <w:p w14:paraId="325FC9DC">
      <w:pPr>
        <w:pStyle w:val="326"/>
        <w:numPr>
          <w:ilvl w:val="0"/>
          <w:numId w:val="32"/>
        </w:numPr>
        <w:tabs>
          <w:tab w:val="left" w:pos="738"/>
        </w:tabs>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FPSO拖航、海上安装及调试、正常作业期间，不低于36 m/s（70 kn）；对仅限于遮蔽区域使用的FPSO，可减至不低于25.8 m/s（50 kn）；</w:t>
      </w:r>
    </w:p>
    <w:p w14:paraId="3FD9A811">
      <w:pPr>
        <w:pStyle w:val="326"/>
        <w:numPr>
          <w:ilvl w:val="0"/>
          <w:numId w:val="32"/>
        </w:numPr>
        <w:tabs>
          <w:tab w:val="left" w:pos="738"/>
        </w:tabs>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风暴最小风速取51.5 m/s（100 kn）与作业海域百年一遇1 min平均风速的较大者。</w:t>
      </w:r>
    </w:p>
    <w:p w14:paraId="134A65E9">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FPSO上应配备经船级社认可的装载仪或装载计算机。当稳性资料无法给出基于完整或破舱稳性衡准的许用重心高度曲线时，装载仪或装载计算机应具备直接计算完整稳性及破舱稳性的能力</w:t>
      </w:r>
      <w:r>
        <w:rPr>
          <w:rFonts w:hint="eastAsia" w:ascii="宋体" w:hAnsi="宋体" w:eastAsia="宋体" w:cs="宋体"/>
          <w:color w:val="auto"/>
          <w:highlight w:val="none"/>
          <w:lang w:eastAsia="zh-CN"/>
        </w:rPr>
        <w:t>。</w:t>
      </w:r>
    </w:p>
    <w:p w14:paraId="6E6E641C">
      <w:pPr>
        <w:pStyle w:val="261"/>
        <w:spacing w:before="156" w:after="156"/>
        <w:outlineLvl w:val="2"/>
        <w:rPr>
          <w:rFonts w:hint="default" w:ascii="Times New Roman" w:hAnsi="Times New Roman" w:cs="Times New Roman"/>
          <w:color w:val="auto"/>
          <w:highlight w:val="none"/>
          <w:lang w:val="en-US" w:eastAsia="zh-CN"/>
        </w:rPr>
      </w:pPr>
      <w:bookmarkStart w:id="292" w:name="_TOC_250128"/>
      <w:bookmarkEnd w:id="292"/>
      <w:bookmarkStart w:id="293" w:name="_Toc26065"/>
      <w:bookmarkStart w:id="294" w:name="_Toc32649"/>
      <w:bookmarkStart w:id="295" w:name="_Toc20141"/>
      <w:bookmarkStart w:id="296" w:name="_Toc32708"/>
      <w:bookmarkStart w:id="297" w:name="_Toc18157"/>
      <w:bookmarkStart w:id="298" w:name="_Toc8810"/>
      <w:bookmarkStart w:id="299" w:name="_Toc23893"/>
      <w:bookmarkStart w:id="300" w:name="_Toc183727661"/>
      <w:bookmarkStart w:id="301" w:name="_Toc6383"/>
      <w:bookmarkStart w:id="302" w:name="_Toc12983"/>
      <w:bookmarkStart w:id="303" w:name="_Toc23221"/>
      <w:r>
        <w:rPr>
          <w:rFonts w:hint="default" w:ascii="Times New Roman" w:hAnsi="Times New Roman" w:cs="Times New Roman"/>
          <w:color w:val="auto"/>
          <w:highlight w:val="none"/>
          <w:lang w:val="en-US" w:eastAsia="zh-CN"/>
        </w:rPr>
        <w:t>破舱稳性</w:t>
      </w:r>
      <w:bookmarkEnd w:id="293"/>
      <w:bookmarkEnd w:id="294"/>
      <w:bookmarkEnd w:id="295"/>
      <w:bookmarkEnd w:id="296"/>
      <w:bookmarkEnd w:id="297"/>
      <w:bookmarkEnd w:id="298"/>
      <w:bookmarkEnd w:id="299"/>
      <w:bookmarkEnd w:id="300"/>
      <w:bookmarkEnd w:id="301"/>
      <w:bookmarkEnd w:id="302"/>
      <w:bookmarkEnd w:id="303"/>
    </w:p>
    <w:p w14:paraId="0FBBCD66">
      <w:pPr>
        <w:pStyle w:val="290"/>
        <w:spacing w:before="0" w:beforeLines="0" w:after="0" w:afterLines="0"/>
        <w:jc w:val="both"/>
        <w:outlineLvl w:val="9"/>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FPSO受到</w:t>
      </w:r>
      <w:r>
        <w:rPr>
          <w:rFonts w:hint="eastAsia" w:ascii="宋体" w:hAnsi="宋体" w:eastAsia="宋体" w:cs="宋体"/>
          <w:color w:val="auto"/>
          <w:highlight w:val="none"/>
          <w:lang w:val="en-US" w:eastAsia="zh-CN"/>
        </w:rPr>
        <w:t>假</w:t>
      </w:r>
      <w:r>
        <w:rPr>
          <w:rFonts w:hint="default" w:ascii="宋体" w:hAnsi="宋体" w:eastAsia="宋体" w:cs="宋体"/>
          <w:color w:val="auto"/>
          <w:highlight w:val="none"/>
          <w:lang w:val="en-US" w:eastAsia="zh-CN"/>
        </w:rPr>
        <w:t>定的碰撞破损或临近海水的任意单舱破损后，应能承受来自任何方向、风速为25.8 m/s(50 kn)的风倾力矩，且最终平衡水线以下应保证水密完整性。</w:t>
      </w:r>
    </w:p>
    <w:p w14:paraId="4177CCB4">
      <w:pPr>
        <w:pStyle w:val="290"/>
        <w:spacing w:before="0" w:beforeLines="0" w:after="0" w:afterLines="0"/>
        <w:outlineLvl w:val="9"/>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船型FPSO应</w:t>
      </w:r>
      <w:r>
        <w:rPr>
          <w:rFonts w:hint="eastAsia" w:ascii="宋体" w:hAnsi="宋体" w:eastAsia="宋体" w:cs="宋体"/>
          <w:color w:val="auto"/>
          <w:highlight w:val="none"/>
          <w:lang w:val="en-US" w:eastAsia="zh-CN"/>
        </w:rPr>
        <w:t>满足</w:t>
      </w:r>
      <w:r>
        <w:rPr>
          <w:rFonts w:hint="default" w:ascii="宋体" w:hAnsi="宋体" w:eastAsia="宋体" w:cs="宋体"/>
          <w:color w:val="auto"/>
          <w:highlight w:val="none"/>
          <w:lang w:val="en-US" w:eastAsia="zh-CN"/>
        </w:rPr>
        <w:t>IMO MODU对</w:t>
      </w:r>
      <w:r>
        <w:rPr>
          <w:rFonts w:hint="eastAsia" w:ascii="宋体" w:hAnsi="宋体" w:eastAsia="宋体" w:cs="宋体"/>
          <w:color w:val="auto"/>
          <w:highlight w:val="none"/>
          <w:lang w:val="en-US" w:eastAsia="zh-CN"/>
        </w:rPr>
        <w:t>水面式平台的</w:t>
      </w:r>
      <w:r>
        <w:rPr>
          <w:rFonts w:hint="default" w:ascii="宋体" w:hAnsi="宋体" w:eastAsia="宋体" w:cs="宋体"/>
          <w:color w:val="auto"/>
          <w:highlight w:val="none"/>
          <w:lang w:val="en-US" w:eastAsia="zh-CN"/>
        </w:rPr>
        <w:t>破损稳性衡准，半潜式</w:t>
      </w:r>
      <w:r>
        <w:rPr>
          <w:rFonts w:hint="eastAsia" w:ascii="宋体" w:hAnsi="宋体" w:eastAsia="宋体" w:cs="宋体"/>
          <w:color w:val="auto"/>
          <w:highlight w:val="none"/>
          <w:lang w:val="en-US" w:eastAsia="zh-CN"/>
        </w:rPr>
        <w:t>FPSO和</w:t>
      </w:r>
      <w:r>
        <w:rPr>
          <w:rFonts w:hint="default" w:ascii="宋体" w:hAnsi="宋体" w:eastAsia="宋体" w:cs="宋体"/>
          <w:color w:val="auto"/>
          <w:highlight w:val="none"/>
          <w:lang w:val="en-US" w:eastAsia="zh-CN"/>
        </w:rPr>
        <w:t>圆筒型FPSO应</w:t>
      </w:r>
      <w:r>
        <w:rPr>
          <w:rFonts w:hint="eastAsia" w:ascii="宋体" w:hAnsi="宋体" w:eastAsia="宋体" w:cs="宋体"/>
          <w:color w:val="auto"/>
          <w:highlight w:val="none"/>
          <w:lang w:val="en-US" w:eastAsia="zh-CN"/>
        </w:rPr>
        <w:t>满足</w:t>
      </w:r>
      <w:r>
        <w:rPr>
          <w:rFonts w:hint="default" w:ascii="宋体" w:hAnsi="宋体" w:eastAsia="宋体" w:cs="宋体"/>
          <w:color w:val="auto"/>
          <w:highlight w:val="none"/>
          <w:lang w:val="en-US" w:eastAsia="zh-CN"/>
        </w:rPr>
        <w:t>IMO MODU</w:t>
      </w:r>
      <w:r>
        <w:rPr>
          <w:rFonts w:hint="eastAsia" w:ascii="宋体" w:hAnsi="宋体" w:eastAsia="宋体" w:cs="宋体"/>
          <w:color w:val="auto"/>
          <w:highlight w:val="none"/>
          <w:lang w:val="en-US" w:eastAsia="zh-CN"/>
        </w:rPr>
        <w:t>中</w:t>
      </w:r>
      <w:r>
        <w:rPr>
          <w:rFonts w:hint="default" w:ascii="宋体" w:hAnsi="宋体" w:eastAsia="宋体" w:cs="宋体"/>
          <w:color w:val="auto"/>
          <w:highlight w:val="none"/>
          <w:lang w:val="en-US" w:eastAsia="zh-CN"/>
        </w:rPr>
        <w:t>柱稳式平台的破损稳性衡准。</w:t>
      </w:r>
    </w:p>
    <w:p w14:paraId="582321D5">
      <w:pPr>
        <w:pStyle w:val="290"/>
        <w:spacing w:before="0" w:beforeLines="0" w:after="0" w:afterLines="0"/>
        <w:outlineLvl w:val="9"/>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圆筒型FPSO碰撞破损范围应结合碰撞风险分析确定。在缺少碰撞风险分析结果时，水平穿透深度</w:t>
      </w:r>
      <w:r>
        <w:rPr>
          <w:rFonts w:hint="eastAsia" w:ascii="宋体" w:hAnsi="宋体" w:eastAsia="宋体" w:cs="宋体"/>
          <w:color w:val="auto"/>
          <w:highlight w:val="none"/>
          <w:lang w:val="en-US" w:eastAsia="zh-CN"/>
        </w:rPr>
        <w:t>采取</w:t>
      </w:r>
      <w:r>
        <w:rPr>
          <w:rFonts w:hint="default" w:ascii="宋体" w:hAnsi="宋体" w:eastAsia="宋体" w:cs="宋体"/>
          <w:color w:val="auto"/>
          <w:highlight w:val="none"/>
          <w:lang w:val="en-US" w:eastAsia="zh-CN"/>
        </w:rPr>
        <w:t>1.5</w:t>
      </w:r>
      <w:r>
        <w:rPr>
          <w:rFonts w:hint="eastAsia" w:ascii="宋体" w:hAnsi="宋体" w:eastAsia="宋体" w:cs="宋体"/>
          <w:color w:val="auto"/>
          <w:highlight w:val="none"/>
          <w:lang w:val="en-US" w:eastAsia="zh-CN"/>
        </w:rPr>
        <w:t xml:space="preserve"> </w:t>
      </w:r>
      <w:r>
        <w:rPr>
          <w:rFonts w:hint="default" w:ascii="宋体" w:hAnsi="宋体" w:eastAsia="宋体" w:cs="宋体"/>
          <w:color w:val="auto"/>
          <w:highlight w:val="none"/>
          <w:lang w:val="en-US" w:eastAsia="zh-CN"/>
        </w:rPr>
        <w:t>m，垂向破损</w:t>
      </w:r>
      <w:r>
        <w:rPr>
          <w:rFonts w:hint="eastAsia" w:ascii="宋体" w:hAnsi="宋体" w:eastAsia="宋体" w:cs="宋体"/>
          <w:color w:val="auto"/>
          <w:highlight w:val="none"/>
          <w:lang w:val="en-US" w:eastAsia="zh-CN"/>
        </w:rPr>
        <w:t>采取</w:t>
      </w:r>
      <w:r>
        <w:rPr>
          <w:rFonts w:hint="default" w:ascii="宋体" w:hAnsi="宋体" w:eastAsia="宋体" w:cs="宋体"/>
          <w:color w:val="auto"/>
          <w:highlight w:val="none"/>
          <w:lang w:val="en-US" w:eastAsia="zh-CN"/>
        </w:rPr>
        <w:t>吃水以下3 m和以上5</w:t>
      </w:r>
      <w:r>
        <w:rPr>
          <w:rFonts w:hint="eastAsia" w:ascii="宋体" w:hAnsi="宋体" w:eastAsia="宋体" w:cs="宋体"/>
          <w:color w:val="auto"/>
          <w:highlight w:val="none"/>
          <w:lang w:val="en-US" w:eastAsia="zh-CN"/>
        </w:rPr>
        <w:t xml:space="preserve"> </w:t>
      </w:r>
      <w:r>
        <w:rPr>
          <w:rFonts w:hint="default" w:ascii="宋体" w:hAnsi="宋体" w:eastAsia="宋体" w:cs="宋体"/>
          <w:color w:val="auto"/>
          <w:highlight w:val="none"/>
          <w:lang w:val="en-US" w:eastAsia="zh-CN"/>
        </w:rPr>
        <w:t>m之间任何部位发生垂向范围为3m的破损。如在此区域内设有水密平台，应假定在该水密平台以上和以下</w:t>
      </w:r>
      <w:r>
        <w:rPr>
          <w:rFonts w:hint="eastAsia" w:ascii="宋体" w:hAnsi="宋体" w:eastAsia="宋体" w:cs="宋体"/>
          <w:color w:val="auto"/>
          <w:highlight w:val="none"/>
          <w:lang w:val="en-US" w:eastAsia="zh-CN"/>
        </w:rPr>
        <w:t>2</w:t>
      </w:r>
      <w:r>
        <w:rPr>
          <w:rFonts w:hint="default" w:ascii="宋体" w:hAnsi="宋体" w:eastAsia="宋体" w:cs="宋体"/>
          <w:color w:val="auto"/>
          <w:highlight w:val="none"/>
          <w:lang w:val="en-US" w:eastAsia="zh-CN"/>
        </w:rPr>
        <w:t>个舱室均发生破损。位于假定的水平贯入范围内的垂向舱壁之间的距离应不小于3</w:t>
      </w:r>
      <w:r>
        <w:rPr>
          <w:rFonts w:hint="eastAsia" w:ascii="宋体" w:hAnsi="宋体" w:eastAsia="宋体" w:cs="宋体"/>
          <w:color w:val="auto"/>
          <w:highlight w:val="none"/>
          <w:lang w:val="en-US" w:eastAsia="zh-CN"/>
        </w:rPr>
        <w:t xml:space="preserve"> </w:t>
      </w:r>
      <w:r>
        <w:rPr>
          <w:rFonts w:hint="default" w:ascii="宋体" w:hAnsi="宋体" w:eastAsia="宋体" w:cs="宋体"/>
          <w:color w:val="auto"/>
          <w:highlight w:val="none"/>
          <w:lang w:val="en-US" w:eastAsia="zh-CN"/>
        </w:rPr>
        <w:t>m，否则假定不存在。</w:t>
      </w:r>
    </w:p>
    <w:p w14:paraId="0A117508">
      <w:pPr>
        <w:pStyle w:val="290"/>
        <w:spacing w:before="0" w:beforeLines="0" w:after="0" w:afterLines="0"/>
        <w:outlineLvl w:val="9"/>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FPSO</w:t>
      </w:r>
      <w:r>
        <w:rPr>
          <w:rFonts w:hint="default" w:ascii="宋体" w:hAnsi="宋体" w:eastAsia="宋体" w:cs="宋体"/>
          <w:color w:val="auto"/>
          <w:highlight w:val="none"/>
          <w:lang w:val="en-US" w:eastAsia="zh-CN"/>
        </w:rPr>
        <w:t>非碰撞破损</w:t>
      </w:r>
      <w:r>
        <w:rPr>
          <w:rFonts w:hint="eastAsia" w:ascii="宋体" w:hAnsi="宋体" w:eastAsia="宋体" w:cs="宋体"/>
          <w:color w:val="auto"/>
          <w:highlight w:val="none"/>
          <w:lang w:val="en-US" w:eastAsia="zh-CN"/>
        </w:rPr>
        <w:t>范围应假定</w:t>
      </w:r>
      <w:r>
        <w:rPr>
          <w:rFonts w:hint="default" w:ascii="宋体" w:hAnsi="宋体" w:eastAsia="宋体" w:cs="宋体"/>
          <w:color w:val="auto"/>
          <w:highlight w:val="none"/>
          <w:lang w:val="en-US" w:eastAsia="zh-CN"/>
        </w:rPr>
        <w:t>临近海水的任意单舱破损</w:t>
      </w:r>
      <w:r>
        <w:rPr>
          <w:rFonts w:hint="eastAsia" w:ascii="宋体" w:hAnsi="宋体" w:eastAsia="宋体" w:cs="宋体"/>
          <w:color w:val="auto"/>
          <w:highlight w:val="none"/>
          <w:lang w:val="en-US" w:eastAsia="zh-CN"/>
        </w:rPr>
        <w:t>；</w:t>
      </w:r>
      <w:r>
        <w:rPr>
          <w:rFonts w:hint="default" w:ascii="宋体" w:hAnsi="宋体" w:eastAsia="宋体" w:cs="宋体"/>
          <w:color w:val="auto"/>
          <w:highlight w:val="none"/>
          <w:lang w:val="en-US" w:eastAsia="zh-CN"/>
        </w:rPr>
        <w:t>圆筒型FPSO</w:t>
      </w:r>
      <w:r>
        <w:rPr>
          <w:rFonts w:hint="eastAsia" w:ascii="宋体" w:hAnsi="宋体" w:eastAsia="宋体" w:cs="宋体"/>
          <w:color w:val="auto"/>
          <w:highlight w:val="none"/>
          <w:lang w:val="en-US" w:eastAsia="zh-CN"/>
        </w:rPr>
        <w:t>和</w:t>
      </w:r>
      <w:r>
        <w:rPr>
          <w:rFonts w:hint="default" w:ascii="宋体" w:hAnsi="宋体" w:eastAsia="宋体" w:cs="宋体"/>
          <w:color w:val="auto"/>
          <w:highlight w:val="none"/>
          <w:lang w:val="en-US" w:eastAsia="zh-CN"/>
        </w:rPr>
        <w:t>半潜式</w:t>
      </w:r>
      <w:r>
        <w:rPr>
          <w:rFonts w:hint="eastAsia" w:ascii="宋体" w:hAnsi="宋体" w:eastAsia="宋体" w:cs="宋体"/>
          <w:color w:val="auto"/>
          <w:highlight w:val="none"/>
          <w:lang w:val="en-US" w:eastAsia="zh-CN"/>
        </w:rPr>
        <w:t>FPSO</w:t>
      </w:r>
      <w:r>
        <w:rPr>
          <w:rFonts w:hint="default" w:ascii="宋体" w:hAnsi="宋体" w:eastAsia="宋体" w:cs="宋体"/>
          <w:color w:val="auto"/>
          <w:highlight w:val="none"/>
          <w:lang w:val="en-US" w:eastAsia="zh-CN"/>
        </w:rPr>
        <w:t>非碰撞破损</w:t>
      </w:r>
      <w:r>
        <w:rPr>
          <w:rFonts w:hint="eastAsia" w:ascii="宋体" w:hAnsi="宋体" w:eastAsia="宋体" w:cs="宋体"/>
          <w:color w:val="auto"/>
          <w:highlight w:val="none"/>
          <w:lang w:val="en-US" w:eastAsia="zh-CN"/>
        </w:rPr>
        <w:t>范围还应假定</w:t>
      </w:r>
      <w:r>
        <w:rPr>
          <w:rFonts w:hint="default" w:ascii="宋体" w:hAnsi="宋体" w:eastAsia="宋体" w:cs="宋体"/>
          <w:color w:val="auto"/>
          <w:highlight w:val="none"/>
          <w:lang w:val="en-US" w:eastAsia="zh-CN"/>
        </w:rPr>
        <w:t>位于水线以下且处于工作状态的泵舱或有海水冷却系统的机舱单舱破损。</w:t>
      </w:r>
    </w:p>
    <w:p w14:paraId="4F3ADAFC">
      <w:pPr>
        <w:pStyle w:val="261"/>
        <w:spacing w:before="156" w:after="156"/>
        <w:outlineLvl w:val="2"/>
        <w:rPr>
          <w:rFonts w:hint="default"/>
          <w:color w:val="auto"/>
          <w:highlight w:val="none"/>
          <w:lang w:val="en-US" w:eastAsia="zh-CN"/>
        </w:rPr>
      </w:pPr>
      <w:bookmarkStart w:id="304" w:name="_TOC_250127"/>
      <w:bookmarkEnd w:id="304"/>
      <w:bookmarkStart w:id="305" w:name="_Toc28146"/>
      <w:bookmarkStart w:id="306" w:name="_Toc24634"/>
      <w:bookmarkStart w:id="307" w:name="_Toc3365"/>
      <w:r>
        <w:rPr>
          <w:rFonts w:hint="eastAsia"/>
          <w:color w:val="auto"/>
          <w:highlight w:val="none"/>
          <w:lang w:val="en-US" w:eastAsia="zh-CN"/>
        </w:rPr>
        <w:t>复原力矩</w:t>
      </w:r>
      <w:bookmarkEnd w:id="305"/>
      <w:bookmarkEnd w:id="306"/>
      <w:bookmarkEnd w:id="307"/>
    </w:p>
    <w:p w14:paraId="1BC05ED5">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复原力矩计算应计及液舱内自由液面的影响。</w:t>
      </w:r>
    </w:p>
    <w:p w14:paraId="5C8FFE9B">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除系泊约束对FPSO稳性有不利影响外，应假定FPSO处于无系泊约束的漂浮状态。</w:t>
      </w:r>
    </w:p>
    <w:p w14:paraId="6D2E8D77">
      <w:pPr>
        <w:pStyle w:val="261"/>
        <w:spacing w:before="156" w:after="156"/>
        <w:outlineLvl w:val="2"/>
        <w:rPr>
          <w:rFonts w:hint="default"/>
          <w:color w:val="auto"/>
          <w:highlight w:val="none"/>
          <w:lang w:val="en-US" w:eastAsia="zh-CN"/>
        </w:rPr>
      </w:pPr>
      <w:bookmarkStart w:id="308" w:name="_Toc24896"/>
      <w:bookmarkStart w:id="309" w:name="_Toc22042"/>
      <w:bookmarkStart w:id="310" w:name="_Toc10649"/>
      <w:r>
        <w:rPr>
          <w:rFonts w:hint="eastAsia"/>
          <w:color w:val="auto"/>
          <w:highlight w:val="none"/>
          <w:lang w:val="en-US" w:eastAsia="zh-CN"/>
        </w:rPr>
        <w:t>空船重量与重心</w:t>
      </w:r>
      <w:bookmarkEnd w:id="308"/>
      <w:bookmarkEnd w:id="309"/>
      <w:bookmarkEnd w:id="310"/>
    </w:p>
    <w:p w14:paraId="18B6C13F">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FPSO完工状态的空船重量及重心水平位置应通过空船测量确定，重心的垂向位置应通过倾斜试验确定。对于传统倾斜试验无法进行的非船型FPSO，应采用船级社认可的替代方法。</w:t>
      </w:r>
    </w:p>
    <w:p w14:paraId="304A4C4B">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对于相同设计的系列或姐妹FPSO的非首制FPSO，</w:t>
      </w:r>
      <w:r>
        <w:rPr>
          <w:rFonts w:hint="eastAsia" w:ascii="宋体" w:hAnsi="宋体" w:eastAsia="宋体" w:cs="宋体"/>
          <w:color w:val="auto"/>
          <w:highlight w:val="none"/>
        </w:rPr>
        <w:t>应进行空船测量，并与首制FPSO对比</w:t>
      </w:r>
      <w:r>
        <w:rPr>
          <w:rFonts w:hint="eastAsia" w:ascii="宋体" w:hAnsi="宋体" w:eastAsia="宋体" w:cs="宋体"/>
          <w:color w:val="auto"/>
          <w:highlight w:val="none"/>
          <w:lang w:val="en-US" w:eastAsia="zh-CN"/>
        </w:rPr>
        <w:t>。对比结果除排水量差异小于1%首制FPSO空船排水量，且重心水平位置差异小于1% FPSO水平主尺度以外，应重新开展倾斜试验。</w:t>
      </w:r>
    </w:p>
    <w:p w14:paraId="7D2E2270">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当FPSO空船排水量变化超过1%或重心水平位置变化超过0.5%对应水平主尺度（长度方向为载重量公约中的长度，宽度方向为FPSO在夏季载重线处对应最大宽度）时，或重心垂向位置变化超过0.5%时，应更新稳性相关文件及操作手册等，确保稳性满足要求。</w:t>
      </w:r>
    </w:p>
    <w:p w14:paraId="6A0828C5">
      <w:pPr>
        <w:pStyle w:val="290"/>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FPSO在服役期间不回坞时，空船重量变化绝对值之和不应超过10%空船排水量。</w:t>
      </w:r>
    </w:p>
    <w:p w14:paraId="009A1018">
      <w:pPr>
        <w:pStyle w:val="260"/>
        <w:outlineLvl w:val="1"/>
        <w:rPr>
          <w:rFonts w:hint="default" w:ascii="Times New Roman" w:hAnsi="Times New Roman" w:cs="Times New Roman"/>
          <w:color w:val="auto"/>
          <w:highlight w:val="none"/>
        </w:rPr>
      </w:pPr>
      <w:bookmarkStart w:id="311" w:name="_Toc17868"/>
      <w:bookmarkStart w:id="312" w:name="_Toc23997"/>
      <w:r>
        <w:rPr>
          <w:rFonts w:hint="default" w:ascii="Times New Roman" w:hAnsi="Times New Roman" w:cs="Times New Roman"/>
          <w:color w:val="auto"/>
          <w:highlight w:val="none"/>
        </w:rPr>
        <w:t>水密</w:t>
      </w:r>
      <w:r>
        <w:rPr>
          <w:rFonts w:hint="default" w:ascii="Times New Roman" w:cs="Times New Roman"/>
          <w:color w:val="auto"/>
          <w:highlight w:val="none"/>
          <w:lang w:val="en-US" w:eastAsia="zh-CN"/>
        </w:rPr>
        <w:t>及风雨密</w:t>
      </w:r>
      <w:r>
        <w:rPr>
          <w:rFonts w:hint="default" w:ascii="Times New Roman" w:hAnsi="Times New Roman" w:cs="Times New Roman"/>
          <w:color w:val="auto"/>
          <w:highlight w:val="none"/>
        </w:rPr>
        <w:t>完整性</w:t>
      </w:r>
      <w:bookmarkEnd w:id="311"/>
      <w:bookmarkEnd w:id="312"/>
    </w:p>
    <w:p w14:paraId="71F784A9">
      <w:pPr>
        <w:pStyle w:val="261"/>
        <w:spacing w:before="0" w:beforeLines="0" w:after="0" w:afterLines="0"/>
        <w:outlineLvl w:val="9"/>
        <w:rPr>
          <w:rFonts w:hint="eastAsia" w:ascii="宋体" w:hAnsi="宋体" w:eastAsia="宋体" w:cs="宋体"/>
          <w:color w:val="auto"/>
          <w:highlight w:val="none"/>
        </w:rPr>
      </w:pPr>
      <w:r>
        <w:rPr>
          <w:rFonts w:hint="default" w:ascii="Times New Roman" w:cs="Times New Roman" w:eastAsiaTheme="minorEastAsia"/>
          <w:color w:val="auto"/>
          <w:highlight w:val="none"/>
          <w:lang w:val="en-US" w:eastAsia="zh-CN"/>
        </w:rPr>
        <w:t>空气管、通风管、</w:t>
      </w:r>
      <w:r>
        <w:rPr>
          <w:rFonts w:hint="eastAsia" w:ascii="宋体" w:hAnsi="宋体" w:eastAsia="宋体" w:cs="宋体"/>
          <w:color w:val="auto"/>
          <w:highlight w:val="none"/>
          <w:lang w:val="en-US" w:eastAsia="zh-CN"/>
        </w:rPr>
        <w:t>通风进出口等外部开口应基于稳性结果配备水密或风雨密关闭装置。</w:t>
      </w:r>
    </w:p>
    <w:p w14:paraId="5AD82645">
      <w:pPr>
        <w:pStyle w:val="261"/>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出入口、管路、风管、电缆等通过需在水密甲板和舱壁上开孔时，应</w:t>
      </w:r>
      <w:r>
        <w:rPr>
          <w:rFonts w:hint="eastAsia" w:ascii="宋体" w:hAnsi="宋体" w:eastAsia="宋体" w:cs="宋体"/>
          <w:color w:val="auto"/>
          <w:highlight w:val="none"/>
          <w:lang w:val="en-US" w:eastAsia="zh-CN"/>
        </w:rPr>
        <w:t>采取</w:t>
      </w:r>
      <w:r>
        <w:rPr>
          <w:rFonts w:hint="eastAsia" w:ascii="宋体" w:hAnsi="宋体" w:eastAsia="宋体" w:cs="宋体"/>
          <w:color w:val="auto"/>
          <w:highlight w:val="none"/>
        </w:rPr>
        <w:t>保持</w:t>
      </w:r>
      <w:r>
        <w:rPr>
          <w:rFonts w:hint="eastAsia" w:ascii="宋体" w:hAnsi="宋体" w:eastAsia="宋体" w:cs="宋体"/>
          <w:color w:val="auto"/>
          <w:highlight w:val="none"/>
          <w:lang w:val="en-US" w:eastAsia="zh-CN"/>
        </w:rPr>
        <w:t>水密分隔</w:t>
      </w:r>
      <w:r>
        <w:rPr>
          <w:rFonts w:hint="eastAsia" w:ascii="宋体" w:hAnsi="宋体" w:eastAsia="宋体" w:cs="宋体"/>
          <w:color w:val="auto"/>
          <w:highlight w:val="none"/>
        </w:rPr>
        <w:t>舱室水密完整性</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措施</w:t>
      </w:r>
      <w:r>
        <w:rPr>
          <w:rFonts w:hint="eastAsia" w:ascii="宋体" w:hAnsi="宋体" w:eastAsia="宋体" w:cs="宋体"/>
          <w:color w:val="auto"/>
          <w:highlight w:val="none"/>
          <w:lang w:eastAsia="zh-CN"/>
        </w:rPr>
        <w:t>。</w:t>
      </w:r>
    </w:p>
    <w:p w14:paraId="708021F9">
      <w:pPr>
        <w:pStyle w:val="261"/>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在水密界限处设有保持水密完整</w:t>
      </w:r>
      <w:r>
        <w:rPr>
          <w:rFonts w:hint="eastAsia" w:ascii="宋体" w:hAnsi="宋体" w:eastAsia="宋体" w:cs="宋体"/>
          <w:color w:val="auto"/>
          <w:highlight w:val="none"/>
          <w:lang w:val="en-US" w:eastAsia="zh-CN"/>
        </w:rPr>
        <w:t>性</w:t>
      </w:r>
      <w:r>
        <w:rPr>
          <w:rFonts w:hint="eastAsia" w:ascii="宋体" w:hAnsi="宋体" w:eastAsia="宋体" w:cs="宋体"/>
          <w:color w:val="auto"/>
          <w:highlight w:val="none"/>
        </w:rPr>
        <w:t>的阀门应能从泵舱或其他常有人员的处所、露天甲板或浸水后最终水线以上的甲板进行操作。对</w:t>
      </w:r>
      <w:r>
        <w:rPr>
          <w:rFonts w:hint="eastAsia" w:ascii="宋体" w:hAnsi="宋体" w:eastAsia="宋体" w:cs="宋体"/>
          <w:color w:val="auto"/>
          <w:highlight w:val="none"/>
          <w:lang w:val="en-US" w:eastAsia="zh-CN"/>
        </w:rPr>
        <w:t>半潜式FPSO</w:t>
      </w:r>
      <w:r>
        <w:rPr>
          <w:rFonts w:hint="eastAsia" w:ascii="宋体" w:hAnsi="宋体" w:eastAsia="宋体" w:cs="宋体"/>
          <w:color w:val="auto"/>
          <w:highlight w:val="none"/>
        </w:rPr>
        <w:t>，操作处所</w:t>
      </w:r>
      <w:r>
        <w:rPr>
          <w:rFonts w:hint="eastAsia" w:ascii="宋体" w:hAnsi="宋体" w:eastAsia="宋体" w:cs="宋体"/>
          <w:color w:val="auto"/>
          <w:highlight w:val="none"/>
          <w:lang w:val="en-US" w:eastAsia="zh-CN"/>
        </w:rPr>
        <w:t>应为</w:t>
      </w:r>
      <w:r>
        <w:rPr>
          <w:rFonts w:hint="eastAsia" w:ascii="宋体" w:hAnsi="宋体" w:eastAsia="宋体" w:cs="宋体"/>
          <w:color w:val="auto"/>
          <w:highlight w:val="none"/>
        </w:rPr>
        <w:t>中央控制站。应在遥控站设置阀位指示器</w:t>
      </w:r>
      <w:r>
        <w:rPr>
          <w:rFonts w:hint="eastAsia" w:ascii="宋体" w:hAnsi="宋体" w:eastAsia="宋体" w:cs="宋体"/>
          <w:color w:val="auto"/>
          <w:highlight w:val="none"/>
          <w:lang w:eastAsia="zh-CN"/>
        </w:rPr>
        <w:t>。</w:t>
      </w:r>
    </w:p>
    <w:p w14:paraId="0694F155">
      <w:pPr>
        <w:pStyle w:val="261"/>
        <w:spacing w:before="0" w:beforeLines="0" w:after="0" w:afterLines="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水密完整性关闭装置应能在完整及破损状态下承受静水压力并保持密封。</w:t>
      </w:r>
    </w:p>
    <w:p w14:paraId="1820B16B">
      <w:pPr>
        <w:pStyle w:val="261"/>
        <w:spacing w:before="0" w:beforeLines="0" w:after="0" w:afterLines="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风雨密完整性关闭装置应能在任何海况下防止水渗入。</w:t>
      </w:r>
    </w:p>
    <w:p w14:paraId="1036D1AD">
      <w:pPr>
        <w:pStyle w:val="260"/>
        <w:outlineLvl w:val="1"/>
        <w:rPr>
          <w:rFonts w:hint="default" w:ascii="Times New Roman" w:hAnsi="Times New Roman" w:cs="Times New Roman"/>
          <w:color w:val="auto"/>
          <w:highlight w:val="none"/>
        </w:rPr>
      </w:pPr>
      <w:bookmarkStart w:id="313" w:name="_TOC_250126"/>
      <w:bookmarkEnd w:id="313"/>
      <w:bookmarkStart w:id="314" w:name="_Toc15360"/>
      <w:bookmarkStart w:id="315" w:name="_Toc190"/>
      <w:bookmarkStart w:id="316" w:name="_Toc11327"/>
      <w:bookmarkStart w:id="317" w:name="_Toc30511"/>
      <w:bookmarkStart w:id="318" w:name="_Toc7458"/>
      <w:bookmarkStart w:id="319" w:name="_Toc2054"/>
      <w:bookmarkStart w:id="320" w:name="_Toc183727664"/>
      <w:bookmarkStart w:id="321" w:name="_Toc24757"/>
      <w:bookmarkStart w:id="322" w:name="_Toc24312"/>
      <w:bookmarkStart w:id="323" w:name="_Toc13388"/>
      <w:r>
        <w:rPr>
          <w:rFonts w:hint="default" w:ascii="Times New Roman" w:hAnsi="Times New Roman" w:cs="Times New Roman"/>
          <w:color w:val="auto"/>
          <w:highlight w:val="none"/>
        </w:rPr>
        <w:t>载重线</w:t>
      </w:r>
      <w:bookmarkEnd w:id="314"/>
      <w:bookmarkEnd w:id="315"/>
      <w:bookmarkEnd w:id="316"/>
      <w:bookmarkEnd w:id="317"/>
      <w:bookmarkEnd w:id="318"/>
      <w:bookmarkEnd w:id="319"/>
      <w:bookmarkEnd w:id="320"/>
      <w:bookmarkEnd w:id="321"/>
      <w:bookmarkEnd w:id="322"/>
      <w:bookmarkEnd w:id="323"/>
    </w:p>
    <w:p w14:paraId="3BF224B5">
      <w:pPr>
        <w:pStyle w:val="261"/>
        <w:spacing w:before="156" w:after="156"/>
        <w:outlineLvl w:val="2"/>
        <w:rPr>
          <w:rFonts w:hint="default" w:ascii="Times New Roman" w:hAnsi="Times New Roman" w:cs="Times New Roman"/>
          <w:color w:val="auto"/>
          <w:highlight w:val="none"/>
        </w:rPr>
      </w:pPr>
      <w:bookmarkStart w:id="324" w:name="_Toc10675"/>
      <w:bookmarkStart w:id="325" w:name="_Toc8011"/>
      <w:bookmarkStart w:id="326" w:name="_Toc17484"/>
      <w:bookmarkStart w:id="327" w:name="_Toc1079"/>
      <w:bookmarkStart w:id="328" w:name="_Toc11107"/>
      <w:bookmarkStart w:id="329" w:name="_Toc7227"/>
      <w:bookmarkStart w:id="330" w:name="_Toc30326"/>
      <w:bookmarkStart w:id="331" w:name="_Toc4725"/>
      <w:bookmarkStart w:id="332" w:name="_Toc25711"/>
      <w:bookmarkStart w:id="333" w:name="_Toc23105"/>
      <w:r>
        <w:rPr>
          <w:rFonts w:hint="default" w:ascii="Times New Roman" w:hAnsi="Times New Roman" w:cs="Times New Roman"/>
          <w:color w:val="auto"/>
          <w:highlight w:val="none"/>
        </w:rPr>
        <w:t>载重线标志与勘划</w:t>
      </w:r>
      <w:bookmarkEnd w:id="324"/>
      <w:bookmarkEnd w:id="325"/>
      <w:bookmarkEnd w:id="326"/>
      <w:bookmarkEnd w:id="327"/>
      <w:bookmarkEnd w:id="328"/>
      <w:bookmarkEnd w:id="329"/>
      <w:bookmarkEnd w:id="330"/>
      <w:bookmarkEnd w:id="331"/>
      <w:bookmarkEnd w:id="332"/>
      <w:bookmarkEnd w:id="333"/>
    </w:p>
    <w:p w14:paraId="59D957BC">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应在FPSO上</w:t>
      </w:r>
      <w:r>
        <w:rPr>
          <w:rFonts w:hint="eastAsia" w:ascii="宋体" w:hAnsi="宋体" w:eastAsia="宋体" w:cs="宋体"/>
          <w:color w:val="auto"/>
          <w:highlight w:val="none"/>
        </w:rPr>
        <w:t>勘划</w:t>
      </w:r>
      <w:r>
        <w:rPr>
          <w:rFonts w:hint="eastAsia" w:ascii="宋体" w:hAnsi="宋体" w:eastAsia="宋体" w:cs="宋体"/>
          <w:color w:val="auto"/>
          <w:highlight w:val="none"/>
          <w:lang w:val="en-US" w:eastAsia="zh-CN"/>
        </w:rPr>
        <w:t>符合IMO ICLL规定的</w:t>
      </w:r>
      <w:r>
        <w:rPr>
          <w:rFonts w:hint="eastAsia" w:ascii="宋体" w:hAnsi="宋体" w:eastAsia="宋体" w:cs="宋体"/>
          <w:color w:val="auto"/>
          <w:highlight w:val="none"/>
        </w:rPr>
        <w:t>载重线标志。船型</w:t>
      </w: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的载重线标志应勘划在船中位置，其他型式</w:t>
      </w: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的载重线应勘划在易于人员观察位置。</w:t>
      </w:r>
    </w:p>
    <w:p w14:paraId="54882726">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当</w:t>
      </w:r>
      <w:r>
        <w:rPr>
          <w:rFonts w:hint="eastAsia" w:ascii="宋体" w:hAnsi="宋体" w:eastAsia="宋体" w:cs="宋体"/>
          <w:color w:val="auto"/>
          <w:highlight w:val="none"/>
        </w:rPr>
        <w:t>为满足完整稳性</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破舱稳性要求所需的干舷</w:t>
      </w:r>
      <w:r>
        <w:rPr>
          <w:rFonts w:hint="eastAsia" w:ascii="宋体" w:hAnsi="宋体" w:eastAsia="宋体" w:cs="宋体"/>
          <w:color w:val="auto"/>
          <w:highlight w:val="none"/>
          <w:lang w:val="en-US" w:eastAsia="zh-CN"/>
        </w:rPr>
        <w:t>大于根据IMO ICLL计算的</w:t>
      </w:r>
      <w:r>
        <w:rPr>
          <w:rFonts w:hint="eastAsia" w:ascii="宋体" w:hAnsi="宋体" w:eastAsia="宋体" w:cs="宋体"/>
          <w:color w:val="auto"/>
          <w:highlight w:val="none"/>
        </w:rPr>
        <w:t>最小干舷时，圆环中心线以上的季节性标志不应勘划，圆环中心线以下的季节性标志应予勘划。</w:t>
      </w:r>
    </w:p>
    <w:p w14:paraId="76FCBE46">
      <w:pPr>
        <w:pStyle w:val="261"/>
        <w:spacing w:before="156" w:after="156"/>
        <w:outlineLvl w:val="2"/>
        <w:rPr>
          <w:rFonts w:hint="default" w:ascii="Times New Roman" w:hAnsi="Times New Roman" w:cs="Times New Roman"/>
          <w:color w:val="auto"/>
          <w:highlight w:val="none"/>
        </w:rPr>
      </w:pPr>
      <w:bookmarkStart w:id="334" w:name="_Toc20757"/>
      <w:bookmarkStart w:id="335" w:name="_Toc10861"/>
      <w:bookmarkStart w:id="336" w:name="_Toc19019"/>
      <w:r>
        <w:rPr>
          <w:rFonts w:hint="default" w:ascii="Times New Roman" w:hAnsi="Times New Roman" w:cs="Times New Roman"/>
          <w:color w:val="auto"/>
          <w:highlight w:val="none"/>
        </w:rPr>
        <w:t>干舷</w:t>
      </w:r>
      <w:r>
        <w:rPr>
          <w:rFonts w:hint="eastAsia" w:ascii="Times New Roman" w:cs="Times New Roman"/>
          <w:color w:val="auto"/>
          <w:highlight w:val="none"/>
          <w:lang w:val="en-US" w:eastAsia="zh-CN"/>
        </w:rPr>
        <w:t>要求</w:t>
      </w:r>
      <w:bookmarkEnd w:id="334"/>
      <w:bookmarkEnd w:id="335"/>
      <w:bookmarkEnd w:id="336"/>
    </w:p>
    <w:p w14:paraId="3BFCE0FA">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船型和圆筒型FPSO的干舷应大于根据IMO ICLL计算核定的最小干舷。</w:t>
      </w:r>
    </w:p>
    <w:p w14:paraId="766551D9">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半潜式</w:t>
      </w:r>
      <w:r>
        <w:rPr>
          <w:rFonts w:hint="eastAsia" w:ascii="宋体" w:hAnsi="宋体" w:eastAsia="宋体" w:cs="宋体"/>
          <w:color w:val="auto"/>
          <w:highlight w:val="none"/>
          <w:lang w:val="en-US" w:eastAsia="zh-CN"/>
        </w:rPr>
        <w:t>FPSO的干舷</w:t>
      </w:r>
      <w:r>
        <w:rPr>
          <w:rFonts w:hint="eastAsia" w:ascii="宋体" w:hAnsi="宋体" w:eastAsia="宋体" w:cs="宋体"/>
          <w:color w:val="auto"/>
          <w:highlight w:val="none"/>
        </w:rPr>
        <w:t>应满足完整稳性、破舱稳性</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结构强度</w:t>
      </w:r>
      <w:r>
        <w:rPr>
          <w:rFonts w:hint="eastAsia" w:ascii="宋体" w:hAnsi="宋体" w:eastAsia="宋体" w:cs="宋体"/>
          <w:color w:val="auto"/>
          <w:highlight w:val="none"/>
          <w:lang w:val="en-US" w:eastAsia="zh-CN"/>
        </w:rPr>
        <w:t>及波峰与甲板结构间最小气隙</w:t>
      </w:r>
      <w:r>
        <w:rPr>
          <w:rFonts w:hint="eastAsia" w:ascii="宋体" w:hAnsi="宋体" w:eastAsia="宋体" w:cs="宋体"/>
          <w:color w:val="auto"/>
          <w:highlight w:val="none"/>
        </w:rPr>
        <w:t>要求。</w:t>
      </w:r>
    </w:p>
    <w:p w14:paraId="343327DC">
      <w:pPr>
        <w:pStyle w:val="259"/>
        <w:outlineLvl w:val="0"/>
        <w:rPr>
          <w:rFonts w:hint="default" w:ascii="Times New Roman" w:hAnsi="Times New Roman" w:cs="Times New Roman"/>
          <w:color w:val="auto"/>
          <w:highlight w:val="none"/>
        </w:rPr>
      </w:pPr>
      <w:bookmarkStart w:id="337" w:name="_Toc18657"/>
      <w:bookmarkStart w:id="338" w:name="_Toc8288"/>
      <w:bookmarkStart w:id="339" w:name="_Toc18057"/>
      <w:bookmarkStart w:id="340" w:name="_Toc9261"/>
      <w:bookmarkStart w:id="341" w:name="_Toc557"/>
      <w:bookmarkStart w:id="342" w:name="_Toc29889"/>
      <w:bookmarkStart w:id="343" w:name="_Toc14182"/>
      <w:bookmarkStart w:id="344" w:name="_Toc18879"/>
      <w:bookmarkStart w:id="345" w:name="_Toc32697"/>
      <w:bookmarkStart w:id="346" w:name="_Toc183727665"/>
      <w:r>
        <w:rPr>
          <w:rFonts w:hint="default" w:ascii="Times New Roman" w:hAnsi="Times New Roman" w:cs="Times New Roman"/>
          <w:color w:val="auto"/>
          <w:highlight w:val="none"/>
        </w:rPr>
        <w:t>结构</w:t>
      </w:r>
      <w:bookmarkEnd w:id="337"/>
      <w:bookmarkEnd w:id="338"/>
      <w:bookmarkEnd w:id="339"/>
      <w:bookmarkEnd w:id="340"/>
      <w:bookmarkEnd w:id="341"/>
      <w:bookmarkEnd w:id="342"/>
      <w:bookmarkEnd w:id="343"/>
      <w:bookmarkEnd w:id="344"/>
      <w:bookmarkEnd w:id="345"/>
      <w:bookmarkEnd w:id="346"/>
    </w:p>
    <w:p w14:paraId="4EA1CFF1">
      <w:pPr>
        <w:pStyle w:val="260"/>
        <w:outlineLvl w:val="1"/>
        <w:rPr>
          <w:rFonts w:hint="default" w:ascii="Times New Roman" w:hAnsi="Times New Roman" w:cs="Times New Roman"/>
          <w:color w:val="auto"/>
          <w:highlight w:val="none"/>
        </w:rPr>
      </w:pPr>
      <w:bookmarkStart w:id="347" w:name="_Toc2560"/>
      <w:bookmarkStart w:id="348" w:name="_Toc14613"/>
      <w:bookmarkStart w:id="349" w:name="_Toc27184"/>
      <w:bookmarkStart w:id="350" w:name="_Toc27670"/>
      <w:bookmarkStart w:id="351" w:name="_Toc3752"/>
      <w:bookmarkStart w:id="352" w:name="_Toc9824"/>
      <w:bookmarkStart w:id="353" w:name="_Toc29528"/>
      <w:bookmarkStart w:id="354" w:name="_Toc32071"/>
      <w:bookmarkStart w:id="355" w:name="_Toc183727666"/>
      <w:bookmarkStart w:id="356" w:name="_Toc21605"/>
      <w:r>
        <w:rPr>
          <w:rFonts w:hint="default" w:ascii="Times New Roman" w:hAnsi="Times New Roman" w:cs="Times New Roman"/>
          <w:color w:val="auto"/>
          <w:highlight w:val="none"/>
        </w:rPr>
        <w:t>船体结构</w:t>
      </w:r>
      <w:bookmarkEnd w:id="347"/>
      <w:bookmarkEnd w:id="348"/>
      <w:bookmarkEnd w:id="349"/>
      <w:bookmarkEnd w:id="350"/>
      <w:bookmarkEnd w:id="351"/>
      <w:bookmarkEnd w:id="352"/>
      <w:bookmarkEnd w:id="353"/>
      <w:bookmarkEnd w:id="354"/>
      <w:bookmarkEnd w:id="355"/>
      <w:bookmarkEnd w:id="356"/>
    </w:p>
    <w:p w14:paraId="1951B6AC">
      <w:pPr>
        <w:pStyle w:val="261"/>
        <w:spacing w:before="156" w:after="156"/>
        <w:outlineLvl w:val="2"/>
        <w:rPr>
          <w:rFonts w:hint="default" w:ascii="Times New Roman" w:hAnsi="Times New Roman" w:cs="Times New Roman"/>
          <w:color w:val="auto"/>
          <w:highlight w:val="none"/>
        </w:rPr>
      </w:pPr>
      <w:bookmarkStart w:id="357" w:name="_Toc21800"/>
      <w:bookmarkStart w:id="358" w:name="_Toc4833"/>
      <w:bookmarkStart w:id="359" w:name="_Toc20429"/>
      <w:bookmarkStart w:id="360" w:name="_Toc23798"/>
      <w:bookmarkStart w:id="361" w:name="_Toc22985"/>
      <w:bookmarkStart w:id="362" w:name="_Toc11491"/>
      <w:bookmarkStart w:id="363" w:name="_Toc25602"/>
      <w:r>
        <w:rPr>
          <w:rFonts w:hint="eastAsia" w:ascii="Times New Roman" w:cs="Times New Roman"/>
          <w:color w:val="auto"/>
          <w:highlight w:val="none"/>
          <w:lang w:val="en-US" w:eastAsia="zh-CN"/>
        </w:rPr>
        <w:t>通用</w:t>
      </w:r>
      <w:r>
        <w:rPr>
          <w:rFonts w:hint="eastAsia" w:ascii="Times New Roman" w:cs="Times New Roman"/>
          <w:color w:val="auto"/>
          <w:highlight w:val="none"/>
          <w:lang w:eastAsia="zh-CN"/>
        </w:rPr>
        <w:t>要求</w:t>
      </w:r>
      <w:bookmarkEnd w:id="357"/>
      <w:bookmarkEnd w:id="358"/>
      <w:bookmarkEnd w:id="359"/>
      <w:bookmarkEnd w:id="360"/>
      <w:bookmarkEnd w:id="361"/>
      <w:bookmarkEnd w:id="362"/>
      <w:bookmarkEnd w:id="363"/>
    </w:p>
    <w:p w14:paraId="3BC5C939">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结构设计载荷应包括结构在建造、安装和使用阶段可能遇到的所有载荷。</w:t>
      </w:r>
    </w:p>
    <w:p w14:paraId="02A9888C">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载荷组合应</w:t>
      </w:r>
      <w:r>
        <w:rPr>
          <w:rFonts w:hint="eastAsia" w:ascii="宋体" w:hAnsi="宋体" w:eastAsia="宋体" w:cs="宋体"/>
          <w:color w:val="auto"/>
          <w:highlight w:val="none"/>
          <w:lang w:val="en-US" w:eastAsia="zh-CN"/>
        </w:rPr>
        <w:t>包括</w:t>
      </w:r>
      <w:r>
        <w:rPr>
          <w:rFonts w:hint="eastAsia" w:ascii="宋体" w:hAnsi="宋体" w:eastAsia="宋体" w:cs="宋体"/>
          <w:color w:val="auto"/>
          <w:highlight w:val="none"/>
        </w:rPr>
        <w:t>可能出现的最不利载荷条件组合。</w:t>
      </w:r>
    </w:p>
    <w:p w14:paraId="2C747ECC">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环境载荷由风载荷、波浪载荷和流载荷组成。</w:t>
      </w:r>
      <w:r>
        <w:rPr>
          <w:rFonts w:hint="eastAsia" w:ascii="宋体" w:hAnsi="宋体" w:eastAsia="宋体" w:cs="宋体"/>
          <w:color w:val="auto"/>
          <w:highlight w:val="none"/>
          <w:lang w:val="en-US" w:eastAsia="zh-CN"/>
        </w:rPr>
        <w:t>结构设计时应综合</w:t>
      </w:r>
      <w:r>
        <w:rPr>
          <w:rFonts w:hint="eastAsia" w:ascii="宋体" w:hAnsi="宋体" w:eastAsia="宋体" w:cs="宋体"/>
          <w:color w:val="auto"/>
          <w:highlight w:val="none"/>
        </w:rPr>
        <w:t>地震、海床承载力、温度、冰/雪载荷的影响。</w:t>
      </w:r>
    </w:p>
    <w:p w14:paraId="5BCC9241">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结构设计</w:t>
      </w:r>
      <w:r>
        <w:rPr>
          <w:rFonts w:hint="eastAsia" w:ascii="Times New Roman" w:hAnsi="Times New Roman" w:cs="Times New Roman" w:eastAsiaTheme="minorEastAsia"/>
          <w:color w:val="auto"/>
          <w:highlight w:val="none"/>
          <w:lang w:val="en-US" w:eastAsia="zh-CN"/>
        </w:rPr>
        <w:t>载荷</w:t>
      </w:r>
      <w:r>
        <w:rPr>
          <w:rFonts w:hint="default" w:ascii="Times New Roman" w:hAnsi="Times New Roman" w:cs="Times New Roman" w:eastAsiaTheme="minorEastAsia"/>
          <w:color w:val="auto"/>
          <w:highlight w:val="none"/>
        </w:rPr>
        <w:t>除环境载荷外，还应</w:t>
      </w:r>
      <w:r>
        <w:rPr>
          <w:rFonts w:hint="eastAsia" w:ascii="Times New Roman" w:hAnsi="Times New Roman" w:cs="Times New Roman" w:eastAsiaTheme="minorEastAsia"/>
          <w:color w:val="auto"/>
          <w:highlight w:val="none"/>
          <w:lang w:val="en-US" w:eastAsia="zh-CN"/>
        </w:rPr>
        <w:t>包括</w:t>
      </w:r>
      <w:r>
        <w:rPr>
          <w:rFonts w:hint="default" w:ascii="Times New Roman" w:hAnsi="Times New Roman" w:cs="Times New Roman" w:eastAsiaTheme="minorEastAsia"/>
          <w:color w:val="auto"/>
          <w:highlight w:val="none"/>
        </w:rPr>
        <w:t>由落物冲击、船舶碰撞、火灾爆炸和进水状态等引起的事故载荷。</w:t>
      </w:r>
    </w:p>
    <w:p w14:paraId="19235A95">
      <w:pPr>
        <w:pStyle w:val="261"/>
        <w:spacing w:before="156" w:after="156"/>
        <w:outlineLvl w:val="2"/>
        <w:rPr>
          <w:rFonts w:hint="default" w:ascii="Times New Roman" w:hAnsi="Times New Roman" w:cs="Times New Roman"/>
          <w:color w:val="auto"/>
          <w:highlight w:val="none"/>
        </w:rPr>
      </w:pPr>
      <w:bookmarkStart w:id="364" w:name="_Toc13496"/>
      <w:bookmarkStart w:id="365" w:name="_Toc25571"/>
      <w:bookmarkStart w:id="366" w:name="_Toc14530"/>
      <w:bookmarkStart w:id="367" w:name="_Toc472"/>
      <w:bookmarkStart w:id="368" w:name="_Toc32054"/>
      <w:bookmarkStart w:id="369" w:name="_Toc2320"/>
      <w:bookmarkStart w:id="370" w:name="_Toc28640"/>
      <w:bookmarkStart w:id="371" w:name="_Toc5663"/>
      <w:bookmarkStart w:id="372" w:name="_Toc687"/>
      <w:bookmarkStart w:id="373" w:name="_Toc28354"/>
      <w:r>
        <w:rPr>
          <w:rFonts w:hint="default" w:ascii="Times New Roman" w:hAnsi="Times New Roman" w:cs="Times New Roman"/>
          <w:color w:val="auto"/>
          <w:highlight w:val="none"/>
        </w:rPr>
        <w:t>结构分析与设计</w:t>
      </w:r>
      <w:bookmarkEnd w:id="364"/>
      <w:bookmarkEnd w:id="365"/>
      <w:bookmarkEnd w:id="366"/>
      <w:bookmarkEnd w:id="367"/>
      <w:bookmarkEnd w:id="368"/>
      <w:bookmarkEnd w:id="369"/>
      <w:bookmarkEnd w:id="370"/>
      <w:bookmarkEnd w:id="371"/>
      <w:bookmarkEnd w:id="372"/>
      <w:bookmarkEnd w:id="373"/>
    </w:p>
    <w:p w14:paraId="38F63545">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结构分析应包括结构在施工阶段和使用阶段的所有总体和局部分析。结构分析的有限元模型应能准确地模拟实际结构和边界条件。对高应力区域和关键节点等部位应采用细网格分析。</w:t>
      </w:r>
    </w:p>
    <w:p w14:paraId="30C365F0">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结构设计应计及腐蚀对构件的影响。飞溅区构件腐蚀余量，</w:t>
      </w:r>
      <w:r>
        <w:rPr>
          <w:rFonts w:hint="eastAsia" w:ascii="宋体" w:hAnsi="宋体" w:eastAsia="宋体" w:cs="宋体"/>
          <w:color w:val="auto"/>
          <w:highlight w:val="none"/>
          <w:lang w:val="en-US" w:eastAsia="zh-CN"/>
        </w:rPr>
        <w:t>应不小于</w:t>
      </w:r>
      <w:r>
        <w:rPr>
          <w:rFonts w:hint="eastAsia" w:ascii="宋体" w:hAnsi="宋体" w:eastAsia="宋体" w:cs="宋体"/>
          <w:color w:val="auto"/>
          <w:highlight w:val="none"/>
        </w:rPr>
        <w:t>年腐蚀速率与设计年限的乘积和规定的最低腐蚀余量</w:t>
      </w:r>
      <w:r>
        <w:rPr>
          <w:rFonts w:hint="eastAsia" w:ascii="宋体" w:hAnsi="宋体" w:eastAsia="宋体" w:cs="宋体"/>
          <w:color w:val="auto"/>
          <w:highlight w:val="none"/>
          <w:lang w:val="en-US" w:eastAsia="zh-CN"/>
        </w:rPr>
        <w:t>值</w:t>
      </w:r>
      <w:r>
        <w:rPr>
          <w:rFonts w:hint="eastAsia" w:ascii="宋体" w:hAnsi="宋体" w:eastAsia="宋体" w:cs="宋体"/>
          <w:color w:val="auto"/>
          <w:highlight w:val="none"/>
        </w:rPr>
        <w:t>中的较大值。</w:t>
      </w:r>
    </w:p>
    <w:p w14:paraId="6C240CDE">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在</w:t>
      </w:r>
      <w:r>
        <w:rPr>
          <w:rFonts w:hint="eastAsia" w:ascii="宋体" w:hAnsi="宋体" w:eastAsia="宋体" w:cs="宋体"/>
          <w:color w:val="auto"/>
          <w:highlight w:val="none"/>
          <w:lang w:val="en-US" w:eastAsia="zh-CN"/>
        </w:rPr>
        <w:t>运营阶段</w:t>
      </w:r>
      <w:r>
        <w:rPr>
          <w:rFonts w:hint="eastAsia" w:ascii="宋体" w:hAnsi="宋体" w:eastAsia="宋体" w:cs="宋体"/>
          <w:color w:val="auto"/>
          <w:highlight w:val="none"/>
        </w:rPr>
        <w:t>可能遭到冰挤压或流冰冲击的</w:t>
      </w: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进行</w:t>
      </w:r>
      <w:r>
        <w:rPr>
          <w:rFonts w:hint="eastAsia" w:ascii="宋体" w:hAnsi="宋体" w:eastAsia="宋体" w:cs="宋体"/>
          <w:color w:val="auto"/>
          <w:highlight w:val="none"/>
        </w:rPr>
        <w:t>抗冰加强或设置防冰设施。</w:t>
      </w:r>
    </w:p>
    <w:p w14:paraId="6EE7BDC4">
      <w:pPr>
        <w:pStyle w:val="290"/>
        <w:keepNext w:val="0"/>
        <w:keepLines w:val="0"/>
        <w:pageBreakBefore w:val="0"/>
        <w:widowControl/>
        <w:kinsoku/>
        <w:wordWrap/>
        <w:overflowPunct/>
        <w:topLinePunct w:val="0"/>
        <w:autoSpaceDE/>
        <w:autoSpaceDN/>
        <w:bidi w:val="0"/>
        <w:adjustRightInd/>
        <w:snapToGrid/>
        <w:spacing w:beforeLines="0" w:afterLine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对FPSO特殊结构，由于使用频率较</w:t>
      </w:r>
      <w:r>
        <w:rPr>
          <w:rFonts w:hint="eastAsia" w:ascii="宋体" w:hAnsi="宋体" w:eastAsia="宋体" w:cs="宋体"/>
          <w:color w:val="auto"/>
          <w:highlight w:val="none"/>
          <w:lang w:val="en-US" w:eastAsia="zh-CN"/>
        </w:rPr>
        <w:t>高</w:t>
      </w:r>
      <w:r>
        <w:rPr>
          <w:rFonts w:hint="eastAsia" w:ascii="宋体" w:hAnsi="宋体" w:eastAsia="宋体" w:cs="宋体"/>
          <w:color w:val="auto"/>
          <w:highlight w:val="none"/>
        </w:rPr>
        <w:t>产生严重磨损的区域、高应力区域、严重腐蚀区域，应根据结构实际状态进行校核。经校核评估后无法满足总纵强度、局部强度要求的</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应对相应区域结构进行加强或替换。</w:t>
      </w:r>
    </w:p>
    <w:p w14:paraId="76255543">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不</w:t>
      </w:r>
      <w:r>
        <w:rPr>
          <w:rFonts w:hint="eastAsia" w:ascii="宋体" w:hAnsi="宋体" w:eastAsia="宋体" w:cs="宋体"/>
          <w:color w:val="auto"/>
          <w:highlight w:val="none"/>
        </w:rPr>
        <w:t>应沿板材厚度方向传递主要拉应力，以防止板材层状撕裂。如无法避免时，应采用Z向性能板材。</w:t>
      </w:r>
    </w:p>
    <w:p w14:paraId="74037722">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系泊定位设备处的结构应能承受系泊缆的破断载荷，如导缆器、绞车/锚机处的结构。</w:t>
      </w:r>
    </w:p>
    <w:p w14:paraId="1635143E">
      <w:pPr>
        <w:pStyle w:val="261"/>
        <w:spacing w:before="156" w:after="156"/>
        <w:outlineLvl w:val="2"/>
        <w:rPr>
          <w:rFonts w:hint="default" w:ascii="Times New Roman" w:hAnsi="Times New Roman" w:cs="Times New Roman"/>
          <w:color w:val="auto"/>
          <w:highlight w:val="none"/>
        </w:rPr>
      </w:pPr>
      <w:bookmarkStart w:id="374" w:name="_Toc3123"/>
      <w:bookmarkStart w:id="375" w:name="_Toc27381"/>
      <w:bookmarkStart w:id="376" w:name="_Toc3806"/>
      <w:bookmarkStart w:id="377" w:name="_Toc2293"/>
      <w:bookmarkStart w:id="378" w:name="_Toc4129"/>
      <w:bookmarkStart w:id="379" w:name="_Toc14935"/>
      <w:bookmarkStart w:id="380" w:name="_Toc4718"/>
      <w:bookmarkStart w:id="381" w:name="_Toc17930"/>
      <w:bookmarkStart w:id="382" w:name="_Toc26707"/>
      <w:bookmarkStart w:id="383" w:name="_Toc1153"/>
      <w:r>
        <w:rPr>
          <w:rFonts w:hint="default" w:ascii="Times New Roman" w:hAnsi="Times New Roman" w:cs="Times New Roman"/>
          <w:color w:val="auto"/>
          <w:highlight w:val="none"/>
        </w:rPr>
        <w:t>船型FPSO的要求</w:t>
      </w:r>
      <w:bookmarkEnd w:id="374"/>
      <w:bookmarkEnd w:id="375"/>
      <w:bookmarkEnd w:id="376"/>
      <w:bookmarkEnd w:id="377"/>
      <w:bookmarkEnd w:id="378"/>
      <w:bookmarkEnd w:id="379"/>
      <w:bookmarkEnd w:id="380"/>
      <w:bookmarkEnd w:id="381"/>
      <w:bookmarkEnd w:id="382"/>
      <w:bookmarkEnd w:id="383"/>
    </w:p>
    <w:p w14:paraId="77A3A416">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船体梁应</w:t>
      </w:r>
      <w:r>
        <w:rPr>
          <w:rFonts w:hint="eastAsia" w:ascii="宋体" w:hAnsi="宋体" w:eastAsia="宋体" w:cs="宋体"/>
          <w:color w:val="auto"/>
          <w:highlight w:val="none"/>
          <w:lang w:val="en-US" w:eastAsia="zh-CN"/>
        </w:rPr>
        <w:t>满足结构</w:t>
      </w:r>
      <w:r>
        <w:rPr>
          <w:rFonts w:hint="eastAsia" w:ascii="宋体" w:hAnsi="宋体" w:eastAsia="宋体" w:cs="宋体"/>
          <w:color w:val="auto"/>
          <w:highlight w:val="none"/>
        </w:rPr>
        <w:t>强度和刚度</w:t>
      </w:r>
      <w:r>
        <w:rPr>
          <w:rFonts w:hint="eastAsia" w:ascii="宋体" w:hAnsi="宋体" w:eastAsia="宋体" w:cs="宋体"/>
          <w:color w:val="auto"/>
          <w:highlight w:val="none"/>
          <w:lang w:val="en-US" w:eastAsia="zh-CN"/>
        </w:rPr>
        <w:t>设计要求</w:t>
      </w:r>
      <w:r>
        <w:rPr>
          <w:rFonts w:hint="eastAsia" w:ascii="宋体" w:hAnsi="宋体" w:eastAsia="宋体" w:cs="宋体"/>
          <w:color w:val="auto"/>
          <w:highlight w:val="none"/>
        </w:rPr>
        <w:t>。船体甲板结构设计中，除满足总纵强度外，还</w:t>
      </w:r>
      <w:r>
        <w:rPr>
          <w:rFonts w:hint="eastAsia" w:ascii="宋体" w:hAnsi="宋体" w:eastAsia="宋体" w:cs="宋体"/>
          <w:color w:val="auto"/>
          <w:highlight w:val="none"/>
          <w:lang w:val="en-US" w:eastAsia="zh-CN"/>
        </w:rPr>
        <w:t>应包括</w:t>
      </w:r>
      <w:r>
        <w:rPr>
          <w:rFonts w:hint="eastAsia" w:ascii="宋体" w:hAnsi="宋体" w:eastAsia="宋体" w:cs="宋体"/>
          <w:color w:val="auto"/>
          <w:highlight w:val="none"/>
        </w:rPr>
        <w:t>上部模块支撑结构产生的影响。</w:t>
      </w:r>
    </w:p>
    <w:p w14:paraId="760CBA7F">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对于船龄超过15年的油轮改为FPSO，在改造前应根据油轮的实际情况对其结构进行检验和评估。</w:t>
      </w:r>
    </w:p>
    <w:p w14:paraId="07CF00A2">
      <w:pPr>
        <w:pStyle w:val="261"/>
        <w:spacing w:before="156" w:after="156"/>
        <w:outlineLvl w:val="2"/>
        <w:rPr>
          <w:rFonts w:hint="default" w:ascii="Times New Roman" w:hAnsi="Times New Roman" w:cs="Times New Roman"/>
          <w:color w:val="auto"/>
          <w:highlight w:val="none"/>
        </w:rPr>
      </w:pPr>
      <w:bookmarkStart w:id="384" w:name="_Toc15943"/>
      <w:bookmarkStart w:id="385" w:name="_Toc21717"/>
      <w:bookmarkStart w:id="386" w:name="_Toc19240"/>
      <w:bookmarkStart w:id="387" w:name="_Toc20080"/>
      <w:bookmarkStart w:id="388" w:name="_Toc9766"/>
      <w:bookmarkStart w:id="389" w:name="_Toc29475"/>
      <w:bookmarkStart w:id="390" w:name="_Toc19116"/>
      <w:bookmarkStart w:id="391" w:name="_Toc20230"/>
      <w:bookmarkStart w:id="392" w:name="_Toc5634"/>
      <w:bookmarkStart w:id="393" w:name="_Toc4276"/>
      <w:r>
        <w:rPr>
          <w:rFonts w:hint="default" w:ascii="Times New Roman" w:hAnsi="Times New Roman" w:cs="Times New Roman"/>
          <w:color w:val="auto"/>
          <w:highlight w:val="none"/>
        </w:rPr>
        <w:t>其他型式FPSO的要求</w:t>
      </w:r>
      <w:bookmarkEnd w:id="384"/>
      <w:bookmarkEnd w:id="385"/>
      <w:bookmarkEnd w:id="386"/>
      <w:bookmarkEnd w:id="387"/>
      <w:bookmarkEnd w:id="388"/>
      <w:bookmarkEnd w:id="389"/>
      <w:bookmarkEnd w:id="390"/>
      <w:bookmarkEnd w:id="391"/>
      <w:bookmarkEnd w:id="392"/>
      <w:bookmarkEnd w:id="393"/>
    </w:p>
    <w:p w14:paraId="606014C7">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主要结构件之间的连接节点应具有足够的连接强度，以抵抗主要结构传递的</w:t>
      </w:r>
      <w:r>
        <w:rPr>
          <w:rFonts w:hint="default" w:ascii="宋体" w:hAnsi="宋体" w:eastAsia="宋体" w:cs="宋体"/>
          <w:color w:val="auto"/>
          <w:highlight w:val="none"/>
        </w:rPr>
        <w:t>载荷</w:t>
      </w:r>
      <w:r>
        <w:rPr>
          <w:rFonts w:hint="eastAsia" w:ascii="宋体" w:hAnsi="宋体" w:eastAsia="宋体" w:cs="宋体"/>
          <w:color w:val="auto"/>
          <w:highlight w:val="none"/>
        </w:rPr>
        <w:t>。半潜式FPSO的主要结构件包括立柱、浮箱、甲板和撑杆（如有）</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圆</w:t>
      </w:r>
      <w:r>
        <w:rPr>
          <w:rFonts w:hint="eastAsia" w:ascii="宋体" w:hAnsi="宋体" w:eastAsia="宋体" w:cs="宋体"/>
          <w:color w:val="auto"/>
          <w:highlight w:val="none"/>
        </w:rPr>
        <w:t>筒型FPSO的主要结构件包括筒体、阻尼板和挡浪墙。</w:t>
      </w:r>
    </w:p>
    <w:p w14:paraId="28947B2B">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在</w:t>
      </w:r>
      <w:r>
        <w:rPr>
          <w:rFonts w:hint="eastAsia" w:ascii="宋体" w:hAnsi="宋体" w:eastAsia="宋体" w:cs="宋体"/>
          <w:strike w:val="0"/>
          <w:color w:val="auto"/>
          <w:highlight w:val="none"/>
        </w:rPr>
        <w:t>导缆钳和绞车处</w:t>
      </w:r>
      <w:r>
        <w:rPr>
          <w:rFonts w:hint="eastAsia" w:ascii="宋体" w:hAnsi="宋体" w:eastAsia="宋体" w:cs="宋体"/>
          <w:strike w:val="0"/>
          <w:color w:val="auto"/>
          <w:highlight w:val="none"/>
          <w:lang w:val="en-US" w:eastAsia="zh-CN"/>
        </w:rPr>
        <w:t>等</w:t>
      </w:r>
      <w:r>
        <w:rPr>
          <w:rFonts w:hint="eastAsia" w:ascii="宋体" w:hAnsi="宋体" w:eastAsia="宋体" w:cs="宋体"/>
          <w:color w:val="auto"/>
          <w:highlight w:val="none"/>
        </w:rPr>
        <w:t>系泊定位设备处的结构，应能承受缆索</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破断载荷。</w:t>
      </w:r>
    </w:p>
    <w:p w14:paraId="7B073BA5">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应根据碰撞风险</w:t>
      </w:r>
      <w:r>
        <w:rPr>
          <w:rFonts w:hint="eastAsia" w:ascii="宋体" w:hAnsi="宋体" w:eastAsia="宋体" w:cs="宋体"/>
          <w:color w:val="auto"/>
          <w:highlight w:val="none"/>
          <w:lang w:val="en-US" w:eastAsia="zh-CN"/>
        </w:rPr>
        <w:t>校核船体结构抗碰撞能力，如不满足要求应</w:t>
      </w:r>
      <w:r>
        <w:rPr>
          <w:rFonts w:hint="eastAsia" w:ascii="宋体" w:hAnsi="宋体" w:eastAsia="宋体" w:cs="宋体"/>
          <w:color w:val="auto"/>
          <w:highlight w:val="none"/>
        </w:rPr>
        <w:t>设置防撞设施</w:t>
      </w:r>
      <w:r>
        <w:rPr>
          <w:rFonts w:hint="eastAsia" w:ascii="宋体" w:hAnsi="宋体" w:eastAsia="宋体" w:cs="宋体"/>
          <w:color w:val="auto"/>
          <w:highlight w:val="none"/>
          <w:lang w:val="en-US" w:eastAsia="zh-CN"/>
        </w:rPr>
        <w:t>。</w:t>
      </w:r>
    </w:p>
    <w:p w14:paraId="65FCA00C">
      <w:pPr>
        <w:pStyle w:val="260"/>
        <w:numPr>
          <w:ilvl w:val="1"/>
          <w:numId w:val="33"/>
        </w:numPr>
        <w:outlineLvl w:val="1"/>
        <w:rPr>
          <w:rFonts w:hint="default" w:ascii="Times New Roman" w:hAnsi="Times New Roman" w:cs="Times New Roman"/>
          <w:color w:val="auto"/>
          <w:highlight w:val="none"/>
        </w:rPr>
      </w:pPr>
      <w:bookmarkStart w:id="394" w:name="_Toc14212"/>
      <w:bookmarkStart w:id="395" w:name="_Toc20727"/>
      <w:bookmarkStart w:id="396" w:name="_Toc44"/>
      <w:bookmarkStart w:id="397" w:name="_Toc29182"/>
      <w:bookmarkStart w:id="398" w:name="_Toc1100"/>
      <w:bookmarkStart w:id="399" w:name="_Toc183727667"/>
      <w:bookmarkStart w:id="400" w:name="_Toc13026"/>
      <w:bookmarkStart w:id="401" w:name="_Toc31074"/>
      <w:bookmarkStart w:id="402" w:name="_Toc22046"/>
      <w:bookmarkStart w:id="403" w:name="_Toc2927"/>
      <w:r>
        <w:rPr>
          <w:rFonts w:hint="default" w:ascii="Times New Roman" w:hAnsi="Times New Roman" w:cs="Times New Roman"/>
          <w:color w:val="auto"/>
          <w:highlight w:val="none"/>
        </w:rPr>
        <w:t>组块结构</w:t>
      </w:r>
      <w:bookmarkEnd w:id="394"/>
      <w:bookmarkEnd w:id="395"/>
      <w:bookmarkEnd w:id="396"/>
      <w:bookmarkEnd w:id="397"/>
      <w:bookmarkEnd w:id="398"/>
      <w:bookmarkEnd w:id="399"/>
      <w:bookmarkEnd w:id="400"/>
      <w:bookmarkEnd w:id="401"/>
      <w:bookmarkEnd w:id="402"/>
      <w:bookmarkEnd w:id="403"/>
    </w:p>
    <w:p w14:paraId="54707475">
      <w:pPr>
        <w:pStyle w:val="261"/>
        <w:spacing w:before="156" w:after="156"/>
        <w:outlineLvl w:val="2"/>
        <w:rPr>
          <w:rFonts w:hint="default" w:ascii="Times New Roman" w:hAnsi="Times New Roman" w:cs="Times New Roman"/>
          <w:color w:val="auto"/>
          <w:highlight w:val="none"/>
        </w:rPr>
      </w:pPr>
      <w:bookmarkStart w:id="404" w:name="_Toc315"/>
      <w:bookmarkStart w:id="405" w:name="_Toc23375"/>
      <w:bookmarkStart w:id="406" w:name="_Toc3386"/>
      <w:bookmarkStart w:id="407" w:name="_Toc9518"/>
      <w:bookmarkStart w:id="408" w:name="_Toc929"/>
      <w:bookmarkStart w:id="409" w:name="_Toc10030"/>
      <w:bookmarkStart w:id="410" w:name="_Toc26530"/>
      <w:bookmarkStart w:id="411" w:name="_Toc22391"/>
      <w:bookmarkStart w:id="412" w:name="_Toc24378"/>
      <w:bookmarkStart w:id="413" w:name="_Toc3641"/>
      <w:r>
        <w:rPr>
          <w:rFonts w:hint="default" w:ascii="Times New Roman" w:hAnsi="Times New Roman" w:cs="Times New Roman"/>
          <w:color w:val="auto"/>
          <w:highlight w:val="none"/>
        </w:rPr>
        <w:t>结构设计</w:t>
      </w:r>
      <w:bookmarkEnd w:id="404"/>
      <w:bookmarkEnd w:id="405"/>
      <w:bookmarkEnd w:id="406"/>
      <w:bookmarkEnd w:id="407"/>
      <w:bookmarkEnd w:id="408"/>
      <w:bookmarkEnd w:id="409"/>
      <w:bookmarkEnd w:id="410"/>
      <w:bookmarkEnd w:id="411"/>
      <w:bookmarkEnd w:id="412"/>
      <w:bookmarkEnd w:id="413"/>
    </w:p>
    <w:p w14:paraId="6606B473">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结构设计应包括构件（含过渡锥体）、管节点和其他连接的设计。</w:t>
      </w:r>
    </w:p>
    <w:p w14:paraId="6834D238">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default" w:ascii="宋体" w:hAnsi="宋体" w:eastAsia="宋体" w:cs="宋体"/>
          <w:color w:val="auto"/>
          <w:highlight w:val="none"/>
        </w:rPr>
        <w:t>结构设计应满足构件的强度、稳定性和疲劳的要求</w:t>
      </w:r>
      <w:r>
        <w:rPr>
          <w:rFonts w:hint="default" w:ascii="宋体" w:hAnsi="宋体" w:eastAsia="宋体" w:cs="宋体"/>
          <w:color w:val="auto"/>
          <w:highlight w:val="none"/>
          <w:lang w:val="en-US" w:eastAsia="zh-CN"/>
        </w:rPr>
        <w:t>，</w:t>
      </w:r>
      <w:r>
        <w:rPr>
          <w:rFonts w:hint="default" w:ascii="宋体" w:hAnsi="宋体" w:eastAsia="宋体" w:cs="宋体"/>
          <w:color w:val="auto"/>
          <w:highlight w:val="none"/>
        </w:rPr>
        <w:t>结构构件在</w:t>
      </w:r>
      <w:r>
        <w:rPr>
          <w:rFonts w:hint="eastAsia" w:ascii="宋体" w:hAnsi="宋体" w:eastAsia="宋体" w:cs="宋体"/>
          <w:color w:val="auto"/>
          <w:highlight w:val="none"/>
          <w:lang w:val="en-US" w:eastAsia="zh-CN"/>
        </w:rPr>
        <w:t>载荷</w:t>
      </w:r>
      <w:r>
        <w:rPr>
          <w:rFonts w:hint="default" w:ascii="宋体" w:hAnsi="宋体" w:eastAsia="宋体" w:cs="宋体"/>
          <w:color w:val="auto"/>
          <w:highlight w:val="none"/>
        </w:rPr>
        <w:t>组合作用下的应力应小于构件的基本容许应力。</w:t>
      </w:r>
    </w:p>
    <w:p w14:paraId="3301479B">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管型</w:t>
      </w:r>
      <w:r>
        <w:rPr>
          <w:rFonts w:hint="eastAsia" w:ascii="宋体" w:hAnsi="宋体" w:eastAsia="宋体" w:cs="宋体"/>
          <w:color w:val="auto"/>
          <w:highlight w:val="none"/>
          <w:lang w:val="en-US" w:eastAsia="zh-CN"/>
        </w:rPr>
        <w:t>结构</w:t>
      </w:r>
      <w:r>
        <w:rPr>
          <w:rFonts w:hint="eastAsia" w:ascii="宋体" w:hAnsi="宋体" w:eastAsia="宋体" w:cs="宋体"/>
          <w:color w:val="auto"/>
          <w:highlight w:val="none"/>
        </w:rPr>
        <w:t>构件的径厚比（D/t）应符合</w:t>
      </w:r>
      <w:r>
        <w:rPr>
          <w:rFonts w:hint="eastAsia" w:ascii="宋体" w:hAnsi="宋体" w:eastAsia="宋体" w:cs="宋体"/>
          <w:color w:val="auto"/>
          <w:highlight w:val="none"/>
          <w:lang w:val="en-US" w:eastAsia="zh-CN"/>
        </w:rPr>
        <w:t>下列要求</w:t>
      </w:r>
      <w:r>
        <w:rPr>
          <w:rFonts w:hint="eastAsia" w:ascii="宋体" w:hAnsi="宋体" w:eastAsia="宋体" w:cs="宋体"/>
          <w:color w:val="auto"/>
          <w:highlight w:val="none"/>
        </w:rPr>
        <w:t>：</w:t>
      </w:r>
    </w:p>
    <w:p w14:paraId="76E1819B">
      <w:pPr>
        <w:pStyle w:val="305"/>
        <w:numPr>
          <w:ilvl w:val="0"/>
          <w:numId w:val="34"/>
        </w:numPr>
        <w:ind w:left="839" w:leftChars="0" w:hanging="419" w:firstLineChars="0"/>
        <w:rPr>
          <w:rFonts w:hint="eastAsia" w:ascii="宋体" w:hAnsi="宋体" w:cs="宋体"/>
          <w:color w:val="auto"/>
          <w:highlight w:val="none"/>
        </w:rPr>
      </w:pPr>
      <w:r>
        <w:rPr>
          <w:rFonts w:hint="eastAsia" w:ascii="宋体" w:hAnsi="宋体" w:cs="宋体"/>
          <w:color w:val="auto"/>
          <w:highlight w:val="none"/>
        </w:rPr>
        <w:t>一般要求：D/t 小于80</w:t>
      </w:r>
      <w:r>
        <w:rPr>
          <w:rFonts w:hint="eastAsia" w:ascii="宋体" w:hAnsi="宋体" w:cs="宋体"/>
          <w:color w:val="auto"/>
          <w:highlight w:val="none"/>
          <w:lang w:eastAsia="zh-CN"/>
        </w:rPr>
        <w:t>；</w:t>
      </w:r>
    </w:p>
    <w:p w14:paraId="097D2F2D">
      <w:pPr>
        <w:pStyle w:val="305"/>
        <w:numPr>
          <w:ilvl w:val="0"/>
          <w:numId w:val="34"/>
        </w:numPr>
        <w:ind w:left="839" w:leftChars="0" w:hanging="419" w:firstLineChars="0"/>
        <w:rPr>
          <w:rFonts w:hint="eastAsia" w:ascii="宋体" w:hAnsi="宋体" w:cs="宋体"/>
          <w:color w:val="auto"/>
          <w:highlight w:val="none"/>
        </w:rPr>
      </w:pPr>
      <w:r>
        <w:rPr>
          <w:rFonts w:hint="eastAsia" w:ascii="宋体" w:hAnsi="宋体" w:cs="宋体"/>
          <w:color w:val="auto"/>
          <w:highlight w:val="none"/>
        </w:rPr>
        <w:t>卷制焊接钢管：D/t 不小于20。</w:t>
      </w:r>
    </w:p>
    <w:p w14:paraId="36232953">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杆件的长细比（kl/r）应符合：</w:t>
      </w:r>
    </w:p>
    <w:p w14:paraId="5FE36C96">
      <w:pPr>
        <w:pStyle w:val="305"/>
        <w:numPr>
          <w:ilvl w:val="0"/>
          <w:numId w:val="35"/>
        </w:numPr>
        <w:ind w:left="839" w:leftChars="0" w:hanging="419" w:firstLineChars="0"/>
        <w:rPr>
          <w:rFonts w:hint="eastAsia" w:ascii="宋体" w:hAnsi="宋体" w:cs="宋体"/>
          <w:color w:val="auto"/>
          <w:highlight w:val="none"/>
        </w:rPr>
      </w:pPr>
      <w:r>
        <w:rPr>
          <w:rFonts w:hint="eastAsia" w:ascii="宋体" w:hAnsi="宋体" w:cs="宋体"/>
          <w:color w:val="auto"/>
          <w:highlight w:val="none"/>
        </w:rPr>
        <w:t>主要杆件：受压杆件</w:t>
      </w:r>
      <w:r>
        <w:rPr>
          <w:rFonts w:hint="eastAsia" w:ascii="宋体" w:hAnsi="宋体" w:cs="宋体"/>
          <w:color w:val="auto"/>
          <w:highlight w:val="none"/>
          <w:lang w:val="en-US" w:eastAsia="zh-CN"/>
        </w:rPr>
        <w:t>小</w:t>
      </w:r>
      <w:r>
        <w:rPr>
          <w:rFonts w:hint="eastAsia" w:ascii="宋体" w:hAnsi="宋体" w:cs="宋体"/>
          <w:color w:val="auto"/>
          <w:highlight w:val="none"/>
        </w:rPr>
        <w:t>于120；受拉杆件</w:t>
      </w:r>
      <w:r>
        <w:rPr>
          <w:rFonts w:hint="eastAsia" w:ascii="宋体" w:hAnsi="宋体" w:cs="宋体"/>
          <w:color w:val="auto"/>
          <w:highlight w:val="none"/>
          <w:lang w:val="en-US" w:eastAsia="zh-CN"/>
        </w:rPr>
        <w:t>小</w:t>
      </w:r>
      <w:r>
        <w:rPr>
          <w:rFonts w:hint="eastAsia" w:ascii="宋体" w:hAnsi="宋体" w:cs="宋体"/>
          <w:color w:val="auto"/>
          <w:highlight w:val="none"/>
        </w:rPr>
        <w:t>于200</w:t>
      </w:r>
      <w:r>
        <w:rPr>
          <w:rFonts w:hint="eastAsia" w:ascii="宋体" w:hAnsi="宋体" w:cs="宋体"/>
          <w:color w:val="auto"/>
          <w:highlight w:val="none"/>
          <w:lang w:eastAsia="zh-CN"/>
        </w:rPr>
        <w:t>；</w:t>
      </w:r>
    </w:p>
    <w:p w14:paraId="7BA63DDA">
      <w:pPr>
        <w:pStyle w:val="305"/>
        <w:numPr>
          <w:ilvl w:val="0"/>
          <w:numId w:val="35"/>
        </w:numPr>
        <w:ind w:left="839" w:leftChars="0" w:hanging="419" w:firstLineChars="0"/>
        <w:rPr>
          <w:rFonts w:hint="eastAsia" w:ascii="宋体" w:hAnsi="宋体" w:cs="宋体"/>
          <w:color w:val="auto"/>
          <w:highlight w:val="none"/>
        </w:rPr>
      </w:pPr>
      <w:r>
        <w:rPr>
          <w:rFonts w:hint="eastAsia" w:ascii="宋体" w:hAnsi="宋体" w:cs="宋体"/>
          <w:color w:val="auto"/>
          <w:highlight w:val="none"/>
        </w:rPr>
        <w:t>次要杆件：受压杆件</w:t>
      </w:r>
      <w:r>
        <w:rPr>
          <w:rFonts w:hint="eastAsia" w:ascii="宋体" w:hAnsi="宋体" w:cs="宋体"/>
          <w:color w:val="auto"/>
          <w:highlight w:val="none"/>
          <w:lang w:val="en-US" w:eastAsia="zh-CN"/>
        </w:rPr>
        <w:t>小</w:t>
      </w:r>
      <w:r>
        <w:rPr>
          <w:rFonts w:hint="eastAsia" w:ascii="宋体" w:hAnsi="宋体" w:cs="宋体"/>
          <w:color w:val="auto"/>
          <w:highlight w:val="none"/>
        </w:rPr>
        <w:t>于120；受拉杆件</w:t>
      </w:r>
      <w:r>
        <w:rPr>
          <w:rFonts w:hint="eastAsia" w:ascii="宋体" w:hAnsi="宋体" w:cs="宋体"/>
          <w:color w:val="auto"/>
          <w:highlight w:val="none"/>
          <w:lang w:val="en-US" w:eastAsia="zh-CN"/>
        </w:rPr>
        <w:t>小</w:t>
      </w:r>
      <w:r>
        <w:rPr>
          <w:rFonts w:hint="eastAsia" w:ascii="宋体" w:hAnsi="宋体" w:cs="宋体"/>
          <w:color w:val="auto"/>
          <w:highlight w:val="none"/>
        </w:rPr>
        <w:t>于240。</w:t>
      </w:r>
    </w:p>
    <w:p w14:paraId="373D74D0">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default" w:ascii="宋体" w:hAnsi="宋体" w:eastAsia="宋体" w:cs="宋体"/>
          <w:color w:val="auto"/>
          <w:highlight w:val="none"/>
        </w:rPr>
        <w:t>在由船体运动及变形导致的循环</w:t>
      </w:r>
      <w:r>
        <w:rPr>
          <w:rFonts w:hint="eastAsia" w:ascii="宋体" w:hAnsi="宋体" w:eastAsia="宋体" w:cs="宋体"/>
          <w:color w:val="auto"/>
          <w:highlight w:val="none"/>
          <w:lang w:eastAsia="zh-CN"/>
        </w:rPr>
        <w:t>载荷</w:t>
      </w:r>
      <w:r>
        <w:rPr>
          <w:rFonts w:hint="default" w:ascii="宋体" w:hAnsi="宋体" w:eastAsia="宋体" w:cs="宋体"/>
          <w:color w:val="auto"/>
          <w:highlight w:val="none"/>
        </w:rPr>
        <w:t>作用下，</w:t>
      </w:r>
      <w:r>
        <w:rPr>
          <w:rFonts w:hint="eastAsia" w:ascii="宋体" w:hAnsi="宋体" w:eastAsia="宋体" w:cs="宋体"/>
          <w:color w:val="auto"/>
          <w:highlight w:val="none"/>
          <w:lang w:val="en-US" w:eastAsia="zh-CN"/>
        </w:rPr>
        <w:t>采取</w:t>
      </w:r>
      <w:r>
        <w:rPr>
          <w:rFonts w:hint="default" w:ascii="宋体" w:hAnsi="宋体" w:eastAsia="宋体" w:cs="宋体"/>
          <w:color w:val="auto"/>
          <w:highlight w:val="none"/>
        </w:rPr>
        <w:t>安全系数后节点或其他连接形式的</w:t>
      </w:r>
      <w:r>
        <w:rPr>
          <w:rFonts w:hint="eastAsia" w:ascii="宋体" w:hAnsi="宋体" w:eastAsia="宋体" w:cs="宋体"/>
          <w:color w:val="auto"/>
          <w:highlight w:val="none"/>
          <w:lang w:val="en-US" w:eastAsia="zh-CN"/>
        </w:rPr>
        <w:t>杆件</w:t>
      </w:r>
      <w:r>
        <w:rPr>
          <w:rFonts w:hint="default" w:ascii="宋体" w:hAnsi="宋体" w:eastAsia="宋体" w:cs="宋体"/>
          <w:color w:val="auto"/>
          <w:highlight w:val="none"/>
        </w:rPr>
        <w:t>疲劳寿命应不小于设计寿命。对于两端有支撑的杆件，杆件中间位置的位移不应大于L/240，对于悬臂梁，不应大于L/120，其中L为构件长度</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单位为米</w:t>
      </w:r>
      <w:r>
        <w:rPr>
          <w:rFonts w:hint="default" w:ascii="宋体" w:hAnsi="宋体" w:eastAsia="宋体" w:cs="宋体"/>
          <w:color w:val="auto"/>
          <w:highlight w:val="none"/>
        </w:rPr>
        <w:t>(</w:t>
      </w:r>
      <w:r>
        <w:rPr>
          <w:rFonts w:hint="eastAsia" w:ascii="宋体" w:hAnsi="宋体" w:eastAsia="宋体" w:cs="宋体"/>
          <w:color w:val="auto"/>
          <w:highlight w:val="none"/>
          <w:lang w:val="en-US" w:eastAsia="zh-CN"/>
        </w:rPr>
        <w:t>m</w:t>
      </w:r>
      <w:r>
        <w:rPr>
          <w:rFonts w:hint="default" w:ascii="宋体" w:hAnsi="宋体" w:eastAsia="宋体" w:cs="宋体"/>
          <w:color w:val="auto"/>
          <w:highlight w:val="none"/>
        </w:rPr>
        <w:t>)</w:t>
      </w:r>
      <w:r>
        <w:rPr>
          <w:rFonts w:hint="eastAsia" w:ascii="宋体" w:hAnsi="宋体" w:eastAsia="宋体" w:cs="宋体"/>
          <w:color w:val="auto"/>
          <w:highlight w:val="none"/>
          <w:lang w:eastAsia="zh-CN"/>
        </w:rPr>
        <w:t>。</w:t>
      </w:r>
    </w:p>
    <w:p w14:paraId="52A245C7">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上部模块支撑结构</w:t>
      </w:r>
      <w:r>
        <w:rPr>
          <w:rFonts w:hint="eastAsia" w:ascii="宋体" w:hAnsi="宋体" w:eastAsia="宋体" w:cs="宋体"/>
          <w:color w:val="auto"/>
          <w:highlight w:val="none"/>
          <w:lang w:val="en-US" w:eastAsia="zh-CN"/>
        </w:rPr>
        <w:t>设计</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对于船型FPSO</w:t>
      </w:r>
      <w:r>
        <w:rPr>
          <w:rFonts w:hint="eastAsia" w:ascii="宋体" w:hAnsi="宋体" w:eastAsia="宋体" w:cs="宋体"/>
          <w:color w:val="auto"/>
          <w:highlight w:val="none"/>
        </w:rPr>
        <w:t>应采用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固定+滑动支点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结构形式，以减少船体梁总纵弯曲的影响</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对于其他船体变形较小类型的FPSO</w:t>
      </w:r>
      <w:r>
        <w:rPr>
          <w:rFonts w:hint="eastAsia" w:ascii="宋体" w:hAnsi="宋体" w:eastAsia="宋体" w:cs="宋体"/>
          <w:color w:val="auto"/>
          <w:highlight w:val="none"/>
        </w:rPr>
        <w:t>应采用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固定支点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结构形式。</w:t>
      </w:r>
    </w:p>
    <w:p w14:paraId="24A1AF07">
      <w:pPr>
        <w:pStyle w:val="261"/>
        <w:spacing w:before="156" w:after="156"/>
        <w:outlineLvl w:val="2"/>
        <w:rPr>
          <w:rFonts w:hint="default" w:ascii="Times New Roman" w:hAnsi="Times New Roman" w:cs="Times New Roman"/>
          <w:color w:val="auto"/>
          <w:highlight w:val="none"/>
          <w:lang w:val="en-US" w:eastAsia="zh-CN"/>
        </w:rPr>
      </w:pPr>
      <w:bookmarkStart w:id="414" w:name="_Toc18532"/>
      <w:bookmarkStart w:id="415" w:name="_Toc2139"/>
      <w:r>
        <w:rPr>
          <w:rFonts w:hint="eastAsia" w:ascii="Times New Roman" w:hAnsi="Times New Roman" w:cs="Times New Roman"/>
          <w:color w:val="auto"/>
          <w:highlight w:val="none"/>
          <w:lang w:val="en-US" w:eastAsia="zh-CN"/>
        </w:rPr>
        <w:t>结构分析</w:t>
      </w:r>
      <w:bookmarkEnd w:id="414"/>
      <w:bookmarkEnd w:id="415"/>
    </w:p>
    <w:p w14:paraId="2ADCED0B">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结构分析应包括结构在使用阶段和施工阶段所需要的整体、局部和附属构件分析。对于管节点和其他连接，应进行疲劳分析。疲劳设计寿命应满足</w:t>
      </w:r>
      <w:r>
        <w:rPr>
          <w:rFonts w:hint="eastAsia" w:ascii="宋体" w:hAnsi="宋体" w:eastAsia="宋体" w:cs="宋体"/>
          <w:color w:val="auto"/>
          <w:highlight w:val="none"/>
          <w:lang w:val="en-US" w:eastAsia="zh-CN"/>
        </w:rPr>
        <w:t>设计的</w:t>
      </w:r>
      <w:r>
        <w:rPr>
          <w:rFonts w:hint="eastAsia" w:ascii="宋体" w:hAnsi="宋体" w:eastAsia="宋体" w:cs="宋体"/>
          <w:color w:val="auto"/>
          <w:highlight w:val="none"/>
        </w:rPr>
        <w:t>要求。</w:t>
      </w:r>
    </w:p>
    <w:p w14:paraId="637309DD">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default" w:ascii="宋体" w:hAnsi="宋体" w:eastAsia="宋体" w:cs="宋体"/>
          <w:color w:val="auto"/>
          <w:highlight w:val="none"/>
        </w:rPr>
        <w:t>疲劳分析应针对不同连接形式，计算其在设计年限内的累积疲劳损伤，</w:t>
      </w:r>
      <w:r>
        <w:rPr>
          <w:rFonts w:hint="eastAsia" w:ascii="宋体" w:hAnsi="宋体" w:eastAsia="宋体" w:cs="宋体"/>
          <w:color w:val="auto"/>
          <w:highlight w:val="none"/>
          <w:lang w:val="en-US" w:eastAsia="zh-CN"/>
        </w:rPr>
        <w:t>并</w:t>
      </w:r>
      <w:r>
        <w:rPr>
          <w:rFonts w:hint="default" w:ascii="宋体" w:hAnsi="宋体" w:eastAsia="宋体" w:cs="宋体"/>
          <w:color w:val="auto"/>
          <w:highlight w:val="none"/>
        </w:rPr>
        <w:t>根据节点或连接所处的位置、关键程度</w:t>
      </w:r>
      <w:r>
        <w:rPr>
          <w:rFonts w:hint="eastAsia" w:ascii="宋体" w:hAnsi="宋体" w:eastAsia="宋体" w:cs="宋体"/>
          <w:color w:val="auto"/>
          <w:highlight w:val="none"/>
          <w:lang w:val="en-US" w:eastAsia="zh-CN"/>
        </w:rPr>
        <w:t>等</w:t>
      </w:r>
      <w:r>
        <w:rPr>
          <w:rFonts w:hint="default" w:ascii="宋体" w:hAnsi="宋体" w:eastAsia="宋体" w:cs="宋体"/>
          <w:color w:val="auto"/>
          <w:highlight w:val="none"/>
        </w:rPr>
        <w:t>确定节点疲劳安全系数</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采用</w:t>
      </w:r>
      <w:r>
        <w:rPr>
          <w:rFonts w:hint="default" w:ascii="宋体" w:hAnsi="宋体" w:eastAsia="宋体" w:cs="宋体"/>
          <w:color w:val="auto"/>
          <w:highlight w:val="none"/>
        </w:rPr>
        <w:t>疲劳安全系数后连接位置的累积疲劳损伤应小于1.0。</w:t>
      </w:r>
    </w:p>
    <w:p w14:paraId="73964EC4">
      <w:pPr>
        <w:pStyle w:val="290"/>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结构分析的模型应能准确地模拟实际结构。</w:t>
      </w:r>
    </w:p>
    <w:p w14:paraId="04BF4880">
      <w:pPr>
        <w:pStyle w:val="260"/>
        <w:numPr>
          <w:ilvl w:val="1"/>
          <w:numId w:val="33"/>
        </w:numPr>
        <w:outlineLvl w:val="1"/>
        <w:rPr>
          <w:rFonts w:hint="default" w:ascii="Times New Roman" w:hAnsi="Times New Roman" w:cs="Times New Roman"/>
          <w:color w:val="auto"/>
          <w:highlight w:val="none"/>
        </w:rPr>
      </w:pPr>
      <w:bookmarkStart w:id="416" w:name="_Toc25836"/>
      <w:bookmarkStart w:id="417" w:name="_Toc16598"/>
      <w:bookmarkStart w:id="418" w:name="_Toc16534"/>
      <w:bookmarkStart w:id="419" w:name="_Toc11412"/>
      <w:bookmarkStart w:id="420" w:name="_Toc31358"/>
      <w:bookmarkStart w:id="421" w:name="_Toc8242"/>
      <w:bookmarkStart w:id="422" w:name="_Toc14626"/>
      <w:r>
        <w:rPr>
          <w:rFonts w:hint="default" w:ascii="Times New Roman" w:hAnsi="Times New Roman" w:cs="Times New Roman"/>
          <w:color w:val="auto"/>
          <w:highlight w:val="none"/>
        </w:rPr>
        <w:t>材料</w:t>
      </w:r>
      <w:bookmarkEnd w:id="416"/>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建造和连接</w:t>
      </w:r>
      <w:bookmarkEnd w:id="417"/>
      <w:bookmarkEnd w:id="418"/>
      <w:bookmarkEnd w:id="419"/>
      <w:bookmarkEnd w:id="420"/>
      <w:bookmarkEnd w:id="421"/>
      <w:bookmarkEnd w:id="422"/>
    </w:p>
    <w:p w14:paraId="7835F05B">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材料的选择除应满足强度要求外，还应满足结构工作场所的环境条件、处于结构中的部位和可能使用的加工方法等要求。</w:t>
      </w:r>
    </w:p>
    <w:p w14:paraId="75F1B9AB">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FPSO结构所用的各种结构钢材交货状态应满足设计技术要求。</w:t>
      </w:r>
    </w:p>
    <w:p w14:paraId="6B94F8B5">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结构钢材应具有制造厂家出具的包括钢材的炉号、批号、化学成分、机械性能等符合要求的质量证明书。</w:t>
      </w:r>
    </w:p>
    <w:p w14:paraId="6CE923FC">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结构钢材到达建造施工现场后，建造施工现场应按事先编制的结构钢材检验程序进行尺寸、外观、标记等检验。</w:t>
      </w:r>
    </w:p>
    <w:p w14:paraId="0AD471B8">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材料应有持久的、明显的标记。若钢板上的原始标记在建造过程中被切割掉，应对该钢板进行化学成分分析和</w:t>
      </w:r>
      <w:r>
        <w:rPr>
          <w:rFonts w:hint="eastAsia" w:ascii="宋体" w:hAnsi="宋体" w:eastAsia="宋体" w:cs="宋体"/>
          <w:color w:val="auto"/>
          <w:highlight w:val="none"/>
          <w:lang w:val="en-US" w:eastAsia="zh-CN"/>
        </w:rPr>
        <w:t>机械</w:t>
      </w:r>
      <w:r>
        <w:rPr>
          <w:rFonts w:hint="eastAsia" w:ascii="宋体" w:hAnsi="宋体" w:eastAsia="宋体" w:cs="宋体"/>
          <w:color w:val="auto"/>
          <w:highlight w:val="none"/>
        </w:rPr>
        <w:t>性能试验，符合要求后经作业者批准，打上标记，方可使用。</w:t>
      </w:r>
    </w:p>
    <w:p w14:paraId="70DD2BA8">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结构总装前，应对构件片（组）进行检查。总装场地应具有足够的承载能力，其变形不应影响结构强度和建造精度。</w:t>
      </w:r>
    </w:p>
    <w:p w14:paraId="1D275D22">
      <w:pPr>
        <w:pStyle w:val="259"/>
        <w:outlineLvl w:val="0"/>
        <w:rPr>
          <w:rFonts w:hint="default" w:ascii="Times New Roman" w:hAnsi="Times New Roman" w:cs="Times New Roman"/>
          <w:color w:val="auto"/>
          <w:highlight w:val="none"/>
        </w:rPr>
      </w:pPr>
      <w:bookmarkStart w:id="423" w:name="_Toc23951"/>
      <w:bookmarkStart w:id="424" w:name="_Toc28394"/>
      <w:bookmarkStart w:id="425" w:name="_Toc23565"/>
      <w:bookmarkStart w:id="426" w:name="_Toc26652"/>
      <w:bookmarkStart w:id="427" w:name="_Toc26455"/>
      <w:bookmarkStart w:id="428" w:name="_Toc18536"/>
      <w:bookmarkStart w:id="429" w:name="_Toc12351"/>
      <w:r>
        <w:rPr>
          <w:rFonts w:hint="default" w:ascii="Times New Roman" w:hAnsi="Times New Roman" w:cs="Times New Roman"/>
          <w:color w:val="auto"/>
          <w:highlight w:val="none"/>
        </w:rPr>
        <w:t>防腐</w:t>
      </w:r>
      <w:bookmarkEnd w:id="423"/>
      <w:bookmarkEnd w:id="424"/>
      <w:bookmarkEnd w:id="425"/>
      <w:bookmarkEnd w:id="426"/>
      <w:bookmarkEnd w:id="427"/>
      <w:bookmarkEnd w:id="428"/>
      <w:bookmarkEnd w:id="429"/>
    </w:p>
    <w:p w14:paraId="669BBC0E">
      <w:pPr>
        <w:pStyle w:val="260"/>
        <w:outlineLvl w:val="1"/>
        <w:rPr>
          <w:rFonts w:hint="default" w:ascii="Times New Roman" w:hAnsi="Times New Roman" w:cs="Times New Roman"/>
          <w:color w:val="auto"/>
          <w:highlight w:val="none"/>
        </w:rPr>
      </w:pPr>
      <w:bookmarkStart w:id="430" w:name="_Toc16649"/>
      <w:bookmarkStart w:id="431" w:name="_Toc13654"/>
      <w:bookmarkStart w:id="432" w:name="_Toc14792"/>
      <w:bookmarkStart w:id="433" w:name="_Toc8897"/>
      <w:bookmarkStart w:id="434" w:name="_Toc28330"/>
      <w:bookmarkStart w:id="435" w:name="_Toc10054"/>
      <w:bookmarkStart w:id="436" w:name="_Toc23861"/>
      <w:bookmarkStart w:id="437" w:name="_Toc15096"/>
      <w:bookmarkStart w:id="438" w:name="_Toc27346"/>
      <w:r>
        <w:rPr>
          <w:rFonts w:hint="eastAsia" w:ascii="Times New Roman" w:cs="Times New Roman"/>
          <w:color w:val="auto"/>
          <w:highlight w:val="none"/>
          <w:lang w:val="en-US" w:eastAsia="zh-CN"/>
        </w:rPr>
        <w:t>通</w:t>
      </w:r>
      <w:bookmarkEnd w:id="430"/>
      <w:bookmarkEnd w:id="431"/>
      <w:bookmarkEnd w:id="432"/>
      <w:bookmarkEnd w:id="433"/>
      <w:bookmarkEnd w:id="434"/>
      <w:bookmarkEnd w:id="435"/>
      <w:bookmarkEnd w:id="436"/>
      <w:r>
        <w:rPr>
          <w:rFonts w:hint="eastAsia" w:ascii="Times New Roman" w:cs="Times New Roman"/>
          <w:color w:val="auto"/>
          <w:highlight w:val="none"/>
          <w:lang w:val="en-US" w:eastAsia="zh-CN"/>
        </w:rPr>
        <w:t>则</w:t>
      </w:r>
      <w:bookmarkEnd w:id="437"/>
      <w:bookmarkEnd w:id="438"/>
    </w:p>
    <w:p w14:paraId="79C7DC94">
      <w:pPr>
        <w:pStyle w:val="326"/>
        <w:jc w:val="both"/>
        <w:rPr>
          <w:rFonts w:hint="default" w:ascii="Times New Roman" w:hAnsi="Times New Roman" w:cs="Times New Roman" w:eastAsiaTheme="minorEastAsia"/>
          <w:color w:val="auto"/>
          <w:highlight w:val="none"/>
        </w:rPr>
      </w:pPr>
      <w:bookmarkStart w:id="439" w:name="_Toc183727766"/>
      <w:r>
        <w:rPr>
          <w:rFonts w:hint="default" w:ascii="Times New Roman" w:hAnsi="Times New Roman" w:cs="Times New Roman" w:eastAsiaTheme="minorEastAsia"/>
          <w:color w:val="auto"/>
          <w:highlight w:val="none"/>
        </w:rPr>
        <w:t>根据不同海洋环境区域的特性、设计使用年限、工程条件（含施工与维护）和更新的可能性和坞修周期以及技术经济效果等要素，综合确定防腐蚀措施。</w:t>
      </w:r>
    </w:p>
    <w:p w14:paraId="7512B096">
      <w:pPr>
        <w:pStyle w:val="326"/>
        <w:jc w:val="left"/>
        <w:rPr>
          <w:rFonts w:hint="default" w:ascii="Times New Roman" w:hAnsi="Times New Roman" w:cs="Times New Roman" w:eastAsiaTheme="minorEastAsia"/>
          <w:color w:val="auto"/>
          <w:highlight w:val="none"/>
        </w:rPr>
      </w:pPr>
      <w:r>
        <w:rPr>
          <w:rFonts w:hint="eastAsia" w:ascii="Times New Roman" w:cs="Times New Roman" w:eastAsiaTheme="minorEastAsia"/>
          <w:color w:val="auto"/>
          <w:highlight w:val="none"/>
          <w:lang w:val="en-US" w:eastAsia="zh-CN"/>
        </w:rPr>
        <w:t>腐蚀保护系统包括涂层、金属镀层、阴极保护、腐蚀裕量中的一种或多种。</w:t>
      </w:r>
    </w:p>
    <w:p w14:paraId="7BA14B28">
      <w:pPr>
        <w:pStyle w:val="326"/>
        <w:jc w:val="left"/>
        <w:rPr>
          <w:rFonts w:hint="eastAsia" w:ascii="宋体" w:hAnsi="宋体" w:eastAsia="宋体" w:cs="宋体"/>
          <w:color w:val="auto"/>
          <w:highlight w:val="none"/>
        </w:rPr>
      </w:pPr>
      <w:r>
        <w:rPr>
          <w:rFonts w:hint="eastAsia" w:ascii="宋体" w:hAnsi="宋体" w:eastAsia="宋体" w:cs="宋体"/>
          <w:color w:val="auto"/>
          <w:highlight w:val="none"/>
        </w:rPr>
        <w:t>FPSO外部区域钢结构</w:t>
      </w:r>
      <w:r>
        <w:rPr>
          <w:rFonts w:hint="eastAsia" w:ascii="宋体" w:hAnsi="宋体" w:eastAsia="宋体" w:cs="宋体"/>
          <w:color w:val="auto"/>
          <w:highlight w:val="none"/>
          <w:lang w:val="en-US" w:eastAsia="zh-CN"/>
        </w:rPr>
        <w:t>防腐</w:t>
      </w:r>
      <w:r>
        <w:rPr>
          <w:rFonts w:hint="eastAsia" w:ascii="宋体" w:hAnsi="宋体" w:eastAsia="宋体" w:cs="宋体"/>
          <w:color w:val="auto"/>
          <w:highlight w:val="none"/>
        </w:rPr>
        <w:t>保护</w:t>
      </w:r>
      <w:r>
        <w:rPr>
          <w:rFonts w:hint="eastAsia" w:ascii="宋体" w:hAnsi="宋体" w:eastAsia="宋体" w:cs="宋体"/>
          <w:color w:val="auto"/>
          <w:highlight w:val="none"/>
          <w:lang w:val="en-US" w:eastAsia="zh-CN"/>
        </w:rPr>
        <w:t>满足以下要求</w:t>
      </w:r>
      <w:r>
        <w:rPr>
          <w:rFonts w:hint="eastAsia" w:ascii="宋体" w:hAnsi="宋体" w:eastAsia="宋体" w:cs="宋体"/>
          <w:color w:val="auto"/>
          <w:highlight w:val="none"/>
        </w:rPr>
        <w:t>：</w:t>
      </w:r>
    </w:p>
    <w:p w14:paraId="09C43880">
      <w:pPr>
        <w:pStyle w:val="305"/>
        <w:numPr>
          <w:ilvl w:val="0"/>
          <w:numId w:val="36"/>
        </w:numPr>
        <w:ind w:left="839" w:leftChars="0" w:hanging="419" w:firstLineChars="0"/>
        <w:rPr>
          <w:rFonts w:hint="eastAsia" w:ascii="宋体" w:hAnsi="宋体" w:cs="宋体"/>
          <w:color w:val="auto"/>
          <w:highlight w:val="none"/>
        </w:rPr>
      </w:pPr>
      <w:r>
        <w:rPr>
          <w:rFonts w:hint="eastAsia" w:ascii="宋体" w:hAnsi="宋体" w:cs="宋体"/>
          <w:color w:val="auto"/>
          <w:highlight w:val="none"/>
        </w:rPr>
        <w:t>全浸区的主船体采用阴极保护或阴极保护与涂层共同保护</w:t>
      </w:r>
      <w:r>
        <w:rPr>
          <w:rFonts w:hint="eastAsia" w:ascii="宋体" w:hAnsi="宋体" w:cs="宋体"/>
          <w:color w:val="auto"/>
          <w:highlight w:val="none"/>
          <w:lang w:eastAsia="zh-CN"/>
        </w:rPr>
        <w:t>；</w:t>
      </w:r>
    </w:p>
    <w:p w14:paraId="051596E6">
      <w:pPr>
        <w:pStyle w:val="305"/>
        <w:numPr>
          <w:ilvl w:val="0"/>
          <w:numId w:val="36"/>
        </w:numPr>
        <w:ind w:left="839" w:leftChars="0" w:hanging="419" w:firstLineChars="0"/>
        <w:rPr>
          <w:rFonts w:hint="eastAsia" w:ascii="宋体" w:hAnsi="宋体" w:cs="宋体"/>
          <w:color w:val="auto"/>
          <w:highlight w:val="none"/>
        </w:rPr>
      </w:pPr>
      <w:r>
        <w:rPr>
          <w:rFonts w:hint="eastAsia" w:ascii="宋体" w:hAnsi="宋体" w:cs="宋体"/>
          <w:color w:val="auto"/>
          <w:highlight w:val="none"/>
        </w:rPr>
        <w:t>飞溅区的主船体采用涂层保护，</w:t>
      </w:r>
      <w:r>
        <w:rPr>
          <w:rFonts w:hint="eastAsia" w:ascii="宋体" w:hAnsi="宋体" w:cs="宋体"/>
          <w:color w:val="auto"/>
          <w:highlight w:val="none"/>
          <w:lang w:val="en-US" w:eastAsia="zh-CN"/>
        </w:rPr>
        <w:t>并具有</w:t>
      </w:r>
      <w:r>
        <w:rPr>
          <w:rFonts w:hint="eastAsia" w:ascii="宋体" w:hAnsi="宋体" w:cs="宋体"/>
          <w:color w:val="auto"/>
          <w:highlight w:val="none"/>
        </w:rPr>
        <w:t>一定的腐蚀裕量</w:t>
      </w:r>
      <w:r>
        <w:rPr>
          <w:rFonts w:hint="eastAsia" w:ascii="宋体" w:hAnsi="宋体" w:cs="宋体"/>
          <w:color w:val="auto"/>
          <w:highlight w:val="none"/>
          <w:lang w:eastAsia="zh-CN"/>
        </w:rPr>
        <w:t>；</w:t>
      </w:r>
    </w:p>
    <w:p w14:paraId="1D91F755">
      <w:pPr>
        <w:pStyle w:val="305"/>
        <w:numPr>
          <w:ilvl w:val="0"/>
          <w:numId w:val="36"/>
        </w:numPr>
        <w:ind w:left="839" w:leftChars="0" w:hanging="419" w:firstLineChars="0"/>
        <w:rPr>
          <w:rFonts w:hint="eastAsia" w:ascii="宋体" w:hAnsi="宋体" w:cs="宋体"/>
          <w:color w:val="auto"/>
          <w:highlight w:val="none"/>
        </w:rPr>
      </w:pPr>
      <w:r>
        <w:rPr>
          <w:rFonts w:hint="eastAsia" w:ascii="宋体" w:hAnsi="宋体" w:cs="宋体"/>
          <w:color w:val="auto"/>
          <w:highlight w:val="none"/>
        </w:rPr>
        <w:t>大气区</w:t>
      </w:r>
      <w:r>
        <w:rPr>
          <w:rFonts w:hint="eastAsia" w:ascii="宋体" w:hAnsi="宋体" w:cs="宋体"/>
          <w:color w:val="auto"/>
          <w:highlight w:val="none"/>
          <w:lang w:val="en-US" w:eastAsia="zh-CN"/>
        </w:rPr>
        <w:t>结构</w:t>
      </w:r>
      <w:r>
        <w:rPr>
          <w:rFonts w:hint="eastAsia" w:ascii="宋体" w:hAnsi="宋体" w:cs="宋体"/>
          <w:color w:val="auto"/>
          <w:highlight w:val="none"/>
        </w:rPr>
        <w:t>涂层系统与被涂装表面基材类型、所处环境、操作条件和设计年限相适应</w:t>
      </w:r>
      <w:r>
        <w:rPr>
          <w:rFonts w:hint="eastAsia" w:ascii="宋体" w:hAnsi="宋体" w:cs="宋体"/>
          <w:color w:val="auto"/>
          <w:highlight w:val="none"/>
          <w:lang w:eastAsia="zh-CN"/>
        </w:rPr>
        <w:t>。</w:t>
      </w:r>
    </w:p>
    <w:p w14:paraId="7E852119">
      <w:pPr>
        <w:pStyle w:val="326"/>
        <w:rPr>
          <w:rFonts w:hint="eastAsia" w:ascii="宋体" w:hAnsi="宋体" w:eastAsia="宋体" w:cs="宋体"/>
          <w:color w:val="auto"/>
          <w:highlight w:val="none"/>
        </w:rPr>
      </w:pPr>
      <w:r>
        <w:rPr>
          <w:rFonts w:hint="eastAsia" w:ascii="宋体" w:hAnsi="宋体" w:eastAsia="宋体" w:cs="宋体"/>
          <w:color w:val="auto"/>
          <w:highlight w:val="none"/>
        </w:rPr>
        <w:t>FPSO内部区域货油舱底部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压载舱、污油舱、工艺水舱采用涂层保护或涂层与阴极保护的联合保护。</w:t>
      </w:r>
    </w:p>
    <w:p w14:paraId="4816425F">
      <w:pPr>
        <w:pStyle w:val="326"/>
        <w:jc w:val="left"/>
        <w:rPr>
          <w:rFonts w:hint="eastAsia" w:ascii="宋体" w:hAnsi="宋体" w:eastAsia="宋体" w:cs="宋体"/>
          <w:color w:val="auto"/>
          <w:highlight w:val="none"/>
        </w:rPr>
      </w:pPr>
      <w:r>
        <w:rPr>
          <w:rFonts w:hint="eastAsia" w:ascii="宋体" w:hAnsi="宋体" w:eastAsia="宋体" w:cs="宋体"/>
          <w:color w:val="auto"/>
          <w:highlight w:val="none"/>
        </w:rPr>
        <w:t>上部设施选材</w:t>
      </w:r>
      <w:r>
        <w:rPr>
          <w:rFonts w:hint="eastAsia" w:ascii="宋体" w:hAnsi="宋体" w:eastAsia="宋体" w:cs="宋体"/>
          <w:color w:val="auto"/>
          <w:highlight w:val="none"/>
          <w:lang w:val="en-US" w:eastAsia="zh-CN"/>
        </w:rPr>
        <w:t>满足GB 46766的要求</w:t>
      </w:r>
      <w:r>
        <w:rPr>
          <w:rFonts w:hint="eastAsia" w:ascii="宋体" w:hAnsi="宋体" w:eastAsia="宋体" w:cs="宋体"/>
          <w:color w:val="auto"/>
          <w:highlight w:val="none"/>
        </w:rPr>
        <w:t>。</w:t>
      </w:r>
    </w:p>
    <w:p w14:paraId="011A478D">
      <w:pPr>
        <w:pStyle w:val="260"/>
        <w:outlineLvl w:val="1"/>
        <w:rPr>
          <w:rFonts w:hint="default" w:ascii="Times New Roman" w:hAnsi="Times New Roman" w:cs="Times New Roman"/>
          <w:color w:val="auto"/>
          <w:highlight w:val="none"/>
        </w:rPr>
      </w:pPr>
      <w:bookmarkStart w:id="440" w:name="_Toc14067"/>
      <w:bookmarkStart w:id="441" w:name="_Toc10422"/>
      <w:bookmarkStart w:id="442" w:name="_Toc26759"/>
      <w:bookmarkStart w:id="443" w:name="_Toc31452"/>
      <w:bookmarkStart w:id="444" w:name="_Toc9828"/>
      <w:bookmarkStart w:id="445" w:name="_Toc9438"/>
      <w:bookmarkStart w:id="446" w:name="_Toc30291"/>
      <w:bookmarkStart w:id="447" w:name="_Toc32262"/>
      <w:bookmarkStart w:id="448" w:name="_Toc61"/>
      <w:r>
        <w:rPr>
          <w:rFonts w:hint="default" w:ascii="Times New Roman" w:hAnsi="Times New Roman" w:cs="Times New Roman"/>
          <w:color w:val="auto"/>
          <w:highlight w:val="none"/>
        </w:rPr>
        <w:t>涂层保护</w:t>
      </w:r>
      <w:bookmarkEnd w:id="440"/>
      <w:bookmarkEnd w:id="441"/>
      <w:bookmarkEnd w:id="442"/>
      <w:bookmarkEnd w:id="443"/>
      <w:bookmarkEnd w:id="444"/>
      <w:bookmarkEnd w:id="445"/>
      <w:bookmarkEnd w:id="446"/>
      <w:bookmarkEnd w:id="447"/>
      <w:bookmarkEnd w:id="448"/>
    </w:p>
    <w:p w14:paraId="462AC1CC">
      <w:pPr>
        <w:pStyle w:val="326"/>
        <w:jc w:val="left"/>
        <w:rPr>
          <w:rFonts w:hint="eastAsia" w:ascii="宋体" w:hAnsi="宋体" w:eastAsia="宋体" w:cs="宋体"/>
          <w:color w:val="auto"/>
          <w:highlight w:val="none"/>
        </w:rPr>
      </w:pPr>
      <w:r>
        <w:rPr>
          <w:rFonts w:hint="eastAsia" w:ascii="宋体" w:hAnsi="宋体" w:eastAsia="宋体" w:cs="宋体"/>
          <w:color w:val="auto"/>
          <w:highlight w:val="none"/>
        </w:rPr>
        <w:t>涂层系统的设计、表面处理、涂装、维修等</w:t>
      </w:r>
      <w:r>
        <w:rPr>
          <w:rFonts w:hint="eastAsia" w:ascii="宋体" w:hAnsi="宋体" w:eastAsia="宋体" w:cs="宋体"/>
          <w:color w:val="auto"/>
          <w:highlight w:val="none"/>
          <w:lang w:val="en-US" w:eastAsia="zh-CN"/>
        </w:rPr>
        <w:t>应满足GB 46766的要求</w:t>
      </w:r>
      <w:r>
        <w:rPr>
          <w:rFonts w:hint="eastAsia" w:ascii="宋体" w:hAnsi="宋体" w:eastAsia="宋体" w:cs="宋体"/>
          <w:color w:val="auto"/>
          <w:highlight w:val="none"/>
        </w:rPr>
        <w:t>。</w:t>
      </w:r>
    </w:p>
    <w:p w14:paraId="1A41F892">
      <w:pPr>
        <w:pStyle w:val="326"/>
        <w:jc w:val="both"/>
        <w:rPr>
          <w:rFonts w:hint="eastAsia" w:ascii="宋体" w:hAnsi="宋体" w:eastAsia="宋体" w:cs="宋体"/>
          <w:color w:val="auto"/>
          <w:highlight w:val="none"/>
        </w:rPr>
      </w:pPr>
      <w:r>
        <w:rPr>
          <w:rFonts w:hint="eastAsia" w:ascii="宋体" w:hAnsi="宋体" w:eastAsia="宋体" w:cs="宋体"/>
          <w:strike w:val="0"/>
          <w:color w:val="auto"/>
          <w:highlight w:val="none"/>
        </w:rPr>
        <w:t>货油舱</w:t>
      </w:r>
      <w:r>
        <w:rPr>
          <w:rFonts w:hint="eastAsia" w:ascii="宋体" w:hAnsi="宋体" w:eastAsia="宋体" w:cs="宋体"/>
          <w:strike w:val="0"/>
          <w:color w:val="auto"/>
          <w:highlight w:val="none"/>
          <w:lang w:val="en-US" w:eastAsia="zh-CN"/>
        </w:rPr>
        <w:t>等</w:t>
      </w:r>
      <w:r>
        <w:rPr>
          <w:rFonts w:hint="eastAsia" w:ascii="宋体" w:hAnsi="宋体" w:eastAsia="宋体" w:cs="宋体"/>
          <w:color w:val="auto"/>
          <w:highlight w:val="none"/>
        </w:rPr>
        <w:t>油气可能积聚的</w:t>
      </w:r>
      <w:r>
        <w:rPr>
          <w:rFonts w:hint="eastAsia" w:ascii="宋体" w:hAnsi="宋体" w:eastAsia="宋体" w:cs="宋体"/>
          <w:color w:val="auto"/>
          <w:highlight w:val="none"/>
          <w:lang w:val="en-US" w:eastAsia="zh-CN"/>
        </w:rPr>
        <w:t>舱室和</w:t>
      </w:r>
      <w:r>
        <w:rPr>
          <w:rFonts w:hint="eastAsia" w:ascii="宋体" w:hAnsi="宋体" w:eastAsia="宋体" w:cs="宋体"/>
          <w:color w:val="auto"/>
          <w:highlight w:val="none"/>
        </w:rPr>
        <w:t>处所，不应使用铝含量超过10%（以干膜重量计）的铝涂料。</w:t>
      </w:r>
    </w:p>
    <w:p w14:paraId="78E424C7">
      <w:pPr>
        <w:pStyle w:val="326"/>
        <w:rPr>
          <w:rFonts w:hint="eastAsia" w:ascii="宋体" w:hAnsi="宋体" w:eastAsia="宋体" w:cs="宋体"/>
          <w:color w:val="auto"/>
          <w:highlight w:val="none"/>
        </w:rPr>
      </w:pPr>
      <w:r>
        <w:rPr>
          <w:rFonts w:hint="eastAsia" w:ascii="宋体" w:hAnsi="宋体" w:eastAsia="宋体" w:cs="宋体"/>
          <w:color w:val="auto"/>
          <w:highlight w:val="none"/>
        </w:rPr>
        <w:t>主船体飞溅区应采用耐磨的防腐涂层，如玻璃鳞片环氧或相当的涂料。</w:t>
      </w:r>
    </w:p>
    <w:p w14:paraId="43B73674">
      <w:pPr>
        <w:pStyle w:val="32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饮用水舱漆应无毒。</w:t>
      </w:r>
    </w:p>
    <w:p w14:paraId="64BCB8B8">
      <w:pPr>
        <w:pStyle w:val="260"/>
        <w:outlineLvl w:val="1"/>
        <w:rPr>
          <w:rFonts w:hint="default" w:ascii="Times New Roman" w:hAnsi="Times New Roman" w:cs="Times New Roman"/>
          <w:color w:val="auto"/>
          <w:highlight w:val="none"/>
        </w:rPr>
      </w:pPr>
      <w:bookmarkStart w:id="449" w:name="_Toc15883"/>
      <w:bookmarkStart w:id="450" w:name="_Toc29949"/>
      <w:bookmarkStart w:id="451" w:name="_Toc6503"/>
      <w:bookmarkStart w:id="452" w:name="_Toc7254"/>
      <w:bookmarkStart w:id="453" w:name="_Toc21895"/>
      <w:bookmarkStart w:id="454" w:name="_Toc13248"/>
      <w:bookmarkStart w:id="455" w:name="_Toc8456"/>
      <w:bookmarkStart w:id="456" w:name="_Toc29915"/>
      <w:bookmarkStart w:id="457" w:name="_Toc26462"/>
      <w:r>
        <w:rPr>
          <w:rFonts w:hint="default" w:ascii="Times New Roman" w:hAnsi="Times New Roman" w:cs="Times New Roman"/>
          <w:color w:val="auto"/>
          <w:highlight w:val="none"/>
        </w:rPr>
        <w:t>阴极保护</w:t>
      </w:r>
      <w:bookmarkEnd w:id="449"/>
      <w:bookmarkEnd w:id="450"/>
      <w:bookmarkEnd w:id="451"/>
      <w:bookmarkEnd w:id="452"/>
      <w:bookmarkEnd w:id="453"/>
      <w:bookmarkEnd w:id="454"/>
      <w:bookmarkEnd w:id="455"/>
      <w:bookmarkEnd w:id="456"/>
      <w:bookmarkEnd w:id="457"/>
    </w:p>
    <w:p w14:paraId="15FD3D2D">
      <w:pPr>
        <w:pStyle w:val="326"/>
        <w:rPr>
          <w:rFonts w:hint="eastAsia" w:ascii="宋体" w:hAnsi="宋体" w:eastAsia="宋体" w:cs="宋体"/>
          <w:color w:val="auto"/>
          <w:highlight w:val="none"/>
        </w:rPr>
      </w:pPr>
      <w:r>
        <w:rPr>
          <w:rFonts w:hint="default" w:ascii="Times New Roman" w:hAnsi="Times New Roman" w:cs="Times New Roman" w:eastAsiaTheme="minorEastAsia"/>
          <w:color w:val="auto"/>
          <w:highlight w:val="none"/>
        </w:rPr>
        <w:t>全浸区船体阴极保护应采用牺牲阳极或外加电流形式</w:t>
      </w:r>
      <w:r>
        <w:rPr>
          <w:rFonts w:hint="eastAsia" w:ascii="宋体" w:hAnsi="宋体" w:eastAsia="宋体" w:cs="宋体"/>
          <w:color w:val="auto"/>
          <w:highlight w:val="none"/>
        </w:rPr>
        <w:t>，或采用二者联合的形式。</w:t>
      </w:r>
    </w:p>
    <w:p w14:paraId="4DDE6418">
      <w:pPr>
        <w:pStyle w:val="326"/>
        <w:rPr>
          <w:rFonts w:hint="eastAsia" w:ascii="宋体" w:hAnsi="宋体" w:eastAsia="宋体" w:cs="宋体"/>
          <w:color w:val="auto"/>
          <w:highlight w:val="none"/>
        </w:rPr>
      </w:pPr>
      <w:r>
        <w:rPr>
          <w:rFonts w:hint="eastAsia" w:ascii="宋体" w:hAnsi="宋体" w:eastAsia="宋体" w:cs="宋体"/>
          <w:color w:val="auto"/>
          <w:highlight w:val="none"/>
        </w:rPr>
        <w:t>舱室内部阴极保护应采用牺牲阳极形式。</w:t>
      </w:r>
    </w:p>
    <w:p w14:paraId="1020F695">
      <w:pPr>
        <w:pStyle w:val="326"/>
        <w:rPr>
          <w:rFonts w:hint="eastAsia" w:ascii="宋体" w:hAnsi="宋体" w:eastAsia="宋体" w:cs="宋体"/>
          <w:color w:val="auto"/>
          <w:highlight w:val="none"/>
        </w:rPr>
      </w:pPr>
      <w:r>
        <w:rPr>
          <w:rFonts w:hint="eastAsia" w:ascii="宋体" w:hAnsi="宋体" w:eastAsia="宋体" w:cs="宋体"/>
          <w:color w:val="auto"/>
          <w:highlight w:val="none"/>
        </w:rPr>
        <w:t>外加电流阴极保护系统的阳极屏蔽层涂料应具有耐腐蚀和耐</w:t>
      </w:r>
      <w:r>
        <w:rPr>
          <w:rFonts w:hint="eastAsia" w:ascii="宋体" w:hAnsi="宋体" w:eastAsia="宋体" w:cs="宋体"/>
          <w:color w:val="auto"/>
          <w:highlight w:val="none"/>
          <w:lang w:val="en-US" w:eastAsia="zh-CN"/>
        </w:rPr>
        <w:t>阴极剥离</w:t>
      </w:r>
      <w:r>
        <w:rPr>
          <w:rFonts w:hint="eastAsia" w:ascii="宋体" w:hAnsi="宋体" w:eastAsia="宋体" w:cs="宋体"/>
          <w:color w:val="auto"/>
          <w:highlight w:val="none"/>
        </w:rPr>
        <w:t>能力。</w:t>
      </w:r>
    </w:p>
    <w:p w14:paraId="091EF9E0">
      <w:pPr>
        <w:pStyle w:val="326"/>
        <w:rPr>
          <w:rFonts w:hint="eastAsia" w:ascii="宋体" w:hAnsi="宋体" w:eastAsia="宋体" w:cs="宋体"/>
          <w:color w:val="auto"/>
          <w:highlight w:val="none"/>
        </w:rPr>
      </w:pPr>
      <w:r>
        <w:rPr>
          <w:rFonts w:hint="eastAsia" w:ascii="宋体" w:hAnsi="宋体" w:eastAsia="宋体" w:cs="宋体"/>
          <w:color w:val="auto"/>
          <w:highlight w:val="none"/>
        </w:rPr>
        <w:t>采用外加电流阴极保护的水下结构应设置阴极保护监测系统。</w:t>
      </w:r>
      <w:bookmarkEnd w:id="439"/>
    </w:p>
    <w:p w14:paraId="517159FA">
      <w:pPr>
        <w:pStyle w:val="326"/>
        <w:jc w:val="left"/>
        <w:rPr>
          <w:rFonts w:hint="eastAsia" w:ascii="宋体" w:hAnsi="宋体" w:eastAsia="宋体" w:cs="宋体"/>
          <w:color w:val="auto"/>
          <w:highlight w:val="none"/>
        </w:rPr>
      </w:pPr>
      <w:r>
        <w:rPr>
          <w:rFonts w:hint="eastAsia" w:ascii="宋体" w:hAnsi="宋体" w:eastAsia="宋体" w:cs="宋体"/>
          <w:color w:val="auto"/>
          <w:highlight w:val="none"/>
        </w:rPr>
        <w:t>应基于设计年限、被保护结构材质、所处环境和表面状态确定结构物所需的阴极保护电流</w:t>
      </w:r>
      <w:r>
        <w:rPr>
          <w:rFonts w:hint="eastAsia" w:ascii="宋体" w:hAnsi="宋体" w:eastAsia="宋体" w:cs="宋体"/>
          <w:color w:val="auto"/>
          <w:highlight w:val="none"/>
          <w:lang w:val="en-US" w:eastAsia="zh-CN"/>
        </w:rPr>
        <w:t>密度</w:t>
      </w:r>
      <w:r>
        <w:rPr>
          <w:rFonts w:hint="eastAsia" w:ascii="宋体" w:hAnsi="宋体" w:eastAsia="宋体" w:cs="宋体"/>
          <w:color w:val="auto"/>
          <w:highlight w:val="none"/>
        </w:rPr>
        <w:t>。</w:t>
      </w:r>
    </w:p>
    <w:p w14:paraId="3D86DF68">
      <w:pPr>
        <w:pStyle w:val="259"/>
        <w:numPr>
          <w:ilvl w:val="0"/>
          <w:numId w:val="33"/>
        </w:numPr>
        <w:outlineLvl w:val="0"/>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 </w:t>
      </w:r>
      <w:bookmarkStart w:id="458" w:name="_Toc183727669"/>
      <w:bookmarkStart w:id="459" w:name="_Toc11035"/>
      <w:bookmarkStart w:id="460" w:name="_Toc4348"/>
      <w:bookmarkStart w:id="461" w:name="_Toc24250"/>
      <w:bookmarkStart w:id="462" w:name="_Toc9018"/>
      <w:bookmarkStart w:id="463" w:name="_Toc13128"/>
      <w:bookmarkStart w:id="464" w:name="_Toc15688"/>
      <w:bookmarkStart w:id="465" w:name="_Toc4545"/>
      <w:bookmarkStart w:id="466" w:name="_Toc22002"/>
      <w:bookmarkStart w:id="467" w:name="_Toc5331"/>
      <w:r>
        <w:rPr>
          <w:rFonts w:hint="default" w:ascii="Times New Roman" w:hAnsi="Times New Roman" w:cs="Times New Roman"/>
          <w:color w:val="auto"/>
          <w:highlight w:val="none"/>
        </w:rPr>
        <w:t>系泊</w:t>
      </w:r>
      <w:bookmarkEnd w:id="458"/>
      <w:bookmarkEnd w:id="459"/>
      <w:bookmarkEnd w:id="460"/>
      <w:bookmarkEnd w:id="461"/>
      <w:bookmarkEnd w:id="462"/>
      <w:bookmarkEnd w:id="463"/>
      <w:bookmarkEnd w:id="464"/>
      <w:bookmarkEnd w:id="465"/>
      <w:bookmarkEnd w:id="466"/>
      <w:bookmarkEnd w:id="467"/>
    </w:p>
    <w:p w14:paraId="0EBA25E5">
      <w:pPr>
        <w:pStyle w:val="260"/>
        <w:numPr>
          <w:ilvl w:val="1"/>
          <w:numId w:val="33"/>
        </w:numPr>
        <w:outlineLvl w:val="1"/>
        <w:rPr>
          <w:rFonts w:hint="default" w:ascii="Times New Roman" w:hAnsi="Times New Roman" w:cs="Times New Roman"/>
          <w:color w:val="auto"/>
          <w:highlight w:val="none"/>
        </w:rPr>
      </w:pPr>
      <w:bookmarkStart w:id="468" w:name="_Toc6480"/>
      <w:bookmarkStart w:id="469" w:name="_Toc17296"/>
      <w:bookmarkStart w:id="470" w:name="_Toc29946"/>
      <w:bookmarkStart w:id="471" w:name="_Toc23059"/>
      <w:bookmarkStart w:id="472" w:name="_Toc294"/>
      <w:bookmarkStart w:id="473" w:name="_Toc23048"/>
      <w:r>
        <w:rPr>
          <w:rFonts w:hint="eastAsia" w:ascii="Times New Roman" w:cs="Times New Roman"/>
          <w:color w:val="auto"/>
          <w:highlight w:val="none"/>
          <w:lang w:eastAsia="zh-CN"/>
        </w:rPr>
        <w:t>通</w:t>
      </w:r>
      <w:bookmarkEnd w:id="468"/>
      <w:bookmarkEnd w:id="469"/>
      <w:bookmarkEnd w:id="470"/>
      <w:bookmarkEnd w:id="471"/>
      <w:r>
        <w:rPr>
          <w:rFonts w:hint="eastAsia" w:ascii="Times New Roman" w:cs="Times New Roman"/>
          <w:color w:val="auto"/>
          <w:highlight w:val="none"/>
          <w:lang w:val="en-US" w:eastAsia="zh-CN"/>
        </w:rPr>
        <w:t>则</w:t>
      </w:r>
      <w:bookmarkEnd w:id="472"/>
      <w:bookmarkEnd w:id="473"/>
    </w:p>
    <w:p w14:paraId="0EAF698D">
      <w:pPr>
        <w:pStyle w:val="261"/>
        <w:numPr>
          <w:ilvl w:val="-1"/>
          <w:numId w:val="0"/>
        </w:numPr>
        <w:spacing w:before="0" w:beforeLines="0" w:after="0" w:afterLines="0"/>
        <w:ind w:firstLine="420" w:firstLineChars="200"/>
        <w:outlineLvl w:val="9"/>
        <w:rPr>
          <w:rFonts w:hint="default" w:ascii="Times New Roman" w:hAnsi="Times New Roman" w:cs="Times New Roman" w:eastAsiaTheme="minorEastAsia"/>
          <w:color w:val="auto"/>
          <w:highlight w:val="none"/>
        </w:rPr>
      </w:pPr>
      <w:bookmarkStart w:id="474" w:name="_Toc4534"/>
      <w:bookmarkStart w:id="475" w:name="_Toc16324"/>
      <w:r>
        <w:rPr>
          <w:rFonts w:hint="eastAsia" w:ascii="宋体" w:hAnsi="宋体" w:eastAsia="宋体" w:cs="宋体"/>
          <w:color w:val="auto"/>
          <w:highlight w:val="none"/>
        </w:rPr>
        <w:t>FPSO的</w:t>
      </w:r>
      <w:r>
        <w:rPr>
          <w:rFonts w:hint="default" w:ascii="Times New Roman" w:hAnsi="Times New Roman" w:cs="Times New Roman" w:eastAsiaTheme="minorEastAsia"/>
          <w:color w:val="auto"/>
          <w:highlight w:val="none"/>
        </w:rPr>
        <w:t>系泊型式和方位布置根据作业海域水深、环境条件、管缆布置等因素综合确定。</w:t>
      </w:r>
    </w:p>
    <w:p w14:paraId="6BFE2B16">
      <w:pPr>
        <w:pStyle w:val="260"/>
        <w:numPr>
          <w:ilvl w:val="1"/>
          <w:numId w:val="33"/>
        </w:numPr>
        <w:outlineLvl w:val="1"/>
        <w:rPr>
          <w:rFonts w:hint="default" w:ascii="Times New Roman" w:hAnsi="Times New Roman" w:cs="Times New Roman"/>
          <w:color w:val="auto"/>
          <w:highlight w:val="none"/>
        </w:rPr>
      </w:pPr>
      <w:bookmarkStart w:id="476" w:name="_Toc10294"/>
      <w:bookmarkStart w:id="477" w:name="_Toc17547"/>
      <w:r>
        <w:rPr>
          <w:rFonts w:hint="default" w:ascii="Times New Roman" w:hAnsi="Times New Roman" w:cs="Times New Roman"/>
          <w:color w:val="auto"/>
          <w:highlight w:val="none"/>
        </w:rPr>
        <w:t>系泊系统设计</w:t>
      </w:r>
      <w:bookmarkEnd w:id="476"/>
      <w:bookmarkEnd w:id="477"/>
    </w:p>
    <w:p w14:paraId="5A7302CF">
      <w:pPr>
        <w:pStyle w:val="261"/>
        <w:spacing w:before="156" w:beforeLines="0" w:after="156" w:afterLines="0"/>
        <w:outlineLvl w:val="2"/>
        <w:rPr>
          <w:rFonts w:hint="default" w:ascii="Times New Roman" w:hAnsi="Times New Roman" w:cs="Times New Roman"/>
          <w:color w:val="auto"/>
          <w:highlight w:val="none"/>
        </w:rPr>
      </w:pPr>
      <w:bookmarkStart w:id="478" w:name="_Toc19533"/>
      <w:bookmarkStart w:id="479" w:name="_Toc29884"/>
      <w:bookmarkStart w:id="480" w:name="_Toc16677"/>
      <w:r>
        <w:rPr>
          <w:rFonts w:hint="default" w:ascii="Times New Roman" w:hAnsi="Times New Roman" w:cs="Times New Roman"/>
          <w:color w:val="auto"/>
          <w:highlight w:val="none"/>
        </w:rPr>
        <w:t>环境条件</w:t>
      </w:r>
      <w:bookmarkEnd w:id="478"/>
      <w:bookmarkEnd w:id="479"/>
      <w:bookmarkEnd w:id="480"/>
    </w:p>
    <w:p w14:paraId="0B3D24AB">
      <w:pPr>
        <w:pStyle w:val="290"/>
        <w:numPr>
          <w:ilvl w:val="3"/>
          <w:numId w:val="37"/>
        </w:numPr>
        <w:spacing w:before="0" w:beforeLines="0" w:after="0" w:afterLines="0"/>
        <w:jc w:val="both"/>
        <w:outlineLvl w:val="9"/>
        <w:rPr>
          <w:rFonts w:hint="eastAsia" w:ascii="宋体" w:hAnsi="宋体" w:eastAsia="宋体" w:cs="宋体"/>
          <w:color w:val="auto"/>
          <w:highlight w:val="none"/>
        </w:rPr>
      </w:pPr>
      <w:r>
        <w:rPr>
          <w:rFonts w:hint="default" w:ascii="Times New Roman" w:hAnsi="Times New Roman" w:cs="Times New Roman" w:eastAsiaTheme="minorEastAsia"/>
          <w:color w:val="auto"/>
          <w:highlight w:val="none"/>
        </w:rPr>
        <w:t>应根据作业海</w:t>
      </w:r>
      <w:r>
        <w:rPr>
          <w:rFonts w:hint="eastAsia" w:ascii="宋体" w:hAnsi="宋体" w:eastAsia="宋体" w:cs="宋体"/>
          <w:color w:val="auto"/>
          <w:highlight w:val="none"/>
        </w:rPr>
        <w:t>域的风、浪、流、潮、土壤等环境参数进行</w:t>
      </w:r>
      <w:r>
        <w:rPr>
          <w:rFonts w:hint="default" w:ascii="Times New Roman" w:hAnsi="Times New Roman" w:cs="Times New Roman" w:eastAsiaTheme="minorEastAsia"/>
          <w:color w:val="auto"/>
          <w:highlight w:val="none"/>
        </w:rPr>
        <w:t>系泊系统</w:t>
      </w:r>
      <w:r>
        <w:rPr>
          <w:rFonts w:hint="eastAsia" w:ascii="宋体" w:hAnsi="宋体" w:eastAsia="宋体" w:cs="宋体"/>
          <w:color w:val="auto"/>
          <w:highlight w:val="none"/>
        </w:rPr>
        <w:t>设计分析，并应</w:t>
      </w:r>
      <w:r>
        <w:rPr>
          <w:rFonts w:hint="eastAsia" w:ascii="宋体" w:hAnsi="宋体" w:eastAsia="宋体" w:cs="宋体"/>
          <w:color w:val="auto"/>
          <w:highlight w:val="none"/>
          <w:lang w:val="en-US" w:eastAsia="zh-CN"/>
        </w:rPr>
        <w:t>包含</w:t>
      </w:r>
      <w:r>
        <w:rPr>
          <w:rFonts w:hint="eastAsia" w:ascii="宋体" w:hAnsi="宋体" w:eastAsia="宋体" w:cs="宋体"/>
          <w:color w:val="auto"/>
          <w:highlight w:val="none"/>
        </w:rPr>
        <w:t>风、浪、流足够数量的来向角，以及风、浪、流实际可能的最</w:t>
      </w:r>
      <w:r>
        <w:rPr>
          <w:rFonts w:hint="eastAsia" w:ascii="宋体" w:hAnsi="宋体" w:eastAsia="宋体" w:cs="宋体"/>
          <w:color w:val="auto"/>
          <w:highlight w:val="none"/>
          <w:lang w:val="en-US" w:eastAsia="zh-CN"/>
        </w:rPr>
        <w:t>不利</w:t>
      </w:r>
      <w:r>
        <w:rPr>
          <w:rFonts w:hint="eastAsia" w:ascii="宋体" w:hAnsi="宋体" w:eastAsia="宋体" w:cs="宋体"/>
          <w:color w:val="auto"/>
          <w:highlight w:val="none"/>
        </w:rPr>
        <w:t>组合。对于新建FPSO，环境参数计算应包括历史强台风数据。</w:t>
      </w:r>
    </w:p>
    <w:p w14:paraId="456B8199">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永久系泊系统应至少采用100年一遇的极端环境条件作为设计环境条件，并采用1000年一遇的极端环境条件</w:t>
      </w:r>
      <w:r>
        <w:rPr>
          <w:rFonts w:hint="eastAsia" w:ascii="宋体" w:hAnsi="宋体" w:eastAsia="宋体" w:cs="宋体"/>
          <w:color w:val="auto"/>
          <w:highlight w:val="none"/>
          <w:lang w:val="en-US" w:eastAsia="zh-CN"/>
        </w:rPr>
        <w:t>进行校核</w:t>
      </w:r>
      <w:r>
        <w:rPr>
          <w:rFonts w:hint="eastAsia" w:ascii="宋体" w:hAnsi="宋体" w:eastAsia="宋体" w:cs="宋体"/>
          <w:color w:val="auto"/>
          <w:highlight w:val="none"/>
        </w:rPr>
        <w:t>。对于可快速解脱设计的永久系泊系统，最大设计条件</w:t>
      </w:r>
      <w:r>
        <w:rPr>
          <w:rFonts w:hint="eastAsia" w:ascii="宋体" w:hAnsi="宋体" w:eastAsia="宋体" w:cs="宋体"/>
          <w:color w:val="auto"/>
          <w:highlight w:val="none"/>
          <w:lang w:val="en-US" w:eastAsia="zh-CN"/>
        </w:rPr>
        <w:t>应选</w:t>
      </w:r>
      <w:r>
        <w:rPr>
          <w:rFonts w:hint="eastAsia" w:ascii="宋体" w:hAnsi="宋体" w:eastAsia="宋体" w:cs="宋体"/>
          <w:color w:val="auto"/>
          <w:highlight w:val="none"/>
        </w:rPr>
        <w:t>取FPSO系泊时的最恶劣环境条件，系泊系统本身（未系泊FPSO）应能抵御永久系泊的最大设计环境条件。</w:t>
      </w:r>
    </w:p>
    <w:p w14:paraId="7C84F733">
      <w:pPr>
        <w:pStyle w:val="261"/>
        <w:spacing w:before="156" w:beforeLines="0" w:after="156" w:afterLines="0"/>
        <w:outlineLvl w:val="2"/>
        <w:rPr>
          <w:rFonts w:hint="default" w:ascii="Times New Roman" w:hAnsi="Times New Roman" w:cs="Times New Roman"/>
          <w:color w:val="auto"/>
          <w:highlight w:val="none"/>
        </w:rPr>
      </w:pPr>
      <w:bookmarkStart w:id="481" w:name="_Toc12029"/>
      <w:bookmarkStart w:id="482" w:name="_Toc31584"/>
      <w:bookmarkStart w:id="483" w:name="_Toc15894"/>
      <w:r>
        <w:rPr>
          <w:rFonts w:hint="default" w:ascii="Times New Roman" w:hAnsi="Times New Roman" w:cs="Times New Roman"/>
          <w:color w:val="auto"/>
          <w:highlight w:val="none"/>
        </w:rPr>
        <w:t>系泊缆设计</w:t>
      </w:r>
      <w:bookmarkEnd w:id="481"/>
      <w:bookmarkEnd w:id="482"/>
      <w:bookmarkEnd w:id="483"/>
    </w:p>
    <w:p w14:paraId="6A89B394">
      <w:pPr>
        <w:pStyle w:val="290"/>
        <w:numPr>
          <w:ilvl w:val="3"/>
          <w:numId w:val="33"/>
        </w:numPr>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系泊缆张力分析时应</w:t>
      </w:r>
      <w:r>
        <w:rPr>
          <w:rFonts w:hint="eastAsia" w:ascii="Times New Roman" w:hAnsi="Times New Roman" w:cs="Times New Roman" w:eastAsiaTheme="minorEastAsia"/>
          <w:color w:val="auto"/>
          <w:highlight w:val="none"/>
          <w:lang w:val="en-US" w:eastAsia="zh-CN"/>
        </w:rPr>
        <w:t>计及锚链</w:t>
      </w:r>
      <w:r>
        <w:rPr>
          <w:rFonts w:hint="default" w:ascii="Times New Roman" w:hAnsi="Times New Roman" w:cs="Times New Roman" w:eastAsiaTheme="minorEastAsia"/>
          <w:color w:val="auto"/>
          <w:highlight w:val="none"/>
        </w:rPr>
        <w:t>的腐蚀和磨损余量</w:t>
      </w:r>
      <w:r>
        <w:rPr>
          <w:rFonts w:hint="eastAsia"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安全系数应不小于表</w:t>
      </w:r>
      <w:r>
        <w:rPr>
          <w:rFonts w:hint="eastAsia" w:ascii="Times New Roman" w:hAnsi="Times New Roman" w:cs="Times New Roman" w:eastAsiaTheme="minorEastAsia"/>
          <w:color w:val="auto"/>
          <w:highlight w:val="none"/>
          <w:lang w:val="en-US" w:eastAsia="zh-CN"/>
        </w:rPr>
        <w:t>1</w:t>
      </w:r>
      <w:r>
        <w:rPr>
          <w:rFonts w:hint="default" w:ascii="Times New Roman" w:hAnsi="Times New Roman" w:cs="Times New Roman" w:eastAsiaTheme="minorEastAsia"/>
          <w:color w:val="auto"/>
          <w:highlight w:val="none"/>
        </w:rPr>
        <w:t>中的规定值。</w:t>
      </w:r>
    </w:p>
    <w:p w14:paraId="508C0D74">
      <w:pPr>
        <w:pStyle w:val="301"/>
        <w:rPr>
          <w:rFonts w:hint="default" w:ascii="Times New Roman" w:hAnsi="Times New Roman" w:cs="Times New Roman"/>
          <w:color w:val="auto"/>
          <w:highlight w:val="none"/>
        </w:rPr>
      </w:pPr>
      <w:r>
        <w:rPr>
          <w:rFonts w:hint="default" w:ascii="Times New Roman" w:hAnsi="Times New Roman" w:cs="Times New Roman"/>
          <w:color w:val="auto"/>
          <w:highlight w:val="none"/>
        </w:rPr>
        <w:t>系泊缆张力安全系数</w:t>
      </w:r>
    </w:p>
    <w:tbl>
      <w:tblPr>
        <w:tblStyle w:val="89"/>
        <w:tblW w:w="9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5"/>
        <w:gridCol w:w="2290"/>
        <w:gridCol w:w="2290"/>
        <w:gridCol w:w="2290"/>
      </w:tblGrid>
      <w:tr w14:paraId="0CD2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165" w:type="dxa"/>
          </w:tcPr>
          <w:p w14:paraId="43BDB49A">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工况</w:t>
            </w:r>
          </w:p>
        </w:tc>
        <w:tc>
          <w:tcPr>
            <w:tcW w:w="2290" w:type="dxa"/>
          </w:tcPr>
          <w:p w14:paraId="7D6BF898">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系泊状态</w:t>
            </w:r>
          </w:p>
        </w:tc>
        <w:tc>
          <w:tcPr>
            <w:tcW w:w="2290" w:type="dxa"/>
          </w:tcPr>
          <w:p w14:paraId="56202287">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准静力方法</w:t>
            </w:r>
          </w:p>
        </w:tc>
        <w:tc>
          <w:tcPr>
            <w:tcW w:w="2290" w:type="dxa"/>
          </w:tcPr>
          <w:p w14:paraId="12E8E8A5">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动力方法</w:t>
            </w:r>
          </w:p>
        </w:tc>
      </w:tr>
      <w:tr w14:paraId="0F89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165" w:type="dxa"/>
            <w:vMerge w:val="restart"/>
          </w:tcPr>
          <w:p w14:paraId="5551086F">
            <w:pPr>
              <w:pStyle w:val="517"/>
              <w:jc w:val="center"/>
              <w:rPr>
                <w:rFonts w:hint="default" w:ascii="Times New Roman" w:hAnsi="Times New Roman" w:cs="Times New Roman"/>
                <w:color w:val="auto"/>
                <w:highlight w:val="none"/>
              </w:rPr>
            </w:pPr>
          </w:p>
          <w:p w14:paraId="1067DB70">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100年一遇设计工况</w:t>
            </w:r>
          </w:p>
          <w:p w14:paraId="0CCBDE01">
            <w:pPr>
              <w:pStyle w:val="517"/>
              <w:jc w:val="center"/>
              <w:rPr>
                <w:rFonts w:hint="default" w:ascii="Times New Roman" w:hAnsi="Times New Roman" w:cs="Times New Roman"/>
                <w:color w:val="auto"/>
                <w:highlight w:val="none"/>
              </w:rPr>
            </w:pPr>
          </w:p>
        </w:tc>
        <w:tc>
          <w:tcPr>
            <w:tcW w:w="2290" w:type="dxa"/>
          </w:tcPr>
          <w:p w14:paraId="75BE3265">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完整状态</w:t>
            </w:r>
          </w:p>
        </w:tc>
        <w:tc>
          <w:tcPr>
            <w:tcW w:w="2290" w:type="dxa"/>
          </w:tcPr>
          <w:p w14:paraId="0557B36B">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2.0</w:t>
            </w:r>
          </w:p>
        </w:tc>
        <w:tc>
          <w:tcPr>
            <w:tcW w:w="2290" w:type="dxa"/>
          </w:tcPr>
          <w:p w14:paraId="52BE3726">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1.67</w:t>
            </w:r>
          </w:p>
        </w:tc>
      </w:tr>
      <w:tr w14:paraId="603A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2165" w:type="dxa"/>
            <w:vMerge w:val="continue"/>
          </w:tcPr>
          <w:p w14:paraId="63A1B852">
            <w:pPr>
              <w:pStyle w:val="517"/>
              <w:jc w:val="center"/>
              <w:rPr>
                <w:rFonts w:hint="default" w:ascii="Times New Roman" w:hAnsi="Times New Roman" w:cs="Times New Roman"/>
                <w:color w:val="auto"/>
                <w:highlight w:val="none"/>
              </w:rPr>
            </w:pPr>
          </w:p>
        </w:tc>
        <w:tc>
          <w:tcPr>
            <w:tcW w:w="2290" w:type="dxa"/>
          </w:tcPr>
          <w:p w14:paraId="6CB631CE">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单缆破断</w:t>
            </w:r>
          </w:p>
        </w:tc>
        <w:tc>
          <w:tcPr>
            <w:tcW w:w="2290" w:type="dxa"/>
          </w:tcPr>
          <w:p w14:paraId="116636B4">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1.43</w:t>
            </w:r>
          </w:p>
        </w:tc>
        <w:tc>
          <w:tcPr>
            <w:tcW w:w="2290" w:type="dxa"/>
          </w:tcPr>
          <w:p w14:paraId="7D876EB5">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1.25</w:t>
            </w:r>
          </w:p>
        </w:tc>
      </w:tr>
      <w:tr w14:paraId="0BCB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165" w:type="dxa"/>
            <w:vMerge w:val="continue"/>
          </w:tcPr>
          <w:p w14:paraId="324836E3">
            <w:pPr>
              <w:pStyle w:val="517"/>
              <w:jc w:val="center"/>
              <w:rPr>
                <w:rFonts w:hint="default" w:ascii="Times New Roman" w:hAnsi="Times New Roman" w:cs="Times New Roman"/>
                <w:color w:val="auto"/>
                <w:highlight w:val="none"/>
              </w:rPr>
            </w:pPr>
          </w:p>
        </w:tc>
        <w:tc>
          <w:tcPr>
            <w:tcW w:w="2290" w:type="dxa"/>
          </w:tcPr>
          <w:p w14:paraId="5BBF5E40">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单缆破断瞬态</w:t>
            </w:r>
          </w:p>
        </w:tc>
        <w:tc>
          <w:tcPr>
            <w:tcW w:w="2290" w:type="dxa"/>
          </w:tcPr>
          <w:p w14:paraId="065F7302">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1.18</w:t>
            </w:r>
          </w:p>
        </w:tc>
        <w:tc>
          <w:tcPr>
            <w:tcW w:w="2290" w:type="dxa"/>
          </w:tcPr>
          <w:p w14:paraId="5E6C304C">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1.05</w:t>
            </w:r>
          </w:p>
        </w:tc>
      </w:tr>
      <w:tr w14:paraId="78101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165" w:type="dxa"/>
          </w:tcPr>
          <w:p w14:paraId="3AA3C074">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1000年一遇校核工况</w:t>
            </w:r>
          </w:p>
        </w:tc>
        <w:tc>
          <w:tcPr>
            <w:tcW w:w="2290" w:type="dxa"/>
          </w:tcPr>
          <w:p w14:paraId="5CA25250">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完整状态</w:t>
            </w:r>
          </w:p>
        </w:tc>
        <w:tc>
          <w:tcPr>
            <w:tcW w:w="2290" w:type="dxa"/>
          </w:tcPr>
          <w:p w14:paraId="4495A16F">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2290" w:type="dxa"/>
          </w:tcPr>
          <w:p w14:paraId="2E2A870C">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r>
      <w:tr w14:paraId="66D4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035" w:type="dxa"/>
            <w:gridSpan w:val="4"/>
          </w:tcPr>
          <w:p w14:paraId="4633F77A">
            <w:pPr>
              <w:pStyle w:val="517"/>
              <w:jc w:val="left"/>
              <w:rPr>
                <w:rFonts w:hint="eastAsia" w:ascii="宋体" w:hAnsi="宋体" w:eastAsia="宋体" w:cs="宋体"/>
                <w:color w:val="auto"/>
                <w:highlight w:val="none"/>
              </w:rPr>
            </w:pPr>
            <w:r>
              <w:rPr>
                <w:rFonts w:hint="eastAsia" w:ascii="黑体" w:hAnsi="黑体" w:eastAsia="黑体" w:cs="黑体"/>
                <w:strike w:val="0"/>
                <w:color w:val="auto"/>
                <w:kern w:val="0"/>
                <w:sz w:val="18"/>
                <w:szCs w:val="18"/>
                <w:highlight w:val="none"/>
                <w:lang w:val="en-US" w:eastAsia="zh-CN"/>
              </w:rPr>
              <w:t>注：</w:t>
            </w:r>
            <w:r>
              <w:rPr>
                <w:rFonts w:hint="eastAsia" w:ascii="宋体" w:hAnsi="宋体" w:eastAsia="宋体" w:cs="宋体"/>
                <w:strike w:val="0"/>
                <w:color w:val="auto"/>
                <w:kern w:val="0"/>
                <w:sz w:val="18"/>
                <w:szCs w:val="18"/>
                <w:highlight w:val="none"/>
                <w:lang w:val="en-US" w:eastAsia="zh-CN"/>
              </w:rPr>
              <w:t>采用动力分析法对纤维缆（聚酯缆除外）进行校核时，完整工况最小安全系数应不小于1.82，单缆破断工况最小安全系数应不小于1.43。</w:t>
            </w:r>
          </w:p>
        </w:tc>
      </w:tr>
    </w:tbl>
    <w:p w14:paraId="30E1622D">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钢缆应至少保证在1年一遇极端环境条件下的完整状态不触底，聚酯缆应保证在100年一遇极端环境条件下的完整状态不触底。</w:t>
      </w:r>
    </w:p>
    <w:p w14:paraId="6BCC7046">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系泊缆各部件的疲劳安全系数应不小于</w:t>
      </w:r>
      <w:r>
        <w:rPr>
          <w:rFonts w:hint="eastAsia" w:ascii="宋体" w:hAnsi="宋体" w:eastAsia="宋体" w:cs="宋体"/>
          <w:color w:val="auto"/>
          <w:highlight w:val="none"/>
          <w:lang w:eastAsia="zh-CN"/>
        </w:rPr>
        <w:t>：</w:t>
      </w:r>
    </w:p>
    <w:p w14:paraId="5AF55481">
      <w:pPr>
        <w:pStyle w:val="290"/>
        <w:numPr>
          <w:ilvl w:val="0"/>
          <w:numId w:val="38"/>
        </w:numPr>
        <w:tabs>
          <w:tab w:val="left" w:pos="1260"/>
        </w:tabs>
        <w:spacing w:before="0" w:beforeLines="0" w:after="0" w:afterLines="0"/>
        <w:ind w:left="436"/>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可检测部分</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3.0；</w:t>
      </w:r>
    </w:p>
    <w:p w14:paraId="02281290">
      <w:pPr>
        <w:pStyle w:val="290"/>
        <w:numPr>
          <w:ilvl w:val="0"/>
          <w:numId w:val="38"/>
        </w:numPr>
        <w:tabs>
          <w:tab w:val="left" w:pos="1260"/>
        </w:tabs>
        <w:spacing w:before="0" w:beforeLines="0" w:after="0" w:afterLines="0"/>
        <w:ind w:left="436"/>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不可检测且关键部分</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10.0</w:t>
      </w:r>
      <w:r>
        <w:rPr>
          <w:rFonts w:hint="eastAsia" w:ascii="宋体" w:hAnsi="宋体" w:eastAsia="宋体" w:cs="宋体"/>
          <w:color w:val="auto"/>
          <w:highlight w:val="none"/>
        </w:rPr>
        <w:t>。</w:t>
      </w:r>
    </w:p>
    <w:p w14:paraId="27D1D2A6">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FPSO的允许偏移范围应</w:t>
      </w:r>
      <w:r>
        <w:rPr>
          <w:rFonts w:hint="eastAsia" w:ascii="宋体" w:hAnsi="宋体" w:eastAsia="宋体" w:cs="宋体"/>
          <w:color w:val="auto"/>
          <w:highlight w:val="none"/>
          <w:lang w:val="en-US" w:eastAsia="zh-CN"/>
        </w:rPr>
        <w:t>与</w:t>
      </w:r>
      <w:r>
        <w:rPr>
          <w:rFonts w:hint="eastAsia" w:ascii="宋体" w:hAnsi="宋体" w:eastAsia="宋体" w:cs="宋体"/>
          <w:color w:val="auto"/>
          <w:highlight w:val="none"/>
        </w:rPr>
        <w:t>接入FPSO的动态</w:t>
      </w:r>
      <w:r>
        <w:rPr>
          <w:rFonts w:hint="eastAsia" w:ascii="宋体" w:hAnsi="宋体" w:eastAsia="宋体" w:cs="宋体"/>
          <w:color w:val="auto"/>
          <w:highlight w:val="none"/>
          <w:lang w:val="en-US" w:eastAsia="zh-CN"/>
        </w:rPr>
        <w:t>管缆的动态响应能力匹配</w:t>
      </w:r>
      <w:r>
        <w:rPr>
          <w:rFonts w:hint="eastAsia" w:ascii="宋体" w:hAnsi="宋体" w:eastAsia="宋体" w:cs="宋体"/>
          <w:color w:val="auto"/>
          <w:highlight w:val="none"/>
        </w:rPr>
        <w:t>。</w:t>
      </w:r>
    </w:p>
    <w:bookmarkEnd w:id="474"/>
    <w:bookmarkEnd w:id="475"/>
    <w:p w14:paraId="25169CA9">
      <w:pPr>
        <w:pStyle w:val="260"/>
        <w:numPr>
          <w:ilvl w:val="1"/>
          <w:numId w:val="33"/>
        </w:numPr>
        <w:outlineLvl w:val="1"/>
        <w:rPr>
          <w:rFonts w:hint="default" w:ascii="Times New Roman" w:hAnsi="Times New Roman" w:cs="Times New Roman"/>
          <w:color w:val="auto"/>
          <w:highlight w:val="none"/>
        </w:rPr>
      </w:pPr>
      <w:bookmarkStart w:id="484" w:name="_Toc32341"/>
      <w:bookmarkStart w:id="485" w:name="_Toc3466"/>
      <w:bookmarkStart w:id="486" w:name="_Toc9342"/>
      <w:bookmarkStart w:id="487" w:name="_Toc1417"/>
      <w:bookmarkStart w:id="488" w:name="_Toc28862"/>
      <w:bookmarkStart w:id="489" w:name="_Toc15405"/>
      <w:bookmarkStart w:id="490" w:name="_Toc12786"/>
      <w:bookmarkStart w:id="491" w:name="_Toc5205"/>
      <w:r>
        <w:rPr>
          <w:rFonts w:hint="default" w:ascii="Times New Roman" w:hAnsi="Times New Roman" w:cs="Times New Roman"/>
          <w:color w:val="auto"/>
          <w:highlight w:val="none"/>
        </w:rPr>
        <w:t>单点转塔</w:t>
      </w:r>
      <w:bookmarkEnd w:id="484"/>
      <w:bookmarkEnd w:id="485"/>
      <w:r>
        <w:rPr>
          <w:rFonts w:hint="eastAsia" w:ascii="Times New Roman" w:hAnsi="Times New Roman" w:cs="Times New Roman"/>
          <w:color w:val="auto"/>
          <w:highlight w:val="none"/>
          <w:lang w:val="en-US" w:eastAsia="zh-CN"/>
        </w:rPr>
        <w:t>系统</w:t>
      </w:r>
      <w:bookmarkEnd w:id="486"/>
      <w:bookmarkEnd w:id="487"/>
      <w:bookmarkEnd w:id="488"/>
      <w:bookmarkEnd w:id="489"/>
      <w:bookmarkEnd w:id="490"/>
      <w:bookmarkEnd w:id="491"/>
    </w:p>
    <w:p w14:paraId="660C0E90">
      <w:pPr>
        <w:pStyle w:val="261"/>
        <w:spacing w:before="156" w:beforeLines="0" w:after="156" w:afterLines="0"/>
        <w:jc w:val="both"/>
        <w:outlineLvl w:val="2"/>
        <w:rPr>
          <w:rFonts w:hint="default" w:ascii="Times New Roman" w:hAnsi="Times New Roman" w:cs="Times New Roman"/>
          <w:color w:val="auto"/>
          <w:highlight w:val="none"/>
        </w:rPr>
      </w:pPr>
      <w:bookmarkStart w:id="492" w:name="_Toc32234"/>
      <w:bookmarkStart w:id="493" w:name="_Toc31732"/>
      <w:bookmarkStart w:id="494" w:name="_Toc14438"/>
      <w:bookmarkStart w:id="495" w:name="_Toc24351"/>
      <w:bookmarkStart w:id="496" w:name="_Toc29027"/>
      <w:bookmarkStart w:id="497" w:name="_Toc8281"/>
      <w:bookmarkStart w:id="498" w:name="_Toc5934"/>
      <w:r>
        <w:rPr>
          <w:rFonts w:hint="eastAsia" w:ascii="Times New Roman" w:cs="Times New Roman"/>
          <w:color w:val="auto"/>
          <w:highlight w:val="none"/>
          <w:lang w:val="en-US" w:eastAsia="zh-CN"/>
        </w:rPr>
        <w:t>通</w:t>
      </w:r>
      <w:bookmarkEnd w:id="492"/>
      <w:bookmarkEnd w:id="493"/>
      <w:bookmarkEnd w:id="494"/>
      <w:bookmarkEnd w:id="495"/>
      <w:r>
        <w:rPr>
          <w:rFonts w:hint="eastAsia" w:ascii="Times New Roman" w:cs="Times New Roman"/>
          <w:color w:val="auto"/>
          <w:highlight w:val="none"/>
          <w:lang w:val="en-US" w:eastAsia="zh-CN"/>
        </w:rPr>
        <w:t>则</w:t>
      </w:r>
      <w:bookmarkEnd w:id="496"/>
      <w:bookmarkEnd w:id="497"/>
      <w:bookmarkEnd w:id="498"/>
    </w:p>
    <w:p w14:paraId="4605A811">
      <w:pPr>
        <w:pStyle w:val="290"/>
        <w:spacing w:before="0" w:beforeLines="0" w:after="0" w:afterLines="0"/>
        <w:jc w:val="both"/>
        <w:outlineLvl w:val="9"/>
        <w:rPr>
          <w:rFonts w:hint="eastAsia" w:ascii="宋体" w:hAnsi="宋体" w:eastAsia="宋体" w:cs="宋体"/>
          <w:color w:val="auto"/>
          <w:highlight w:val="none"/>
        </w:rPr>
      </w:pPr>
      <w:r>
        <w:rPr>
          <w:rFonts w:hint="default" w:ascii="Times New Roman" w:hAnsi="Times New Roman" w:cs="Times New Roman" w:eastAsiaTheme="minorEastAsia"/>
          <w:color w:val="auto"/>
          <w:highlight w:val="none"/>
        </w:rPr>
        <w:t>转塔系统</w:t>
      </w:r>
      <w:r>
        <w:rPr>
          <w:rFonts w:hint="eastAsia" w:ascii="宋体" w:hAnsi="宋体" w:eastAsia="宋体" w:cs="宋体"/>
          <w:color w:val="auto"/>
          <w:highlight w:val="none"/>
        </w:rPr>
        <w:t>为FPSO与系泊系统、动态管缆系统之间提供界面接口，转塔系统的设计及其部件的选择满足功能要求、可靠性要求及可维护性要求。</w:t>
      </w:r>
    </w:p>
    <w:p w14:paraId="187A1BA1">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单点转塔系统的设计具备</w:t>
      </w:r>
      <w:r>
        <w:rPr>
          <w:rFonts w:hint="eastAsia" w:ascii="宋体" w:hAnsi="宋体" w:eastAsia="宋体" w:cs="宋体"/>
          <w:color w:val="auto"/>
          <w:highlight w:val="none"/>
          <w:lang w:val="en-US" w:eastAsia="zh-CN"/>
        </w:rPr>
        <w:t>安全</w:t>
      </w:r>
      <w:r>
        <w:rPr>
          <w:rFonts w:hint="eastAsia" w:ascii="宋体" w:hAnsi="宋体" w:eastAsia="宋体" w:cs="宋体"/>
          <w:color w:val="auto"/>
          <w:highlight w:val="none"/>
        </w:rPr>
        <w:t>冗余。</w:t>
      </w:r>
    </w:p>
    <w:p w14:paraId="7AA981A1">
      <w:pPr>
        <w:pStyle w:val="261"/>
        <w:spacing w:before="156" w:after="156"/>
        <w:outlineLvl w:val="2"/>
        <w:rPr>
          <w:rFonts w:hint="default" w:ascii="Times New Roman" w:hAnsi="Times New Roman" w:cs="Times New Roman"/>
          <w:color w:val="auto"/>
          <w:highlight w:val="none"/>
        </w:rPr>
      </w:pPr>
      <w:bookmarkStart w:id="499" w:name="_Toc32087"/>
      <w:bookmarkStart w:id="500" w:name="_Toc29926"/>
      <w:bookmarkStart w:id="501" w:name="_Toc7784"/>
      <w:bookmarkStart w:id="502" w:name="_Toc17791"/>
      <w:bookmarkStart w:id="503" w:name="_Toc10700"/>
      <w:bookmarkStart w:id="504" w:name="_Toc9559"/>
      <w:bookmarkStart w:id="505" w:name="_Toc25336"/>
      <w:bookmarkStart w:id="506" w:name="_Toc7139"/>
      <w:bookmarkStart w:id="507" w:name="_Toc28215"/>
      <w:r>
        <w:rPr>
          <w:rFonts w:hint="default" w:ascii="Times New Roman" w:hAnsi="Times New Roman" w:cs="Times New Roman"/>
          <w:color w:val="auto"/>
          <w:highlight w:val="none"/>
        </w:rPr>
        <w:t>结构</w:t>
      </w:r>
      <w:bookmarkEnd w:id="499"/>
      <w:bookmarkEnd w:id="500"/>
      <w:bookmarkEnd w:id="501"/>
      <w:bookmarkEnd w:id="502"/>
      <w:bookmarkEnd w:id="503"/>
      <w:bookmarkEnd w:id="504"/>
      <w:bookmarkEnd w:id="505"/>
      <w:bookmarkEnd w:id="506"/>
      <w:bookmarkEnd w:id="507"/>
    </w:p>
    <w:p w14:paraId="39D81115">
      <w:pPr>
        <w:pStyle w:val="290"/>
        <w:numPr>
          <w:ilvl w:val="3"/>
          <w:numId w:val="33"/>
        </w:numPr>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单点结构应进行在位操作、极端工况以及建造、集成、拖航和安装工况的总体强度分析。高应力区的结构应进行局部结构</w:t>
      </w:r>
      <w:r>
        <w:rPr>
          <w:rFonts w:hint="eastAsia" w:ascii="Times New Roman" w:hAnsi="Times New Roman" w:cs="Times New Roman" w:eastAsiaTheme="minorEastAsia"/>
          <w:color w:val="auto"/>
          <w:highlight w:val="none"/>
          <w:lang w:val="en-US" w:eastAsia="zh-CN"/>
        </w:rPr>
        <w:t>强度</w:t>
      </w:r>
      <w:r>
        <w:rPr>
          <w:rFonts w:hint="default" w:ascii="Times New Roman" w:hAnsi="Times New Roman" w:cs="Times New Roman" w:eastAsiaTheme="minorEastAsia"/>
          <w:color w:val="auto"/>
          <w:highlight w:val="none"/>
        </w:rPr>
        <w:t>分析。</w:t>
      </w:r>
    </w:p>
    <w:p w14:paraId="47F8A9B7">
      <w:pPr>
        <w:pStyle w:val="290"/>
        <w:numPr>
          <w:ilvl w:val="3"/>
          <w:numId w:val="33"/>
        </w:numPr>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单点结构应基于所在场址的环境数据进行疲劳分析，疲劳安全系数</w:t>
      </w:r>
      <w:r>
        <w:rPr>
          <w:rFonts w:hint="eastAsia" w:ascii="Times New Roman" w:hAnsi="Times New Roman" w:cs="Times New Roman" w:eastAsiaTheme="minorEastAsia"/>
          <w:color w:val="auto"/>
          <w:highlight w:val="none"/>
          <w:lang w:val="en-US" w:eastAsia="zh-CN"/>
        </w:rPr>
        <w:t>应不小于</w:t>
      </w:r>
      <w:r>
        <w:rPr>
          <w:rFonts w:hint="default" w:ascii="Times New Roman" w:hAnsi="Times New Roman" w:cs="Times New Roman" w:eastAsiaTheme="minorEastAsia"/>
          <w:color w:val="auto"/>
          <w:highlight w:val="none"/>
        </w:rPr>
        <w:t>：</w:t>
      </w:r>
    </w:p>
    <w:p w14:paraId="447ABC3E">
      <w:pPr>
        <w:pStyle w:val="290"/>
        <w:numPr>
          <w:ilvl w:val="0"/>
          <w:numId w:val="39"/>
        </w:numPr>
        <w:tabs>
          <w:tab w:val="left" w:pos="1260"/>
        </w:tabs>
        <w:spacing w:before="0" w:beforeLines="0" w:after="0" w:afterLines="0"/>
        <w:ind w:left="436"/>
        <w:jc w:val="both"/>
        <w:outlineLvl w:val="9"/>
        <w:rPr>
          <w:rFonts w:hint="eastAsia" w:ascii="宋体" w:hAnsi="宋体" w:eastAsia="宋体" w:cs="宋体"/>
          <w:color w:val="auto"/>
          <w:highlight w:val="none"/>
        </w:rPr>
      </w:pPr>
      <w:r>
        <w:rPr>
          <w:rFonts w:hint="default" w:ascii="Times New Roman" w:hAnsi="Times New Roman" w:cs="Times New Roman" w:eastAsiaTheme="minorEastAsia"/>
          <w:color w:val="auto"/>
          <w:highlight w:val="none"/>
        </w:rPr>
        <w:t>可检查</w:t>
      </w:r>
      <w:r>
        <w:rPr>
          <w:rFonts w:hint="eastAsia" w:ascii="Times New Roman" w:hAnsi="Times New Roman" w:cs="Times New Roman" w:eastAsiaTheme="minorEastAsia"/>
          <w:color w:val="auto"/>
          <w:highlight w:val="none"/>
          <w:lang w:val="en-US" w:eastAsia="zh-CN"/>
        </w:rPr>
        <w:t>区域</w:t>
      </w:r>
      <w:r>
        <w:rPr>
          <w:rFonts w:hint="default" w:ascii="Times New Roman" w:hAnsi="Times New Roman" w:cs="Times New Roman" w:eastAsiaTheme="minorEastAsia"/>
          <w:color w:val="auto"/>
          <w:highlight w:val="none"/>
        </w:rPr>
        <w:t>（不包括水</w:t>
      </w:r>
      <w:r>
        <w:rPr>
          <w:rFonts w:hint="eastAsia" w:ascii="宋体" w:hAnsi="宋体" w:eastAsia="宋体" w:cs="宋体"/>
          <w:color w:val="auto"/>
          <w:highlight w:val="none"/>
        </w:rPr>
        <w:t>下区域）：3.0；</w:t>
      </w:r>
    </w:p>
    <w:p w14:paraId="1E2960AD">
      <w:pPr>
        <w:pStyle w:val="290"/>
        <w:numPr>
          <w:ilvl w:val="0"/>
          <w:numId w:val="39"/>
        </w:numPr>
        <w:spacing w:before="0" w:beforeLines="0" w:after="0" w:afterLines="0"/>
        <w:ind w:left="436"/>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不可检查</w:t>
      </w:r>
      <w:r>
        <w:rPr>
          <w:rFonts w:hint="eastAsia" w:ascii="宋体" w:hAnsi="宋体" w:eastAsia="宋体" w:cs="宋体"/>
          <w:color w:val="auto"/>
          <w:highlight w:val="none"/>
          <w:lang w:val="en-US" w:eastAsia="zh-CN"/>
        </w:rPr>
        <w:t>区域</w:t>
      </w:r>
      <w:r>
        <w:rPr>
          <w:rFonts w:hint="eastAsia" w:ascii="宋体" w:hAnsi="宋体" w:eastAsia="宋体" w:cs="宋体"/>
          <w:color w:val="auto"/>
          <w:highlight w:val="none"/>
        </w:rPr>
        <w:t>和关键区域：10.0。</w:t>
      </w:r>
    </w:p>
    <w:p w14:paraId="0C4F691F">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滑环支撑结构用于支撑滑环堆栈、</w:t>
      </w:r>
      <w:r>
        <w:rPr>
          <w:rFonts w:hint="eastAsia" w:ascii="Times New Roman" w:hAnsi="Times New Roman" w:cs="Times New Roman" w:eastAsiaTheme="minorEastAsia"/>
          <w:color w:val="auto"/>
          <w:highlight w:val="none"/>
          <w:lang w:eastAsia="zh-CN"/>
        </w:rPr>
        <w:t>管道</w:t>
      </w:r>
      <w:r>
        <w:rPr>
          <w:rFonts w:hint="default" w:ascii="Times New Roman" w:hAnsi="Times New Roman" w:cs="Times New Roman" w:eastAsiaTheme="minorEastAsia"/>
          <w:color w:val="auto"/>
          <w:highlight w:val="none"/>
        </w:rPr>
        <w:t>和电缆，滑环支撑结构应设计为开敞式。</w:t>
      </w:r>
    </w:p>
    <w:p w14:paraId="433DE578">
      <w:pPr>
        <w:pStyle w:val="261"/>
        <w:spacing w:before="156" w:after="156"/>
        <w:outlineLvl w:val="2"/>
        <w:rPr>
          <w:rFonts w:hint="default" w:ascii="Times New Roman" w:hAnsi="Times New Roman" w:cs="Times New Roman"/>
          <w:color w:val="auto"/>
          <w:highlight w:val="none"/>
        </w:rPr>
      </w:pPr>
      <w:bookmarkStart w:id="508" w:name="_Toc32025"/>
      <w:bookmarkStart w:id="509" w:name="_Toc23876"/>
      <w:bookmarkStart w:id="510" w:name="_Toc22734"/>
      <w:bookmarkStart w:id="511" w:name="_Toc22668"/>
      <w:bookmarkStart w:id="512" w:name="_Toc27087"/>
      <w:bookmarkStart w:id="513" w:name="_Toc4201"/>
      <w:bookmarkStart w:id="514" w:name="_Toc7388"/>
      <w:bookmarkStart w:id="515" w:name="_Toc22664"/>
      <w:bookmarkStart w:id="516" w:name="_Toc95"/>
      <w:r>
        <w:rPr>
          <w:rFonts w:hint="default" w:ascii="Times New Roman" w:hAnsi="Times New Roman" w:cs="Times New Roman"/>
          <w:color w:val="auto"/>
          <w:highlight w:val="none"/>
        </w:rPr>
        <w:t>物流输送系统</w:t>
      </w:r>
      <w:bookmarkEnd w:id="508"/>
      <w:bookmarkEnd w:id="509"/>
      <w:bookmarkEnd w:id="510"/>
      <w:bookmarkEnd w:id="511"/>
      <w:bookmarkEnd w:id="512"/>
      <w:bookmarkEnd w:id="513"/>
      <w:bookmarkEnd w:id="514"/>
      <w:bookmarkEnd w:id="515"/>
      <w:bookmarkEnd w:id="516"/>
    </w:p>
    <w:p w14:paraId="78608D27">
      <w:pPr>
        <w:pStyle w:val="290"/>
        <w:numPr>
          <w:ilvl w:val="-1"/>
          <w:numId w:val="0"/>
        </w:numPr>
        <w:spacing w:before="0" w:beforeLines="0" w:after="0" w:afterLines="0"/>
        <w:ind w:firstLine="420" w:firstLineChars="200"/>
        <w:jc w:val="both"/>
        <w:outlineLvl w:val="9"/>
        <w:rPr>
          <w:rFonts w:hint="eastAsia" w:ascii="Times New Roman" w:hAnsi="Times New Roman" w:cs="Times New Roman" w:eastAsiaTheme="minorEastAsia"/>
          <w:color w:val="auto"/>
          <w:highlight w:val="none"/>
          <w:lang w:eastAsia="zh-CN"/>
        </w:rPr>
      </w:pPr>
      <w:r>
        <w:rPr>
          <w:rFonts w:hint="eastAsia" w:ascii="Times New Roman" w:hAnsi="Times New Roman" w:cs="Times New Roman" w:eastAsiaTheme="minorEastAsia"/>
          <w:color w:val="auto"/>
          <w:highlight w:val="none"/>
          <w:lang w:val="en-US" w:eastAsia="zh-CN"/>
        </w:rPr>
        <w:t>物流</w:t>
      </w:r>
      <w:r>
        <w:rPr>
          <w:rFonts w:hint="default" w:ascii="Times New Roman" w:hAnsi="Times New Roman" w:cs="Times New Roman" w:eastAsiaTheme="minorEastAsia"/>
          <w:color w:val="auto"/>
          <w:highlight w:val="none"/>
        </w:rPr>
        <w:t>输送系统设施及管道的压力等级应满足物流输送工艺要求，并根据工艺设计参数确定管道壁厚等信息</w:t>
      </w:r>
      <w:r>
        <w:rPr>
          <w:rFonts w:hint="eastAsia" w:ascii="Times New Roman" w:hAnsi="Times New Roman" w:cs="Times New Roman" w:eastAsiaTheme="minorEastAsia"/>
          <w:color w:val="auto"/>
          <w:highlight w:val="none"/>
          <w:lang w:eastAsia="zh-CN"/>
        </w:rPr>
        <w:t>。</w:t>
      </w:r>
    </w:p>
    <w:p w14:paraId="4EC6C922">
      <w:pPr>
        <w:pStyle w:val="261"/>
        <w:spacing w:before="156" w:after="156"/>
        <w:outlineLvl w:val="2"/>
        <w:rPr>
          <w:rFonts w:hint="default" w:ascii="Times New Roman" w:hAnsi="Times New Roman" w:cs="Times New Roman"/>
          <w:color w:val="auto"/>
          <w:highlight w:val="none"/>
        </w:rPr>
      </w:pPr>
      <w:bookmarkStart w:id="517" w:name="_Toc7137"/>
      <w:bookmarkStart w:id="518" w:name="_Toc13402"/>
      <w:bookmarkStart w:id="519" w:name="_Toc4651"/>
      <w:bookmarkStart w:id="520" w:name="_Toc13504"/>
      <w:bookmarkStart w:id="521" w:name="_Toc29094"/>
      <w:bookmarkStart w:id="522" w:name="_Toc21468"/>
      <w:bookmarkStart w:id="523" w:name="_Toc25046"/>
      <w:bookmarkStart w:id="524" w:name="_Toc239"/>
      <w:bookmarkStart w:id="525" w:name="_Toc6473"/>
      <w:r>
        <w:rPr>
          <w:rFonts w:hint="default" w:ascii="Times New Roman" w:hAnsi="Times New Roman" w:cs="Times New Roman"/>
          <w:color w:val="auto"/>
          <w:highlight w:val="none"/>
        </w:rPr>
        <w:t>滑环系统</w:t>
      </w:r>
      <w:bookmarkEnd w:id="517"/>
      <w:bookmarkEnd w:id="518"/>
      <w:bookmarkEnd w:id="519"/>
      <w:bookmarkEnd w:id="520"/>
      <w:bookmarkEnd w:id="521"/>
      <w:bookmarkEnd w:id="522"/>
      <w:bookmarkEnd w:id="523"/>
      <w:bookmarkEnd w:id="524"/>
      <w:bookmarkEnd w:id="525"/>
    </w:p>
    <w:p w14:paraId="052E1D78">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生产滑环应在设计压力下，允许滑环外壳主结构相对于固定或锚定内轴结构自由转动而不发生重大泄漏，保证生产物流在转动中进行输送</w:t>
      </w:r>
      <w:r>
        <w:rPr>
          <w:rFonts w:hint="default" w:ascii="Times New Roman" w:hAnsi="Times New Roman" w:cs="Times New Roman" w:eastAsiaTheme="minorEastAsia"/>
          <w:color w:val="auto"/>
          <w:highlight w:val="none"/>
          <w:lang w:eastAsia="zh-CN"/>
        </w:rPr>
        <w:t>。</w:t>
      </w:r>
    </w:p>
    <w:p w14:paraId="38B08CC8">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生产滑环设计应满足输送介质组分、操作温度、操作压力</w:t>
      </w:r>
      <w:r>
        <w:rPr>
          <w:rFonts w:hint="eastAsia" w:ascii="Times New Roman" w:hAnsi="Times New Roman" w:cs="Times New Roman" w:eastAsiaTheme="minorEastAsia"/>
          <w:color w:val="auto"/>
          <w:highlight w:val="none"/>
          <w:lang w:val="en-US" w:eastAsia="zh-CN"/>
        </w:rPr>
        <w:t>和</w:t>
      </w:r>
      <w:r>
        <w:rPr>
          <w:rFonts w:hint="default" w:ascii="Times New Roman" w:hAnsi="Times New Roman" w:cs="Times New Roman" w:eastAsiaTheme="minorEastAsia"/>
          <w:color w:val="auto"/>
          <w:highlight w:val="none"/>
        </w:rPr>
        <w:t>输量要求，设计温度应不低于上游</w:t>
      </w:r>
      <w:r>
        <w:rPr>
          <w:rFonts w:hint="eastAsia" w:ascii="Times New Roman" w:hAnsi="Times New Roman" w:cs="Times New Roman" w:eastAsiaTheme="minorEastAsia"/>
          <w:color w:val="auto"/>
          <w:highlight w:val="none"/>
          <w:lang w:val="en-US" w:eastAsia="zh-CN"/>
        </w:rPr>
        <w:t>相连</w:t>
      </w:r>
      <w:r>
        <w:rPr>
          <w:rFonts w:hint="default" w:ascii="Times New Roman" w:hAnsi="Times New Roman" w:cs="Times New Roman" w:eastAsiaTheme="minorEastAsia"/>
          <w:color w:val="auto"/>
          <w:highlight w:val="none"/>
        </w:rPr>
        <w:t>海管或者设备的设计温度。</w:t>
      </w:r>
    </w:p>
    <w:p w14:paraId="167B475C">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中/高压电滑环的数量、型式、额定电压、额定电流、短路容量</w:t>
      </w:r>
      <w:r>
        <w:rPr>
          <w:rFonts w:hint="eastAsia" w:ascii="Times New Roman" w:hAnsi="Times New Roman" w:cs="Times New Roman" w:eastAsiaTheme="minorEastAsia"/>
          <w:color w:val="auto"/>
          <w:highlight w:val="none"/>
          <w:lang w:val="en-US" w:eastAsia="zh-CN"/>
        </w:rPr>
        <w:t>等</w:t>
      </w:r>
      <w:r>
        <w:rPr>
          <w:rFonts w:hint="default" w:ascii="Times New Roman" w:hAnsi="Times New Roman" w:cs="Times New Roman" w:eastAsiaTheme="minorEastAsia"/>
          <w:color w:val="auto"/>
          <w:highlight w:val="none"/>
        </w:rPr>
        <w:t>应满足</w:t>
      </w:r>
      <w:r>
        <w:rPr>
          <w:rFonts w:hint="eastAsia" w:ascii="Times New Roman" w:hAnsi="Times New Roman" w:cs="Times New Roman" w:eastAsiaTheme="minorEastAsia"/>
          <w:color w:val="auto"/>
          <w:highlight w:val="none"/>
          <w:lang w:val="en-US" w:eastAsia="zh-CN"/>
        </w:rPr>
        <w:t>输送</w:t>
      </w:r>
      <w:r>
        <w:rPr>
          <w:rFonts w:hint="default" w:ascii="Times New Roman" w:hAnsi="Times New Roman" w:cs="Times New Roman" w:eastAsiaTheme="minorEastAsia"/>
          <w:color w:val="auto"/>
          <w:highlight w:val="none"/>
        </w:rPr>
        <w:t>的功率需求，对于低压电滑环应满足单点系统内低压用电设备的需求，且</w:t>
      </w:r>
      <w:r>
        <w:rPr>
          <w:rFonts w:hint="eastAsia" w:ascii="Times New Roman" w:hAnsi="Times New Roman" w:cs="Times New Roman" w:eastAsiaTheme="minorEastAsia"/>
          <w:color w:val="auto"/>
          <w:highlight w:val="none"/>
          <w:lang w:val="en-US" w:eastAsia="zh-CN"/>
        </w:rPr>
        <w:t>均</w:t>
      </w:r>
      <w:r>
        <w:rPr>
          <w:rFonts w:hint="default" w:ascii="Times New Roman" w:hAnsi="Times New Roman" w:cs="Times New Roman" w:eastAsiaTheme="minorEastAsia"/>
          <w:color w:val="auto"/>
          <w:highlight w:val="none"/>
        </w:rPr>
        <w:t>应设置公共接地通道。电滑环防爆等级、防护等级应满足所在</w:t>
      </w:r>
      <w:r>
        <w:rPr>
          <w:rFonts w:hint="eastAsia" w:ascii="Times New Roman" w:hAnsi="Times New Roman" w:cs="Times New Roman" w:eastAsiaTheme="minorEastAsia"/>
          <w:color w:val="auto"/>
          <w:highlight w:val="none"/>
          <w:lang w:val="en-US" w:eastAsia="zh-CN"/>
        </w:rPr>
        <w:t>危险</w:t>
      </w:r>
      <w:r>
        <w:rPr>
          <w:rFonts w:hint="default" w:ascii="Times New Roman" w:hAnsi="Times New Roman" w:cs="Times New Roman" w:eastAsiaTheme="minorEastAsia"/>
          <w:color w:val="auto"/>
          <w:highlight w:val="none"/>
        </w:rPr>
        <w:t>区域的要求。</w:t>
      </w:r>
    </w:p>
    <w:p w14:paraId="726ED542">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w w:val="96"/>
          <w:sz w:val="21"/>
          <w:highlight w:val="none"/>
        </w:rPr>
        <w:t>公用滑环的设计压力应满足各工况操作压力需求，设计温度应不低于上游相连设备的设计温度。</w:t>
      </w:r>
    </w:p>
    <w:p w14:paraId="1EF0D827">
      <w:pPr>
        <w:pStyle w:val="261"/>
        <w:spacing w:before="156" w:beforeLines="0" w:after="156" w:afterLines="0"/>
        <w:outlineLvl w:val="2"/>
        <w:rPr>
          <w:rFonts w:hint="default" w:ascii="Times New Roman" w:hAnsi="Times New Roman" w:cs="Times New Roman"/>
          <w:color w:val="auto"/>
          <w:highlight w:val="none"/>
        </w:rPr>
      </w:pPr>
      <w:bookmarkStart w:id="526" w:name="_Toc1470"/>
      <w:bookmarkStart w:id="527" w:name="_Toc24616"/>
      <w:bookmarkStart w:id="528" w:name="_Toc22783"/>
      <w:bookmarkStart w:id="529" w:name="_Toc4663"/>
      <w:bookmarkStart w:id="530" w:name="_Toc8244"/>
      <w:bookmarkStart w:id="531" w:name="_Toc22916"/>
      <w:bookmarkStart w:id="532" w:name="_Toc9143"/>
      <w:bookmarkStart w:id="533" w:name="_Toc15542"/>
      <w:r>
        <w:rPr>
          <w:rFonts w:hint="default" w:ascii="Times New Roman" w:hAnsi="Times New Roman" w:cs="Times New Roman"/>
          <w:color w:val="auto"/>
          <w:highlight w:val="none"/>
        </w:rPr>
        <w:t>消防系统</w:t>
      </w:r>
      <w:bookmarkEnd w:id="526"/>
      <w:bookmarkEnd w:id="527"/>
      <w:bookmarkEnd w:id="528"/>
      <w:bookmarkEnd w:id="529"/>
      <w:bookmarkEnd w:id="530"/>
      <w:bookmarkEnd w:id="531"/>
      <w:bookmarkEnd w:id="532"/>
      <w:bookmarkEnd w:id="533"/>
    </w:p>
    <w:p w14:paraId="4E743276">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与单点转塔相关的工作区域应明确危险区域划分等级，并配置相应的可燃气体探测装置、消防喷淋装置、移动式灭火装置、失火隔离装置等消防安全系统。</w:t>
      </w:r>
    </w:p>
    <w:p w14:paraId="7189A06C">
      <w:pPr>
        <w:pStyle w:val="290"/>
        <w:spacing w:before="0" w:beforeLines="0" w:after="0" w:afterLines="0"/>
        <w:jc w:val="both"/>
        <w:outlineLvl w:val="9"/>
        <w:rPr>
          <w:rFonts w:hint="default"/>
          <w:color w:val="auto"/>
          <w:highlight w:val="none"/>
        </w:rPr>
      </w:pPr>
      <w:r>
        <w:rPr>
          <w:rFonts w:hint="default" w:ascii="Times New Roman" w:hAnsi="Times New Roman" w:cs="Times New Roman" w:eastAsiaTheme="minorEastAsia"/>
          <w:color w:val="auto"/>
          <w:highlight w:val="none"/>
        </w:rPr>
        <w:t>单点转塔应配备独立运行的消防系统</w:t>
      </w:r>
      <w:r>
        <w:rPr>
          <w:rFonts w:hint="default" w:ascii="Times New Roman" w:hAnsi="Times New Roman" w:cs="Times New Roman" w:eastAsiaTheme="minorEastAsia"/>
          <w:strike w:val="0"/>
          <w:color w:val="auto"/>
          <w:highlight w:val="none"/>
        </w:rPr>
        <w:t>。</w:t>
      </w:r>
    </w:p>
    <w:p w14:paraId="7B3FCE7F">
      <w:pPr>
        <w:pStyle w:val="290"/>
        <w:spacing w:before="0" w:beforeLines="0" w:after="0" w:afterLines="0"/>
        <w:jc w:val="both"/>
        <w:outlineLvl w:val="9"/>
        <w:rPr>
          <w:rFonts w:hint="default"/>
          <w:color w:val="auto"/>
          <w:highlight w:val="none"/>
        </w:rPr>
      </w:pPr>
      <w:r>
        <w:rPr>
          <w:rFonts w:hint="default" w:ascii="Times New Roman" w:hAnsi="Times New Roman" w:cs="Times New Roman" w:eastAsiaTheme="minorEastAsia"/>
          <w:color w:val="auto"/>
          <w:highlight w:val="none"/>
        </w:rPr>
        <w:t>单点系泊装置舱应设置固定式泡沫灭火系统或固定式</w:t>
      </w:r>
      <w:r>
        <w:rPr>
          <w:rFonts w:hint="eastAsia" w:ascii="Times New Roman" w:hAnsi="Times New Roman" w:cs="Times New Roman" w:eastAsiaTheme="minorEastAsia"/>
          <w:color w:val="auto"/>
          <w:highlight w:val="none"/>
          <w:lang w:eastAsia="zh-CN"/>
        </w:rPr>
        <w:t>雨淋</w:t>
      </w:r>
      <w:r>
        <w:rPr>
          <w:rFonts w:hint="default" w:ascii="Times New Roman" w:hAnsi="Times New Roman" w:cs="Times New Roman" w:eastAsiaTheme="minorEastAsia"/>
          <w:color w:val="auto"/>
          <w:highlight w:val="none"/>
        </w:rPr>
        <w:t>灭火系统，且应设置水/泡沫两用消防水枪对该舱进行保护。</w:t>
      </w:r>
    </w:p>
    <w:p w14:paraId="39010871">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单点转塔区域应定期检查消防系统工作状态，并及时补充消防介质。</w:t>
      </w:r>
    </w:p>
    <w:p w14:paraId="3C20303E">
      <w:pPr>
        <w:pStyle w:val="261"/>
        <w:spacing w:before="156" w:beforeLines="0" w:after="156" w:afterLines="0"/>
        <w:outlineLvl w:val="2"/>
        <w:rPr>
          <w:rFonts w:hint="default" w:ascii="Times New Roman" w:hAnsi="Times New Roman" w:cs="Times New Roman"/>
          <w:color w:val="auto"/>
          <w:highlight w:val="none"/>
        </w:rPr>
      </w:pPr>
      <w:bookmarkStart w:id="534" w:name="_Toc26532"/>
      <w:bookmarkStart w:id="535" w:name="_Toc5133"/>
      <w:bookmarkStart w:id="536" w:name="_Toc421"/>
      <w:bookmarkStart w:id="537" w:name="_Toc26224"/>
      <w:bookmarkStart w:id="538" w:name="_Toc7995"/>
      <w:bookmarkStart w:id="539" w:name="_Toc25618"/>
      <w:bookmarkStart w:id="540" w:name="_Toc13769"/>
      <w:bookmarkStart w:id="541" w:name="_Toc26993"/>
      <w:r>
        <w:rPr>
          <w:rFonts w:hint="default" w:ascii="Times New Roman" w:hAnsi="Times New Roman" w:cs="Times New Roman"/>
          <w:color w:val="auto"/>
          <w:highlight w:val="none"/>
        </w:rPr>
        <w:t>电气系统</w:t>
      </w:r>
      <w:bookmarkEnd w:id="534"/>
      <w:bookmarkEnd w:id="535"/>
      <w:bookmarkEnd w:id="536"/>
      <w:bookmarkEnd w:id="537"/>
      <w:bookmarkEnd w:id="538"/>
      <w:bookmarkEnd w:id="539"/>
      <w:bookmarkEnd w:id="540"/>
      <w:bookmarkEnd w:id="541"/>
    </w:p>
    <w:p w14:paraId="79440148">
      <w:pPr>
        <w:pStyle w:val="327"/>
        <w:ind w:left="0"/>
        <w:jc w:val="both"/>
        <w:rPr>
          <w:rFonts w:hint="eastAsia" w:ascii="宋体" w:hAnsi="宋体" w:eastAsia="宋体" w:cs="宋体"/>
          <w:color w:val="auto"/>
          <w:highlight w:val="none"/>
        </w:rPr>
      </w:pPr>
      <w:r>
        <w:rPr>
          <w:rFonts w:hint="default" w:ascii="宋体" w:hAnsi="宋体" w:eastAsia="宋体" w:cs="宋体"/>
          <w:color w:val="auto"/>
          <w:highlight w:val="none"/>
        </w:rPr>
        <w:t>对于单点转塔区</w:t>
      </w:r>
      <w:r>
        <w:rPr>
          <w:rFonts w:hint="eastAsia" w:ascii="宋体" w:hAnsi="宋体" w:eastAsia="宋体" w:cs="宋体"/>
          <w:color w:val="auto"/>
          <w:highlight w:val="none"/>
        </w:rPr>
        <w:t>域内用于FPSO向周边平台实现电力输</w:t>
      </w:r>
      <w:r>
        <w:rPr>
          <w:rFonts w:hint="eastAsia" w:ascii="宋体" w:hAnsi="宋体" w:eastAsia="宋体" w:cs="宋体"/>
          <w:color w:val="auto"/>
          <w:highlight w:val="none"/>
          <w:lang w:val="en-US" w:eastAsia="zh-CN"/>
        </w:rPr>
        <w:t>送</w:t>
      </w:r>
      <w:r>
        <w:rPr>
          <w:rFonts w:hint="eastAsia" w:ascii="宋体" w:hAnsi="宋体" w:eastAsia="宋体" w:cs="宋体"/>
          <w:color w:val="auto"/>
          <w:highlight w:val="none"/>
        </w:rPr>
        <w:t>的装置或系统，如电滑环和附属高压接线箱、线缆等，</w:t>
      </w:r>
      <w:r>
        <w:rPr>
          <w:rFonts w:hint="eastAsia" w:ascii="宋体" w:hAnsi="宋体" w:eastAsia="宋体" w:cs="宋体"/>
          <w:color w:val="auto"/>
          <w:highlight w:val="none"/>
          <w:lang w:val="en-US" w:eastAsia="zh-CN"/>
        </w:rPr>
        <w:t>电气设备额定电压</w:t>
      </w:r>
      <w:r>
        <w:rPr>
          <w:rFonts w:hint="eastAsia" w:ascii="宋体" w:hAnsi="宋体" w:eastAsia="宋体" w:cs="宋体"/>
          <w:color w:val="auto"/>
          <w:highlight w:val="none"/>
        </w:rPr>
        <w:t>超过1</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kV但不超过15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kV，应符合防爆电气</w:t>
      </w:r>
      <w:r>
        <w:rPr>
          <w:rFonts w:hint="eastAsia" w:ascii="宋体" w:hAnsi="宋体" w:eastAsia="宋体" w:cs="宋体"/>
          <w:color w:val="auto"/>
          <w:highlight w:val="none"/>
          <w:lang w:val="en-US" w:eastAsia="zh-CN"/>
        </w:rPr>
        <w:t>安全</w:t>
      </w:r>
      <w:r>
        <w:rPr>
          <w:rFonts w:hint="eastAsia" w:ascii="宋体" w:hAnsi="宋体" w:eastAsia="宋体" w:cs="宋体"/>
          <w:color w:val="auto"/>
          <w:highlight w:val="none"/>
        </w:rPr>
        <w:t>要求。</w:t>
      </w:r>
    </w:p>
    <w:p w14:paraId="0B3C2FC8">
      <w:pPr>
        <w:pStyle w:val="327"/>
        <w:ind w:left="0"/>
        <w:jc w:val="both"/>
        <w:rPr>
          <w:rFonts w:hint="eastAsia" w:ascii="宋体" w:hAnsi="宋体" w:eastAsia="宋体" w:cs="宋体"/>
          <w:color w:val="auto"/>
          <w:highlight w:val="none"/>
        </w:rPr>
      </w:pPr>
      <w:r>
        <w:rPr>
          <w:rFonts w:hint="eastAsia" w:ascii="宋体" w:hAnsi="宋体" w:eastAsia="宋体" w:cs="宋体"/>
          <w:color w:val="auto"/>
          <w:highlight w:val="none"/>
        </w:rPr>
        <w:t>对用于实现单点转塔自身功能的装置或电气，如绞车启动盘、液压站控制盘、滑环控制盘等，电压不超过1</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kV的，</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满足</w:t>
      </w:r>
      <w:r>
        <w:rPr>
          <w:rFonts w:hint="eastAsia" w:ascii="宋体" w:hAnsi="宋体" w:eastAsia="宋体" w:cs="宋体"/>
          <w:color w:val="auto"/>
          <w:highlight w:val="none"/>
          <w:lang w:val="en-US" w:eastAsia="zh-CN"/>
        </w:rPr>
        <w:t>以下要求：</w:t>
      </w:r>
    </w:p>
    <w:p w14:paraId="19BFB73B">
      <w:pPr>
        <w:pStyle w:val="305"/>
        <w:numPr>
          <w:ilvl w:val="0"/>
          <w:numId w:val="40"/>
        </w:numPr>
        <w:ind w:left="839" w:leftChars="0" w:hanging="419" w:firstLineChars="0"/>
        <w:rPr>
          <w:rFonts w:hint="default" w:ascii="宋体" w:hAnsi="宋体" w:cs="宋体"/>
          <w:color w:val="auto"/>
          <w:highlight w:val="none"/>
        </w:rPr>
      </w:pPr>
      <w:r>
        <w:rPr>
          <w:rFonts w:hint="eastAsia" w:ascii="宋体" w:hAnsi="宋体" w:cs="宋体"/>
          <w:color w:val="auto"/>
          <w:highlight w:val="none"/>
          <w:lang w:val="en-US" w:eastAsia="zh-CN"/>
        </w:rPr>
        <w:t>符合所在</w:t>
      </w:r>
      <w:r>
        <w:rPr>
          <w:rFonts w:hint="default" w:ascii="宋体" w:hAnsi="宋体" w:cs="宋体"/>
          <w:color w:val="auto"/>
          <w:highlight w:val="none"/>
        </w:rPr>
        <w:t>危险区防爆电气安全</w:t>
      </w:r>
      <w:r>
        <w:rPr>
          <w:rFonts w:hint="eastAsia" w:ascii="宋体" w:hAnsi="宋体" w:cs="宋体"/>
          <w:color w:val="auto"/>
          <w:highlight w:val="none"/>
          <w:lang w:val="en-US" w:eastAsia="zh-CN"/>
        </w:rPr>
        <w:t>要求</w:t>
      </w:r>
      <w:r>
        <w:rPr>
          <w:rFonts w:hint="default" w:ascii="宋体" w:hAnsi="宋体" w:cs="宋体"/>
          <w:color w:val="auto"/>
          <w:highlight w:val="none"/>
          <w:lang w:eastAsia="zh-CN"/>
        </w:rPr>
        <w:t>；</w:t>
      </w:r>
    </w:p>
    <w:p w14:paraId="7FEB6251">
      <w:pPr>
        <w:pStyle w:val="305"/>
        <w:numPr>
          <w:ilvl w:val="0"/>
          <w:numId w:val="40"/>
        </w:numPr>
        <w:ind w:left="839" w:leftChars="0" w:hanging="419" w:firstLineChars="0"/>
        <w:rPr>
          <w:rFonts w:hint="default" w:ascii="宋体" w:hAnsi="宋体" w:cs="宋体"/>
          <w:color w:val="auto"/>
          <w:highlight w:val="none"/>
        </w:rPr>
      </w:pPr>
      <w:r>
        <w:rPr>
          <w:rFonts w:hint="default" w:ascii="宋体" w:hAnsi="宋体" w:cs="宋体"/>
          <w:color w:val="auto"/>
          <w:highlight w:val="none"/>
        </w:rPr>
        <w:t>配置应急电源，其供电范围满足转塔系统操作的最低要求。</w:t>
      </w:r>
    </w:p>
    <w:p w14:paraId="5E3266A8">
      <w:pPr>
        <w:pStyle w:val="261"/>
        <w:spacing w:before="156" w:beforeLines="0" w:after="156" w:afterLines="0"/>
        <w:outlineLvl w:val="2"/>
        <w:rPr>
          <w:rFonts w:hint="default" w:ascii="Times New Roman" w:hAnsi="Times New Roman" w:cs="Times New Roman"/>
          <w:color w:val="auto"/>
          <w:highlight w:val="none"/>
        </w:rPr>
      </w:pPr>
      <w:bookmarkStart w:id="542" w:name="_Toc27581"/>
      <w:bookmarkStart w:id="543" w:name="_Toc1250"/>
      <w:bookmarkStart w:id="544" w:name="_Toc7944"/>
      <w:bookmarkStart w:id="545" w:name="_Toc13760"/>
      <w:bookmarkStart w:id="546" w:name="_Toc28580"/>
      <w:bookmarkStart w:id="547" w:name="_Toc1940"/>
      <w:bookmarkStart w:id="548" w:name="_Toc2276"/>
      <w:bookmarkStart w:id="549" w:name="_Toc15382"/>
      <w:r>
        <w:rPr>
          <w:rFonts w:hint="default" w:ascii="Times New Roman" w:hAnsi="Times New Roman" w:cs="Times New Roman"/>
          <w:color w:val="auto"/>
          <w:highlight w:val="none"/>
        </w:rPr>
        <w:t>仪表</w:t>
      </w:r>
      <w:r>
        <w:rPr>
          <w:rFonts w:hint="eastAsia" w:ascii="Times New Roman" w:cs="Times New Roman"/>
          <w:color w:val="auto"/>
          <w:highlight w:val="none"/>
          <w:lang w:val="en-US" w:eastAsia="zh-CN"/>
        </w:rPr>
        <w:t>和</w:t>
      </w:r>
      <w:r>
        <w:rPr>
          <w:rFonts w:hint="default" w:ascii="Times New Roman" w:hAnsi="Times New Roman" w:cs="Times New Roman"/>
          <w:color w:val="auto"/>
          <w:highlight w:val="none"/>
        </w:rPr>
        <w:t>控制系统</w:t>
      </w:r>
      <w:bookmarkEnd w:id="542"/>
      <w:bookmarkEnd w:id="543"/>
      <w:bookmarkEnd w:id="544"/>
      <w:bookmarkEnd w:id="545"/>
      <w:bookmarkEnd w:id="546"/>
      <w:bookmarkEnd w:id="547"/>
      <w:bookmarkEnd w:id="548"/>
      <w:bookmarkEnd w:id="549"/>
    </w:p>
    <w:p w14:paraId="1968EC47">
      <w:pPr>
        <w:pStyle w:val="290"/>
        <w:numPr>
          <w:ilvl w:val="-1"/>
          <w:numId w:val="0"/>
        </w:numPr>
        <w:spacing w:beforeLines="0" w:afterLines="0"/>
        <w:ind w:firstLine="420" w:firstLineChars="200"/>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单点转塔系泊应设置</w:t>
      </w:r>
      <w:r>
        <w:rPr>
          <w:rFonts w:hint="eastAsia" w:ascii="Times New Roman" w:hAnsi="Times New Roman" w:cs="Times New Roman" w:eastAsiaTheme="minorEastAsia"/>
          <w:color w:val="auto"/>
          <w:highlight w:val="none"/>
          <w:lang w:val="en-US" w:eastAsia="zh-CN"/>
        </w:rPr>
        <w:t>仪表和</w:t>
      </w:r>
      <w:r>
        <w:rPr>
          <w:rFonts w:hint="default" w:ascii="Times New Roman" w:hAnsi="Times New Roman" w:cs="Times New Roman" w:eastAsiaTheme="minorEastAsia"/>
          <w:color w:val="auto"/>
          <w:highlight w:val="none"/>
        </w:rPr>
        <w:t>控制系统。</w:t>
      </w:r>
    </w:p>
    <w:p w14:paraId="5885B282">
      <w:pPr>
        <w:pStyle w:val="261"/>
        <w:spacing w:before="156" w:beforeLines="0" w:after="156" w:afterLines="0"/>
        <w:outlineLvl w:val="2"/>
        <w:rPr>
          <w:rFonts w:hint="default" w:ascii="Times New Roman" w:hAnsi="Times New Roman" w:eastAsia="黑体" w:cs="Times New Roman"/>
          <w:color w:val="auto"/>
          <w:highlight w:val="none"/>
        </w:rPr>
      </w:pPr>
      <w:bookmarkStart w:id="550" w:name="_Toc5216"/>
      <w:bookmarkStart w:id="551" w:name="_Toc4755"/>
      <w:bookmarkStart w:id="552" w:name="_Toc11507"/>
      <w:bookmarkStart w:id="553" w:name="_Toc8793"/>
      <w:bookmarkStart w:id="554" w:name="_Toc4186"/>
      <w:bookmarkStart w:id="555" w:name="_Toc15307"/>
      <w:bookmarkStart w:id="556" w:name="_Toc9206"/>
      <w:bookmarkStart w:id="557" w:name="_Toc1710"/>
      <w:r>
        <w:rPr>
          <w:rFonts w:hint="default" w:ascii="Times New Roman" w:hAnsi="Times New Roman" w:eastAsia="黑体" w:cs="Times New Roman"/>
          <w:color w:val="auto"/>
          <w:highlight w:val="none"/>
        </w:rPr>
        <w:t>暖通系统</w:t>
      </w:r>
      <w:bookmarkEnd w:id="550"/>
      <w:bookmarkEnd w:id="551"/>
      <w:bookmarkEnd w:id="552"/>
      <w:bookmarkEnd w:id="553"/>
      <w:bookmarkEnd w:id="554"/>
      <w:bookmarkEnd w:id="555"/>
      <w:bookmarkEnd w:id="556"/>
      <w:bookmarkEnd w:id="557"/>
    </w:p>
    <w:p w14:paraId="31727ADF">
      <w:pPr>
        <w:pStyle w:val="327"/>
        <w:ind w:left="0"/>
        <w:rPr>
          <w:rFonts w:hint="default" w:ascii="Times New Roman" w:hAnsi="Times New Roman" w:cs="Times New Roman"/>
          <w:color w:val="auto"/>
          <w:highlight w:val="none"/>
        </w:rPr>
      </w:pPr>
      <w:bookmarkStart w:id="558" w:name="_Toc8052"/>
      <w:bookmarkStart w:id="559" w:name="_Toc233"/>
      <w:bookmarkStart w:id="560" w:name="_Toc86064805"/>
      <w:r>
        <w:rPr>
          <w:rFonts w:hint="default" w:ascii="Times New Roman" w:hAnsi="Times New Roman" w:cs="Times New Roman"/>
          <w:color w:val="auto"/>
          <w:highlight w:val="none"/>
        </w:rPr>
        <w:t>单点</w:t>
      </w:r>
      <w:r>
        <w:rPr>
          <w:rFonts w:hint="eastAsia" w:ascii="Times New Roman" w:hAnsi="Times New Roman" w:cs="Times New Roman"/>
          <w:color w:val="auto"/>
          <w:highlight w:val="none"/>
          <w:lang w:val="en-US" w:eastAsia="zh-CN"/>
        </w:rPr>
        <w:t>的机器处所</w:t>
      </w:r>
      <w:r>
        <w:rPr>
          <w:rFonts w:hint="default" w:ascii="Times New Roman" w:hAnsi="Times New Roman" w:cs="Times New Roman"/>
          <w:color w:val="auto"/>
          <w:highlight w:val="none"/>
        </w:rPr>
        <w:t>应设置独立的通风系统。</w:t>
      </w:r>
    </w:p>
    <w:p w14:paraId="33BCFF6B">
      <w:pPr>
        <w:pStyle w:val="327"/>
        <w:ind w:left="0"/>
        <w:rPr>
          <w:rFonts w:hint="default" w:ascii="Times New Roman" w:hAnsi="Times New Roman" w:cs="Times New Roman" w:eastAsiaTheme="minorEastAsia"/>
          <w:color w:val="auto"/>
          <w:highlight w:val="none"/>
        </w:rPr>
      </w:pPr>
      <w:bookmarkStart w:id="561" w:name="_Toc11979"/>
      <w:bookmarkStart w:id="562" w:name="_Toc32433"/>
      <w:bookmarkStart w:id="563" w:name="_Toc489"/>
      <w:r>
        <w:rPr>
          <w:rFonts w:hint="default" w:ascii="Times New Roman" w:hAnsi="Times New Roman" w:cs="Times New Roman"/>
          <w:color w:val="auto"/>
          <w:highlight w:val="none"/>
        </w:rPr>
        <w:t>单点内设立通风系统的区域，其进风口应布置于非危险区</w:t>
      </w:r>
      <w:bookmarkEnd w:id="561"/>
      <w:bookmarkEnd w:id="562"/>
      <w:bookmarkEnd w:id="563"/>
      <w:bookmarkStart w:id="564" w:name="_Toc16415"/>
      <w:r>
        <w:rPr>
          <w:rFonts w:hint="default" w:ascii="Times New Roman" w:hAnsi="Times New Roman" w:cs="Times New Roman"/>
          <w:color w:val="auto"/>
          <w:highlight w:val="none"/>
        </w:rPr>
        <w:t>，排风口应朝向开敞空间，并应防止排出的空气被本系统或其他系统所吸入</w:t>
      </w:r>
      <w:r>
        <w:rPr>
          <w:rFonts w:hint="default" w:ascii="Times New Roman" w:hAnsi="Times New Roman" w:cs="Times New Roman" w:eastAsiaTheme="minorEastAsia"/>
          <w:color w:val="auto"/>
          <w:highlight w:val="none"/>
        </w:rPr>
        <w:t>。</w:t>
      </w:r>
      <w:bookmarkEnd w:id="564"/>
    </w:p>
    <w:p w14:paraId="2EF5D630">
      <w:pPr>
        <w:pStyle w:val="261"/>
        <w:spacing w:before="156" w:beforeLines="0" w:after="156" w:afterLines="0"/>
        <w:outlineLvl w:val="2"/>
        <w:rPr>
          <w:rFonts w:hint="default" w:ascii="Times New Roman" w:hAnsi="Times New Roman" w:cs="Times New Roman"/>
          <w:color w:val="auto"/>
          <w:highlight w:val="none"/>
        </w:rPr>
      </w:pPr>
      <w:bookmarkStart w:id="565" w:name="_Toc24545"/>
      <w:bookmarkStart w:id="566" w:name="_Toc13952"/>
      <w:bookmarkStart w:id="567" w:name="_Toc17533"/>
      <w:bookmarkStart w:id="568" w:name="_Toc29774"/>
      <w:bookmarkStart w:id="569" w:name="_Toc32643"/>
      <w:bookmarkStart w:id="570" w:name="_Toc11770"/>
      <w:bookmarkStart w:id="571" w:name="_Toc22677"/>
      <w:bookmarkStart w:id="572" w:name="_Toc16678"/>
      <w:r>
        <w:rPr>
          <w:rFonts w:hint="default" w:ascii="Times New Roman" w:hAnsi="Times New Roman" w:cs="Times New Roman"/>
          <w:color w:val="auto"/>
          <w:highlight w:val="none"/>
        </w:rPr>
        <w:t>通道与走道</w:t>
      </w:r>
      <w:bookmarkEnd w:id="558"/>
      <w:bookmarkEnd w:id="559"/>
      <w:bookmarkEnd w:id="560"/>
      <w:bookmarkEnd w:id="565"/>
      <w:bookmarkEnd w:id="566"/>
      <w:bookmarkEnd w:id="567"/>
      <w:bookmarkEnd w:id="568"/>
      <w:bookmarkEnd w:id="569"/>
      <w:bookmarkEnd w:id="570"/>
      <w:bookmarkEnd w:id="571"/>
      <w:bookmarkEnd w:id="572"/>
    </w:p>
    <w:p w14:paraId="62254165">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在单点的所有工作区域应配有平台、楼梯和走道以便于所有设备的维修和检查</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需要维修和检查的设备应设置操作平台。</w:t>
      </w:r>
    </w:p>
    <w:p w14:paraId="3403D95B">
      <w:pPr>
        <w:pStyle w:val="327"/>
        <w:ind w:left="0"/>
        <w:rPr>
          <w:rFonts w:hint="default" w:ascii="Times New Roman" w:hAnsi="Times New Roman" w:cs="Times New Roman" w:eastAsiaTheme="minorEastAsia"/>
          <w:color w:val="auto"/>
          <w:highlight w:val="none"/>
        </w:rPr>
      </w:pPr>
      <w:r>
        <w:rPr>
          <w:rFonts w:hint="default" w:ascii="Times New Roman" w:hAnsi="Times New Roman" w:cs="Times New Roman"/>
          <w:color w:val="auto"/>
          <w:highlight w:val="none"/>
        </w:rPr>
        <w:t>单点工作区域暴露边缘应提供防护结构，防护结构上的开孔不使用时应采取封闭保护措施</w:t>
      </w:r>
      <w:r>
        <w:rPr>
          <w:rFonts w:hint="default" w:ascii="Times New Roman" w:hAnsi="Times New Roman" w:cs="Times New Roman" w:eastAsiaTheme="minorEastAsia"/>
          <w:color w:val="auto"/>
          <w:highlight w:val="none"/>
        </w:rPr>
        <w:t>。</w:t>
      </w:r>
    </w:p>
    <w:p w14:paraId="5D7F33D0">
      <w:pPr>
        <w:pStyle w:val="260"/>
        <w:numPr>
          <w:ilvl w:val="1"/>
          <w:numId w:val="33"/>
        </w:numPr>
        <w:outlineLvl w:val="1"/>
        <w:rPr>
          <w:rFonts w:hint="default" w:ascii="Times New Roman" w:hAnsi="Times New Roman" w:cs="Times New Roman"/>
          <w:color w:val="auto"/>
          <w:highlight w:val="none"/>
        </w:rPr>
      </w:pPr>
      <w:bookmarkStart w:id="573" w:name="_Toc27109"/>
      <w:bookmarkStart w:id="574" w:name="_Toc24900"/>
      <w:bookmarkStart w:id="575" w:name="_Toc4777"/>
      <w:bookmarkStart w:id="576" w:name="_Toc5154"/>
      <w:bookmarkStart w:id="577" w:name="_Toc24625"/>
      <w:bookmarkStart w:id="578" w:name="_Toc31051"/>
      <w:bookmarkStart w:id="579" w:name="_Toc8354"/>
      <w:bookmarkStart w:id="580" w:name="_Toc31690"/>
      <w:bookmarkStart w:id="581" w:name="_Toc27502"/>
      <w:r>
        <w:rPr>
          <w:rFonts w:hint="default" w:ascii="Times New Roman" w:hAnsi="Times New Roman" w:cs="Times New Roman"/>
          <w:color w:val="auto"/>
          <w:highlight w:val="none"/>
        </w:rPr>
        <w:t>系泊监测</w:t>
      </w:r>
      <w:bookmarkEnd w:id="573"/>
      <w:bookmarkEnd w:id="574"/>
      <w:bookmarkEnd w:id="575"/>
      <w:bookmarkEnd w:id="576"/>
      <w:bookmarkEnd w:id="577"/>
      <w:bookmarkEnd w:id="578"/>
      <w:bookmarkEnd w:id="579"/>
      <w:bookmarkEnd w:id="580"/>
      <w:bookmarkEnd w:id="581"/>
    </w:p>
    <w:p w14:paraId="3702F32A">
      <w:pPr>
        <w:pStyle w:val="261"/>
        <w:spacing w:before="0" w:beforeLines="0" w:after="0" w:afterLines="0"/>
        <w:outlineLvl w:val="9"/>
        <w:rPr>
          <w:rFonts w:hint="eastAsia" w:ascii="宋体" w:hAnsi="宋体" w:eastAsia="宋体" w:cs="宋体"/>
          <w:color w:val="auto"/>
          <w:highlight w:val="none"/>
        </w:rPr>
      </w:pPr>
      <w:r>
        <w:rPr>
          <w:rFonts w:hint="default" w:ascii="Times New Roman" w:hAnsi="Times New Roman" w:cs="Times New Roman" w:eastAsiaTheme="minorEastAsia"/>
          <w:color w:val="auto"/>
          <w:highlight w:val="none"/>
        </w:rPr>
        <w:t>应配</w:t>
      </w:r>
      <w:r>
        <w:rPr>
          <w:rFonts w:hint="eastAsia" w:ascii="宋体" w:hAnsi="宋体" w:eastAsia="宋体" w:cs="宋体"/>
          <w:color w:val="auto"/>
          <w:highlight w:val="none"/>
        </w:rPr>
        <w:t>备FPSO运动状态监测设备，具备六自由度运动响应值的采集功能，并应具备将FPSO偏移等重要数据在台风期间传输至陆地远程操控中心的功能。</w:t>
      </w:r>
    </w:p>
    <w:p w14:paraId="29CF4CFA">
      <w:pPr>
        <w:pStyle w:val="261"/>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对于作业时需要调整系泊链/缆（如采用纤维缆）的FPSO，应配备经校准的系泊张力监测设备。</w:t>
      </w:r>
    </w:p>
    <w:p w14:paraId="1A1ADF12">
      <w:pPr>
        <w:pStyle w:val="261"/>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应配备监测系统集成机柜，集成机柜包括监测系统主机、数据采集、网络通信和网络安全设备及操作软件，其中操作软件界面</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至少具备采集数据的集中显示、存储、报警、回放等功能。</w:t>
      </w:r>
    </w:p>
    <w:p w14:paraId="015CAAC2">
      <w:pPr>
        <w:pStyle w:val="261"/>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应配置不间断电源供电，连续供电时间应</w:t>
      </w:r>
      <w:r>
        <w:rPr>
          <w:rFonts w:hint="eastAsia" w:ascii="宋体" w:hAnsi="宋体" w:eastAsia="宋体" w:cs="宋体"/>
          <w:color w:val="auto"/>
          <w:highlight w:val="none"/>
          <w:lang w:val="en-US" w:eastAsia="zh-CN"/>
        </w:rPr>
        <w:t>不小于</w:t>
      </w:r>
      <w:r>
        <w:rPr>
          <w:rFonts w:hint="eastAsia" w:ascii="宋体" w:hAnsi="宋体" w:eastAsia="宋体" w:cs="宋体"/>
          <w:color w:val="auto"/>
          <w:highlight w:val="none"/>
        </w:rPr>
        <w:t>FPSO的平均避台间隔时间，不间断电源的设备选型应满足所入级船级社规范安全要求。</w:t>
      </w:r>
    </w:p>
    <w:p w14:paraId="7E7A032D">
      <w:pPr>
        <w:pStyle w:val="259"/>
        <w:numPr>
          <w:ilvl w:val="0"/>
          <w:numId w:val="33"/>
        </w:numPr>
        <w:outlineLvl w:val="0"/>
        <w:rPr>
          <w:rFonts w:hint="default" w:ascii="Times New Roman" w:hAnsi="Times New Roman" w:cs="Times New Roman"/>
          <w:color w:val="auto"/>
          <w:highlight w:val="none"/>
        </w:rPr>
      </w:pPr>
      <w:bookmarkStart w:id="582" w:name="_Toc18871"/>
      <w:bookmarkStart w:id="583" w:name="_Toc183727674"/>
      <w:bookmarkStart w:id="584" w:name="_Toc12101"/>
      <w:bookmarkStart w:id="585" w:name="_Toc21050"/>
      <w:bookmarkStart w:id="586" w:name="_Toc17377"/>
      <w:bookmarkStart w:id="587" w:name="_Toc26410"/>
      <w:bookmarkStart w:id="588" w:name="_Toc28865"/>
      <w:bookmarkStart w:id="589" w:name="_Toc30228"/>
      <w:bookmarkStart w:id="590" w:name="_Toc9275"/>
      <w:bookmarkStart w:id="591" w:name="_Toc21005"/>
      <w:r>
        <w:rPr>
          <w:rFonts w:hint="default" w:ascii="Times New Roman" w:hAnsi="Times New Roman" w:cs="Times New Roman"/>
          <w:color w:val="auto"/>
          <w:highlight w:val="none"/>
        </w:rPr>
        <w:t>外舾装</w:t>
      </w:r>
      <w:bookmarkEnd w:id="582"/>
      <w:bookmarkEnd w:id="583"/>
      <w:bookmarkEnd w:id="584"/>
      <w:bookmarkEnd w:id="585"/>
      <w:bookmarkEnd w:id="586"/>
      <w:bookmarkEnd w:id="587"/>
      <w:bookmarkEnd w:id="588"/>
      <w:bookmarkEnd w:id="589"/>
      <w:bookmarkEnd w:id="590"/>
      <w:bookmarkEnd w:id="591"/>
    </w:p>
    <w:p w14:paraId="788C2343">
      <w:pPr>
        <w:pStyle w:val="260"/>
        <w:numPr>
          <w:ilvl w:val="1"/>
          <w:numId w:val="33"/>
        </w:numPr>
        <w:outlineLvl w:val="1"/>
        <w:rPr>
          <w:rFonts w:hint="default" w:ascii="Times New Roman" w:hAnsi="Times New Roman" w:cs="Times New Roman"/>
          <w:color w:val="auto"/>
          <w:highlight w:val="none"/>
        </w:rPr>
      </w:pPr>
      <w:bookmarkStart w:id="592" w:name="_Toc6969"/>
      <w:bookmarkStart w:id="593" w:name="_Toc16385"/>
      <w:bookmarkStart w:id="594" w:name="_Toc18068"/>
      <w:bookmarkStart w:id="595" w:name="_Toc183727676"/>
      <w:bookmarkStart w:id="596" w:name="_Toc3083"/>
      <w:bookmarkStart w:id="597" w:name="_Toc27369"/>
      <w:bookmarkStart w:id="598" w:name="_Toc29163"/>
      <w:bookmarkStart w:id="599" w:name="_Toc8648"/>
      <w:bookmarkStart w:id="600" w:name="_Toc8250"/>
      <w:bookmarkStart w:id="601" w:name="_Toc30588"/>
      <w:r>
        <w:rPr>
          <w:rFonts w:hint="default" w:ascii="Times New Roman" w:hAnsi="Times New Roman" w:cs="Times New Roman"/>
          <w:color w:val="auto"/>
          <w:highlight w:val="none"/>
        </w:rPr>
        <w:t>码头系泊设备</w:t>
      </w:r>
      <w:bookmarkEnd w:id="592"/>
      <w:bookmarkEnd w:id="593"/>
      <w:bookmarkEnd w:id="594"/>
      <w:bookmarkEnd w:id="595"/>
      <w:bookmarkEnd w:id="596"/>
      <w:bookmarkEnd w:id="597"/>
      <w:bookmarkEnd w:id="598"/>
      <w:bookmarkEnd w:id="599"/>
      <w:bookmarkEnd w:id="600"/>
      <w:bookmarkEnd w:id="601"/>
    </w:p>
    <w:p w14:paraId="617BEADE">
      <w:pPr>
        <w:pStyle w:val="261"/>
        <w:spacing w:before="0" w:beforeLines="0" w:after="0" w:afterLines="0"/>
        <w:jc w:val="both"/>
        <w:outlineLvl w:val="9"/>
        <w:rPr>
          <w:rFonts w:hint="eastAsia" w:ascii="宋体" w:hAnsi="宋体" w:eastAsia="宋体" w:cs="宋体"/>
          <w:color w:val="auto"/>
          <w:highlight w:val="none"/>
        </w:rPr>
      </w:pPr>
      <w:bookmarkStart w:id="602" w:name="_Toc6424"/>
      <w:bookmarkStart w:id="603" w:name="_Toc22199"/>
      <w:bookmarkStart w:id="604" w:name="_Toc8497"/>
      <w:bookmarkStart w:id="605" w:name="_Toc28691"/>
      <w:r>
        <w:rPr>
          <w:rFonts w:hint="default" w:ascii="Times New Roman" w:hAnsi="Times New Roman" w:cs="Times New Roman" w:eastAsiaTheme="minorEastAsia"/>
          <w:color w:val="auto"/>
          <w:highlight w:val="none"/>
        </w:rPr>
        <w:t>系泊索的数量和规格应按照船级社的规范要求配置，通过直接系泊分析的方法确定系泊索的布置和强度。系泊分析采用的最大风速、流速及攻角应按</w:t>
      </w:r>
      <w:r>
        <w:rPr>
          <w:rFonts w:hint="eastAsia" w:ascii="宋体" w:hAnsi="宋体" w:eastAsia="宋体" w:cs="宋体"/>
          <w:color w:val="auto"/>
          <w:highlight w:val="none"/>
        </w:rPr>
        <w:t>照OCIMF</w:t>
      </w:r>
      <w:r>
        <w:rPr>
          <w:rFonts w:hint="eastAsia" w:ascii="宋体" w:hAnsi="宋体" w:eastAsia="宋体" w:cs="宋体"/>
          <w:strike w:val="0"/>
          <w:color w:val="auto"/>
          <w:highlight w:val="none"/>
        </w:rPr>
        <w:t>《系泊设备指南》</w:t>
      </w:r>
      <w:r>
        <w:rPr>
          <w:rFonts w:hint="eastAsia" w:ascii="宋体" w:hAnsi="宋体" w:eastAsia="宋体" w:cs="宋体"/>
          <w:color w:val="auto"/>
          <w:highlight w:val="none"/>
        </w:rPr>
        <w:t>的要求。</w:t>
      </w:r>
      <w:bookmarkEnd w:id="602"/>
      <w:bookmarkEnd w:id="603"/>
      <w:bookmarkEnd w:id="604"/>
      <w:bookmarkEnd w:id="605"/>
    </w:p>
    <w:p w14:paraId="2E0F7149">
      <w:pPr>
        <w:pStyle w:val="261"/>
        <w:spacing w:before="0" w:beforeLines="0" w:after="0" w:afterLines="0"/>
        <w:outlineLvl w:val="9"/>
        <w:rPr>
          <w:rFonts w:hint="eastAsia" w:ascii="宋体" w:hAnsi="宋体" w:eastAsia="宋体" w:cs="宋体"/>
          <w:color w:val="auto"/>
          <w:highlight w:val="none"/>
        </w:rPr>
      </w:pPr>
      <w:bookmarkStart w:id="606" w:name="_Toc2557"/>
      <w:bookmarkStart w:id="607" w:name="_Toc1849"/>
      <w:bookmarkStart w:id="608" w:name="_Toc30008"/>
      <w:bookmarkStart w:id="609" w:name="_Toc23414"/>
      <w:r>
        <w:rPr>
          <w:rFonts w:hint="eastAsia" w:ascii="宋体" w:hAnsi="宋体" w:eastAsia="宋体" w:cs="宋体"/>
          <w:color w:val="auto"/>
          <w:highlight w:val="none"/>
        </w:rPr>
        <w:t>系泊带缆桩及导缆孔的安全工作负荷应</w:t>
      </w:r>
      <w:r>
        <w:rPr>
          <w:rFonts w:hint="eastAsia" w:ascii="宋体" w:hAnsi="宋体" w:eastAsia="宋体" w:cs="宋体"/>
          <w:color w:val="auto"/>
          <w:highlight w:val="none"/>
          <w:lang w:val="en-US" w:eastAsia="zh-CN"/>
        </w:rPr>
        <w:t>与</w:t>
      </w:r>
      <w:r>
        <w:rPr>
          <w:rFonts w:hint="eastAsia" w:ascii="宋体" w:hAnsi="宋体" w:eastAsia="宋体" w:cs="宋体"/>
          <w:color w:val="auto"/>
          <w:highlight w:val="none"/>
        </w:rPr>
        <w:t>系泊缆的破断负荷</w:t>
      </w:r>
      <w:r>
        <w:rPr>
          <w:rFonts w:hint="eastAsia" w:ascii="宋体" w:hAnsi="宋体" w:eastAsia="宋体" w:cs="宋体"/>
          <w:color w:val="auto"/>
          <w:highlight w:val="none"/>
          <w:lang w:val="en-US" w:eastAsia="zh-CN"/>
        </w:rPr>
        <w:t>一致</w:t>
      </w:r>
      <w:r>
        <w:rPr>
          <w:rFonts w:hint="eastAsia" w:ascii="宋体" w:hAnsi="宋体" w:eastAsia="宋体" w:cs="宋体"/>
          <w:color w:val="auto"/>
          <w:highlight w:val="none"/>
        </w:rPr>
        <w:t>。</w:t>
      </w:r>
      <w:bookmarkEnd w:id="606"/>
      <w:bookmarkEnd w:id="607"/>
      <w:bookmarkEnd w:id="608"/>
      <w:bookmarkEnd w:id="609"/>
    </w:p>
    <w:p w14:paraId="2C3D541E">
      <w:pPr>
        <w:pStyle w:val="260"/>
        <w:numPr>
          <w:ilvl w:val="1"/>
          <w:numId w:val="33"/>
        </w:numPr>
        <w:outlineLvl w:val="1"/>
        <w:rPr>
          <w:rFonts w:hint="default" w:ascii="Times New Roman" w:hAnsi="Times New Roman" w:cs="Times New Roman"/>
          <w:color w:val="auto"/>
          <w:highlight w:val="none"/>
        </w:rPr>
      </w:pPr>
      <w:bookmarkStart w:id="610" w:name="_Toc17622"/>
      <w:bookmarkStart w:id="611" w:name="_Toc183727678"/>
      <w:bookmarkStart w:id="612" w:name="_Toc19538"/>
      <w:bookmarkStart w:id="613" w:name="_Toc19834"/>
      <w:bookmarkStart w:id="614" w:name="_Toc1106"/>
      <w:bookmarkStart w:id="615" w:name="_Toc31449"/>
      <w:bookmarkStart w:id="616" w:name="_Toc29328"/>
      <w:bookmarkStart w:id="617" w:name="_Toc15614"/>
      <w:bookmarkStart w:id="618" w:name="_Toc2323"/>
      <w:bookmarkStart w:id="619" w:name="_Toc32096"/>
      <w:r>
        <w:rPr>
          <w:rFonts w:hint="default" w:ascii="Times New Roman" w:hAnsi="Times New Roman" w:cs="Times New Roman"/>
          <w:color w:val="auto"/>
          <w:highlight w:val="none"/>
        </w:rPr>
        <w:t>防碰及护舷设备</w:t>
      </w:r>
      <w:bookmarkEnd w:id="610"/>
      <w:bookmarkEnd w:id="611"/>
      <w:bookmarkEnd w:id="612"/>
      <w:bookmarkEnd w:id="613"/>
      <w:bookmarkEnd w:id="614"/>
      <w:bookmarkEnd w:id="615"/>
      <w:bookmarkEnd w:id="616"/>
      <w:bookmarkEnd w:id="617"/>
      <w:bookmarkEnd w:id="618"/>
      <w:bookmarkEnd w:id="619"/>
    </w:p>
    <w:p w14:paraId="3B2FACB9">
      <w:pPr>
        <w:pStyle w:val="261"/>
        <w:spacing w:before="0" w:beforeLines="0" w:after="0" w:afterLines="0"/>
        <w:outlineLvl w:val="9"/>
        <w:rPr>
          <w:rFonts w:hint="eastAsia" w:ascii="宋体" w:hAnsi="宋体" w:eastAsia="宋体" w:cs="宋体"/>
          <w:color w:val="auto"/>
          <w:highlight w:val="none"/>
        </w:rPr>
      </w:pPr>
      <w:bookmarkStart w:id="620" w:name="_Toc1808"/>
      <w:bookmarkStart w:id="621" w:name="_Toc27294"/>
      <w:bookmarkStart w:id="622" w:name="_Toc24746"/>
      <w:bookmarkStart w:id="623" w:name="_Toc15094"/>
      <w:r>
        <w:rPr>
          <w:rFonts w:hint="default" w:ascii="Times New Roman" w:hAnsi="Times New Roman" w:cs="Times New Roman" w:eastAsiaTheme="minorEastAsia"/>
          <w:color w:val="auto"/>
          <w:highlight w:val="none"/>
        </w:rPr>
        <w:t>应根据运输油轮尺度、吨位及靠泊形式配备供运输油轮系泊使用的绞车、缆桩、导缆孔等设施，在靠泊运输油</w:t>
      </w:r>
      <w:r>
        <w:rPr>
          <w:rFonts w:hint="eastAsia" w:ascii="宋体" w:hAnsi="宋体" w:eastAsia="宋体" w:cs="宋体"/>
          <w:color w:val="auto"/>
          <w:highlight w:val="none"/>
        </w:rPr>
        <w:t>轮的舷侧应配备吸收能量的</w:t>
      </w:r>
      <w:r>
        <w:rPr>
          <w:rFonts w:hint="eastAsia" w:ascii="宋体" w:hAnsi="宋体" w:eastAsia="宋体" w:cs="宋体"/>
          <w:color w:val="auto"/>
          <w:highlight w:val="none"/>
          <w:lang w:val="en-US" w:eastAsia="zh-CN"/>
        </w:rPr>
        <w:t>弹性</w:t>
      </w:r>
      <w:r>
        <w:rPr>
          <w:rFonts w:hint="eastAsia" w:ascii="宋体" w:hAnsi="宋体" w:eastAsia="宋体" w:cs="宋体"/>
          <w:color w:val="auto"/>
          <w:highlight w:val="none"/>
        </w:rPr>
        <w:t>护舷装置。</w:t>
      </w:r>
      <w:bookmarkEnd w:id="620"/>
      <w:bookmarkEnd w:id="621"/>
    </w:p>
    <w:bookmarkEnd w:id="622"/>
    <w:bookmarkEnd w:id="623"/>
    <w:p w14:paraId="29D346C3">
      <w:pPr>
        <w:pStyle w:val="261"/>
        <w:spacing w:before="0" w:beforeLines="0" w:after="0" w:afterLines="0"/>
        <w:outlineLvl w:val="9"/>
        <w:rPr>
          <w:rFonts w:hint="eastAsia" w:ascii="宋体" w:hAnsi="宋体" w:eastAsia="宋体" w:cs="宋体"/>
          <w:color w:val="auto"/>
          <w:highlight w:val="none"/>
        </w:rPr>
      </w:pPr>
      <w:bookmarkStart w:id="624" w:name="_Toc6111"/>
      <w:bookmarkStart w:id="625" w:name="_Toc11161"/>
      <w:bookmarkStart w:id="626" w:name="_Toc7266"/>
      <w:bookmarkStart w:id="627" w:name="_Toc8284"/>
      <w:r>
        <w:rPr>
          <w:rFonts w:hint="eastAsia" w:ascii="宋体" w:hAnsi="宋体" w:eastAsia="宋体" w:cs="宋体"/>
          <w:color w:val="auto"/>
          <w:highlight w:val="none"/>
        </w:rPr>
        <w:t>护舷</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沿FPSO平行中体以及预期同穿梭油轮或者供应船相碰的范围内布置。</w:t>
      </w:r>
      <w:bookmarkEnd w:id="624"/>
      <w:bookmarkEnd w:id="625"/>
      <w:bookmarkEnd w:id="626"/>
      <w:bookmarkEnd w:id="627"/>
    </w:p>
    <w:p w14:paraId="703FBF3A">
      <w:pPr>
        <w:pStyle w:val="261"/>
        <w:spacing w:before="0" w:beforeLines="0" w:after="0" w:afterLines="0"/>
        <w:outlineLvl w:val="9"/>
        <w:rPr>
          <w:rFonts w:hint="eastAsia" w:ascii="宋体" w:hAnsi="宋体" w:eastAsia="宋体" w:cs="宋体"/>
          <w:color w:val="auto"/>
          <w:highlight w:val="none"/>
        </w:rPr>
      </w:pPr>
      <w:bookmarkStart w:id="628" w:name="_Toc11512"/>
      <w:bookmarkStart w:id="629" w:name="_Toc29511"/>
      <w:bookmarkStart w:id="630" w:name="_Toc8572"/>
      <w:bookmarkStart w:id="631" w:name="_Toc12401"/>
      <w:r>
        <w:rPr>
          <w:rFonts w:hint="eastAsia" w:ascii="宋体" w:hAnsi="宋体" w:eastAsia="宋体" w:cs="宋体"/>
          <w:color w:val="auto"/>
          <w:highlight w:val="none"/>
        </w:rPr>
        <w:t>护舷的选型</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以船舶运动的冲击能量作为依据，选择的相应型号和规格</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满足吸能要求。</w:t>
      </w:r>
      <w:bookmarkEnd w:id="628"/>
      <w:bookmarkEnd w:id="629"/>
      <w:bookmarkEnd w:id="630"/>
      <w:bookmarkEnd w:id="631"/>
    </w:p>
    <w:p w14:paraId="4FB6ECA8">
      <w:pPr>
        <w:pStyle w:val="260"/>
        <w:numPr>
          <w:ilvl w:val="1"/>
          <w:numId w:val="33"/>
        </w:numPr>
        <w:outlineLvl w:val="1"/>
        <w:rPr>
          <w:rFonts w:hint="default" w:ascii="Times New Roman" w:hAnsi="Times New Roman" w:cs="Times New Roman"/>
          <w:color w:val="auto"/>
          <w:highlight w:val="none"/>
        </w:rPr>
      </w:pPr>
      <w:bookmarkStart w:id="632" w:name="_Toc15979"/>
      <w:bookmarkStart w:id="633" w:name="_Toc10014"/>
      <w:bookmarkStart w:id="634" w:name="_Toc23008"/>
      <w:bookmarkStart w:id="635" w:name="_Toc14107"/>
      <w:bookmarkStart w:id="636" w:name="_Toc25296"/>
      <w:bookmarkStart w:id="637" w:name="_Toc183727681"/>
      <w:bookmarkStart w:id="638" w:name="_Toc29425"/>
      <w:bookmarkStart w:id="639" w:name="_Toc3132"/>
      <w:bookmarkStart w:id="640" w:name="_Toc18815"/>
      <w:bookmarkStart w:id="641" w:name="_Toc7096"/>
      <w:r>
        <w:rPr>
          <w:rFonts w:hint="eastAsia" w:ascii="Times New Roman" w:cs="Times New Roman"/>
          <w:color w:val="auto"/>
          <w:highlight w:val="none"/>
          <w:lang w:val="en-US" w:eastAsia="zh-CN"/>
        </w:rPr>
        <w:t>永久检验</w:t>
      </w:r>
      <w:r>
        <w:rPr>
          <w:rFonts w:hint="default" w:ascii="Times New Roman" w:hAnsi="Times New Roman" w:cs="Times New Roman"/>
          <w:color w:val="auto"/>
          <w:highlight w:val="none"/>
        </w:rPr>
        <w:t>通道</w:t>
      </w:r>
      <w:bookmarkEnd w:id="632"/>
      <w:bookmarkEnd w:id="633"/>
      <w:bookmarkEnd w:id="634"/>
      <w:bookmarkEnd w:id="635"/>
      <w:bookmarkEnd w:id="636"/>
      <w:bookmarkEnd w:id="637"/>
      <w:bookmarkEnd w:id="638"/>
      <w:bookmarkEnd w:id="639"/>
      <w:bookmarkEnd w:id="640"/>
      <w:bookmarkEnd w:id="641"/>
    </w:p>
    <w:p w14:paraId="1D39C4C3">
      <w:pPr>
        <w:pStyle w:val="326"/>
        <w:spacing w:before="0" w:beforeLines="0" w:after="0" w:afterLines="0"/>
        <w:jc w:val="both"/>
        <w:rPr>
          <w:rFonts w:hint="eastAsia" w:ascii="宋体" w:hAnsi="宋体" w:eastAsia="宋体" w:cs="宋体"/>
          <w:color w:val="auto"/>
          <w:highlight w:val="none"/>
        </w:rPr>
      </w:pPr>
      <w:r>
        <w:rPr>
          <w:rFonts w:hint="eastAsia" w:ascii="宋体" w:hAnsi="宋体" w:eastAsia="宋体" w:cs="宋体"/>
          <w:color w:val="auto"/>
          <w:highlight w:val="none"/>
        </w:rPr>
        <w:t>FPSO</w:t>
      </w:r>
      <w:r>
        <w:rPr>
          <w:rFonts w:hint="eastAsia" w:ascii="宋体" w:hAnsi="宋体" w:eastAsia="宋体" w:cs="宋体"/>
          <w:color w:val="auto"/>
          <w:highlight w:val="none"/>
          <w:lang w:val="en-US" w:eastAsia="zh-CN"/>
        </w:rPr>
        <w:t>各</w:t>
      </w:r>
      <w:r>
        <w:rPr>
          <w:rFonts w:hint="eastAsia" w:ascii="宋体" w:hAnsi="宋体" w:eastAsia="宋体" w:cs="宋体"/>
          <w:color w:val="auto"/>
          <w:highlight w:val="none"/>
        </w:rPr>
        <w:t>处所应至少设置一个永久性的出入通道</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以供相关人员对关键结构进行全面检查、近观检查和测厚。</w:t>
      </w:r>
    </w:p>
    <w:p w14:paraId="2EC1064C">
      <w:pPr>
        <w:pStyle w:val="326"/>
        <w:spacing w:before="0" w:beforeLines="0" w:after="0" w:afterLines="0"/>
        <w:jc w:val="both"/>
        <w:rPr>
          <w:rFonts w:hint="eastAsia" w:ascii="宋体" w:hAnsi="宋体" w:eastAsia="宋体" w:cs="宋体"/>
          <w:color w:val="auto"/>
          <w:highlight w:val="none"/>
        </w:rPr>
      </w:pPr>
      <w:r>
        <w:rPr>
          <w:rFonts w:hint="eastAsia" w:ascii="宋体" w:hAnsi="宋体" w:eastAsia="宋体" w:cs="宋体"/>
          <w:color w:val="auto"/>
          <w:highlight w:val="none"/>
        </w:rPr>
        <w:t>通过水平的开口、舱口或人孔的通道，其尺寸应</w:t>
      </w:r>
      <w:r>
        <w:rPr>
          <w:rFonts w:hint="eastAsia" w:ascii="宋体" w:hAnsi="宋体" w:eastAsia="宋体" w:cs="宋体"/>
          <w:color w:val="auto"/>
          <w:highlight w:val="none"/>
          <w:lang w:val="en-US" w:eastAsia="zh-CN"/>
        </w:rPr>
        <w:t>满足</w:t>
      </w:r>
      <w:r>
        <w:rPr>
          <w:rFonts w:hint="eastAsia" w:ascii="宋体" w:hAnsi="宋体" w:eastAsia="宋体" w:cs="宋体"/>
          <w:color w:val="auto"/>
          <w:highlight w:val="none"/>
        </w:rPr>
        <w:t>让穿戴自给式呼吸器和保护设备的人员上下梯子不受阻碍，净</w:t>
      </w:r>
      <w:r>
        <w:rPr>
          <w:rFonts w:hint="eastAsia" w:ascii="宋体" w:hAnsi="宋体" w:eastAsia="宋体" w:cs="宋体"/>
          <w:color w:val="auto"/>
          <w:highlight w:val="none"/>
          <w:lang w:val="en-US" w:eastAsia="zh-CN"/>
        </w:rPr>
        <w:t>空</w:t>
      </w:r>
      <w:r>
        <w:rPr>
          <w:rFonts w:hint="eastAsia" w:ascii="宋体" w:hAnsi="宋体" w:eastAsia="宋体" w:cs="宋体"/>
          <w:color w:val="auto"/>
          <w:highlight w:val="none"/>
        </w:rPr>
        <w:t>尺寸应便于将受伤人员从狭窄处所底部提升上来</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最小净</w:t>
      </w:r>
      <w:r>
        <w:rPr>
          <w:rFonts w:hint="eastAsia" w:ascii="宋体" w:hAnsi="宋体" w:eastAsia="宋体" w:cs="宋体"/>
          <w:color w:val="auto"/>
          <w:highlight w:val="none"/>
          <w:lang w:val="en-US" w:eastAsia="zh-CN"/>
        </w:rPr>
        <w:t>空</w:t>
      </w:r>
      <w:r>
        <w:rPr>
          <w:rFonts w:hint="eastAsia" w:ascii="宋体" w:hAnsi="宋体" w:eastAsia="宋体" w:cs="宋体"/>
          <w:color w:val="auto"/>
          <w:highlight w:val="none"/>
        </w:rPr>
        <w:t>尺寸应不小于600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mm。当货舱通道布置为通过与甲板齐平的人孔或通过货舱口进入时，梯子的顶部应紧靠甲板或舱口围板；通道出入处舱口围板的高度如超过900 mm，在舱口围板外侧还应</w:t>
      </w:r>
      <w:r>
        <w:rPr>
          <w:rFonts w:hint="eastAsia" w:ascii="宋体" w:hAnsi="宋体" w:eastAsia="宋体" w:cs="宋体"/>
          <w:color w:val="auto"/>
          <w:highlight w:val="none"/>
          <w:lang w:val="en-US" w:eastAsia="zh-CN"/>
        </w:rPr>
        <w:t>设</w:t>
      </w:r>
      <w:r>
        <w:rPr>
          <w:rFonts w:hint="eastAsia" w:ascii="宋体" w:hAnsi="宋体" w:eastAsia="宋体" w:cs="宋体"/>
          <w:color w:val="auto"/>
          <w:highlight w:val="none"/>
        </w:rPr>
        <w:t>有数级踏板与梯子相接。</w:t>
      </w:r>
    </w:p>
    <w:p w14:paraId="27801116">
      <w:pPr>
        <w:pStyle w:val="326"/>
        <w:spacing w:before="0" w:beforeLines="0" w:after="0" w:afterLines="0"/>
        <w:jc w:val="both"/>
        <w:rPr>
          <w:rFonts w:hint="eastAsia" w:ascii="宋体" w:hAnsi="宋体" w:eastAsia="宋体" w:cs="宋体"/>
          <w:color w:val="auto"/>
          <w:highlight w:val="none"/>
        </w:rPr>
      </w:pPr>
      <w:r>
        <w:rPr>
          <w:rFonts w:hint="eastAsia" w:ascii="宋体" w:hAnsi="宋体" w:eastAsia="宋体" w:cs="宋体"/>
          <w:color w:val="auto"/>
          <w:highlight w:val="none"/>
        </w:rPr>
        <w:t>通过制荡舱壁、肋板、纵桁和强肋骨上的垂向的开口和人孔的通道贯穿通达该处所长度或宽度范围时，其最小尺寸应不小于600 mm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除设有格栅或其他立足处</w:t>
      </w:r>
      <w:r>
        <w:rPr>
          <w:rFonts w:hint="eastAsia" w:ascii="宋体" w:hAnsi="宋体" w:eastAsia="宋体" w:cs="宋体"/>
          <w:color w:val="auto"/>
          <w:highlight w:val="none"/>
          <w:lang w:val="en-US" w:eastAsia="zh-CN"/>
        </w:rPr>
        <w:t>外，</w:t>
      </w:r>
      <w:r>
        <w:rPr>
          <w:rFonts w:hint="eastAsia" w:ascii="宋体" w:hAnsi="宋体" w:eastAsia="宋体" w:cs="宋体"/>
          <w:color w:val="auto"/>
          <w:highlight w:val="none"/>
        </w:rPr>
        <w:t>肋板、纵桁和强肋骨应位于底部外板以上不超过600 mm处。</w:t>
      </w:r>
    </w:p>
    <w:p w14:paraId="60E8561F">
      <w:pPr>
        <w:pStyle w:val="260"/>
        <w:numPr>
          <w:ilvl w:val="1"/>
          <w:numId w:val="33"/>
        </w:numPr>
        <w:outlineLvl w:val="1"/>
        <w:rPr>
          <w:rFonts w:hint="default" w:ascii="Times New Roman" w:hAnsi="Times New Roman" w:cs="Times New Roman"/>
          <w:color w:val="auto"/>
          <w:highlight w:val="none"/>
        </w:rPr>
      </w:pPr>
      <w:bookmarkStart w:id="642" w:name="_Toc1951"/>
      <w:bookmarkStart w:id="643" w:name="_Toc18950"/>
      <w:bookmarkStart w:id="644" w:name="_Toc29154"/>
      <w:bookmarkStart w:id="645" w:name="_Toc1531"/>
      <w:bookmarkStart w:id="646" w:name="_Toc28880"/>
      <w:bookmarkStart w:id="647" w:name="_Toc16071"/>
      <w:r>
        <w:rPr>
          <w:rFonts w:hint="default" w:ascii="Times New Roman" w:hAnsi="Times New Roman" w:cs="Times New Roman"/>
          <w:color w:val="auto"/>
          <w:highlight w:val="none"/>
        </w:rPr>
        <w:t>安全通道</w:t>
      </w:r>
      <w:bookmarkEnd w:id="642"/>
      <w:bookmarkEnd w:id="643"/>
      <w:bookmarkEnd w:id="644"/>
      <w:bookmarkEnd w:id="645"/>
      <w:bookmarkEnd w:id="646"/>
      <w:bookmarkEnd w:id="647"/>
    </w:p>
    <w:p w14:paraId="283E33F5">
      <w:pPr>
        <w:pStyle w:val="326"/>
        <w:spacing w:before="0" w:beforeLines="0" w:after="0" w:afterLines="0"/>
        <w:jc w:val="both"/>
        <w:rPr>
          <w:rFonts w:hint="eastAsia" w:ascii="宋体" w:hAnsi="宋体" w:eastAsia="宋体" w:cs="宋体"/>
          <w:color w:val="auto"/>
          <w:highlight w:val="none"/>
        </w:rPr>
      </w:pPr>
      <w:r>
        <w:rPr>
          <w:rFonts w:hint="eastAsia" w:ascii="宋体" w:hAnsi="宋体" w:eastAsia="宋体" w:cs="宋体"/>
          <w:color w:val="auto"/>
          <w:highlight w:val="none"/>
        </w:rPr>
        <w:t>货油舱、液舱、空舱、隔离舱和其他处所应设有直接通向开敞甲板的安全通道。当安全通道不能通往开敞甲板时，应通向机器处所、泵舱、其他隔离舱、管隧、双层壳处所</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不用于装载油类或危险品的类似舱室。</w:t>
      </w:r>
    </w:p>
    <w:p w14:paraId="21FF1D27">
      <w:pPr>
        <w:pStyle w:val="326"/>
        <w:spacing w:before="0" w:beforeLines="0" w:after="0" w:afterLines="0"/>
        <w:jc w:val="both"/>
        <w:rPr>
          <w:rFonts w:hint="eastAsia" w:ascii="宋体" w:hAnsi="宋体" w:eastAsia="宋体" w:cs="宋体"/>
          <w:color w:val="auto"/>
          <w:highlight w:val="none"/>
        </w:rPr>
      </w:pPr>
      <w:r>
        <w:rPr>
          <w:rFonts w:hint="eastAsia" w:ascii="宋体" w:hAnsi="宋体" w:eastAsia="宋体" w:cs="宋体"/>
          <w:color w:val="auto"/>
          <w:highlight w:val="none"/>
        </w:rPr>
        <w:t>长度为35 m或以上的液舱和液舱的分舱，应至少设置2个相互远离的出入舱口和梯子。长度小于35 m的液舱应至少有1个出入舱口和梯子。当一个液舱被1道或多道制荡舱壁或类似的隔</w:t>
      </w:r>
      <w:r>
        <w:rPr>
          <w:rFonts w:hint="eastAsia" w:ascii="宋体" w:hAnsi="宋体" w:eastAsia="宋体" w:cs="宋体"/>
          <w:color w:val="auto"/>
          <w:highlight w:val="none"/>
          <w:lang w:val="en-US" w:eastAsia="zh-CN"/>
        </w:rPr>
        <w:t>段</w:t>
      </w:r>
      <w:r>
        <w:rPr>
          <w:rFonts w:hint="eastAsia" w:ascii="宋体" w:hAnsi="宋体" w:eastAsia="宋体" w:cs="宋体"/>
          <w:color w:val="auto"/>
          <w:highlight w:val="none"/>
        </w:rPr>
        <w:t>所分开时，如不易布置从该舱一端至另一端的通道，应至少设置2个出入舱口和梯子。</w:t>
      </w:r>
    </w:p>
    <w:p w14:paraId="3F1F479A">
      <w:pPr>
        <w:pStyle w:val="326"/>
        <w:spacing w:before="0" w:beforeLines="0" w:after="0" w:afterLines="0"/>
        <w:jc w:val="both"/>
        <w:rPr>
          <w:rFonts w:hint="eastAsia" w:ascii="宋体" w:hAnsi="宋体" w:eastAsia="宋体" w:cs="宋体"/>
          <w:color w:val="auto"/>
          <w:highlight w:val="none"/>
        </w:rPr>
      </w:pPr>
      <w:bookmarkStart w:id="648" w:name="OLE_LINK2"/>
      <w:r>
        <w:rPr>
          <w:rFonts w:hint="eastAsia" w:ascii="宋体" w:hAnsi="宋体" w:eastAsia="宋体" w:cs="宋体"/>
          <w:color w:val="auto"/>
          <w:highlight w:val="none"/>
        </w:rPr>
        <w:t>每个货</w:t>
      </w:r>
      <w:r>
        <w:rPr>
          <w:rFonts w:hint="eastAsia" w:ascii="宋体" w:hAnsi="宋体" w:eastAsia="宋体" w:cs="宋体"/>
          <w:color w:val="auto"/>
          <w:highlight w:val="none"/>
          <w:lang w:val="en-US" w:eastAsia="zh-CN"/>
        </w:rPr>
        <w:t>油</w:t>
      </w:r>
      <w:r>
        <w:rPr>
          <w:rFonts w:hint="eastAsia" w:ascii="宋体" w:hAnsi="宋体" w:eastAsia="宋体" w:cs="宋体"/>
          <w:color w:val="auto"/>
          <w:highlight w:val="none"/>
        </w:rPr>
        <w:t>舱应至少设置2个相互远离的出入通道。</w:t>
      </w:r>
      <w:bookmarkEnd w:id="648"/>
    </w:p>
    <w:p w14:paraId="77757BF8">
      <w:pPr>
        <w:pStyle w:val="259"/>
        <w:outlineLvl w:val="0"/>
        <w:rPr>
          <w:rFonts w:hint="default" w:ascii="Times New Roman" w:hAnsi="Times New Roman" w:cs="Times New Roman"/>
          <w:color w:val="auto"/>
          <w:highlight w:val="none"/>
        </w:rPr>
      </w:pPr>
      <w:bookmarkStart w:id="649" w:name="_Toc5207"/>
      <w:bookmarkStart w:id="650" w:name="_Toc22684"/>
      <w:bookmarkStart w:id="651" w:name="_Toc31145"/>
      <w:bookmarkStart w:id="652" w:name="_Toc183727683"/>
      <w:bookmarkStart w:id="653" w:name="_Toc14469"/>
      <w:bookmarkStart w:id="654" w:name="_Toc27665"/>
      <w:bookmarkStart w:id="655" w:name="_Toc11836"/>
      <w:bookmarkStart w:id="656" w:name="_Toc4059"/>
      <w:bookmarkStart w:id="657" w:name="_Toc31245"/>
      <w:r>
        <w:rPr>
          <w:rFonts w:hint="default" w:ascii="Times New Roman" w:hAnsi="Times New Roman" w:cs="Times New Roman"/>
          <w:color w:val="auto"/>
          <w:highlight w:val="none"/>
        </w:rPr>
        <w:t>轮机系统</w:t>
      </w:r>
      <w:bookmarkEnd w:id="649"/>
      <w:bookmarkEnd w:id="650"/>
      <w:bookmarkEnd w:id="651"/>
      <w:bookmarkEnd w:id="652"/>
      <w:bookmarkEnd w:id="653"/>
      <w:bookmarkEnd w:id="654"/>
      <w:bookmarkEnd w:id="655"/>
      <w:bookmarkEnd w:id="656"/>
      <w:bookmarkEnd w:id="657"/>
    </w:p>
    <w:p w14:paraId="00144928">
      <w:pPr>
        <w:pStyle w:val="260"/>
        <w:numPr>
          <w:ilvl w:val="1"/>
          <w:numId w:val="33"/>
        </w:numPr>
        <w:outlineLvl w:val="1"/>
        <w:rPr>
          <w:rFonts w:hint="default" w:ascii="Times New Roman" w:hAnsi="Times New Roman" w:cs="Times New Roman"/>
          <w:color w:val="auto"/>
          <w:highlight w:val="none"/>
        </w:rPr>
      </w:pPr>
      <w:bookmarkStart w:id="658" w:name="_Toc16081"/>
      <w:bookmarkStart w:id="659" w:name="_Toc8678"/>
      <w:bookmarkStart w:id="660" w:name="_Toc15029"/>
      <w:bookmarkStart w:id="661" w:name="_Toc6979"/>
      <w:bookmarkStart w:id="662" w:name="_Toc7553"/>
      <w:bookmarkStart w:id="663" w:name="_Toc6149"/>
      <w:r>
        <w:rPr>
          <w:rFonts w:hint="eastAsia" w:ascii="Times New Roman" w:hAnsi="Times New Roman" w:cs="Times New Roman"/>
          <w:color w:val="auto"/>
          <w:highlight w:val="none"/>
          <w:lang w:val="en-US" w:eastAsia="zh-CN"/>
        </w:rPr>
        <w:t>通用要求</w:t>
      </w:r>
      <w:bookmarkEnd w:id="658"/>
      <w:bookmarkEnd w:id="659"/>
      <w:bookmarkEnd w:id="660"/>
    </w:p>
    <w:bookmarkEnd w:id="661"/>
    <w:bookmarkEnd w:id="662"/>
    <w:bookmarkEnd w:id="663"/>
    <w:p w14:paraId="1221F005">
      <w:pPr>
        <w:pStyle w:val="261"/>
        <w:spacing w:before="0" w:beforeLines="0" w:after="0" w:afterLines="0"/>
        <w:outlineLvl w:val="9"/>
        <w:rPr>
          <w:rFonts w:hint="eastAsia" w:ascii="宋体" w:hAnsi="宋体" w:eastAsia="宋体" w:cs="宋体"/>
          <w:color w:val="auto"/>
          <w:highlight w:val="none"/>
          <w:lang w:val="en-US" w:eastAsia="zh-CN"/>
        </w:rPr>
      </w:pPr>
      <w:r>
        <w:rPr>
          <w:rFonts w:hint="default" w:ascii="Times New Roman" w:hAnsi="Times New Roman" w:eastAsia="宋体" w:cs="Times New Roman"/>
          <w:color w:val="auto"/>
          <w:highlight w:val="none"/>
          <w:lang w:val="en-US" w:eastAsia="zh-CN"/>
        </w:rPr>
        <w:t>船</w:t>
      </w:r>
      <w:r>
        <w:rPr>
          <w:rFonts w:hint="eastAsia" w:ascii="宋体" w:hAnsi="宋体" w:eastAsia="宋体" w:cs="宋体"/>
          <w:color w:val="auto"/>
          <w:highlight w:val="none"/>
          <w:lang w:val="en-US" w:eastAsia="zh-CN"/>
        </w:rPr>
        <w:t>型FPSO上与安全有关的系统及设备，应在FPSO横向静倾15°、动倾22.5°和纵向静倾5°、动倾7.5°时能保持正常工作。应急发电机应在横向静倾、动倾22.5°和纵向静倾、动倾10°时保持正常工作。</w:t>
      </w:r>
    </w:p>
    <w:p w14:paraId="624E953C">
      <w:pPr>
        <w:pStyle w:val="261"/>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对于圆筒型和半潜式（柱稳式）FPSO，与安全有关的系统及设备应在任何方向静倾15°、动倾22.5°时保持正常工作。应急发电机应在任何方向静倾25°、动倾22.5°时保持正常工作。</w:t>
      </w:r>
    </w:p>
    <w:p w14:paraId="14BDA971">
      <w:pPr>
        <w:pStyle w:val="261"/>
        <w:spacing w:before="0" w:beforeLines="0" w:after="0" w:afterLines="0"/>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其他型式FPSO，当向任何方向倾斜15°时与安全有关的设备及系统应正常工作。</w:t>
      </w:r>
    </w:p>
    <w:p w14:paraId="6CF28BB7">
      <w:pPr>
        <w:pStyle w:val="261"/>
        <w:spacing w:before="0" w:beforeLines="0" w:after="0" w:afterLines="0"/>
        <w:outlineLvl w:val="9"/>
        <w:rPr>
          <w:rFonts w:hint="eastAsia"/>
          <w:color w:val="auto"/>
          <w:highlight w:val="none"/>
          <w:lang w:val="en-US" w:eastAsia="zh-CN"/>
        </w:rPr>
      </w:pPr>
      <w:r>
        <w:rPr>
          <w:rFonts w:hint="eastAsia" w:ascii="宋体" w:hAnsi="宋体" w:eastAsia="宋体" w:cs="宋体"/>
          <w:color w:val="auto"/>
          <w:highlight w:val="none"/>
          <w:lang w:val="en-US" w:eastAsia="zh-CN"/>
        </w:rPr>
        <w:t>基于FPSO的尺寸和作业条件采用较小的倾斜角时，该倾斜角应大于其在破舱工况下可能出现的最大倾斜角度。</w:t>
      </w:r>
    </w:p>
    <w:p w14:paraId="33F1CE70">
      <w:pPr>
        <w:pStyle w:val="260"/>
        <w:numPr>
          <w:ilvl w:val="1"/>
          <w:numId w:val="33"/>
        </w:numPr>
        <w:outlineLvl w:val="1"/>
        <w:rPr>
          <w:rFonts w:hint="default" w:ascii="Times New Roman" w:hAnsi="Times New Roman" w:cs="Times New Roman"/>
          <w:color w:val="auto"/>
          <w:highlight w:val="none"/>
          <w:lang w:val="en-US" w:eastAsia="zh-CN"/>
        </w:rPr>
      </w:pPr>
      <w:bookmarkStart w:id="664" w:name="_Toc30685"/>
      <w:bookmarkStart w:id="665" w:name="_Toc9969"/>
      <w:bookmarkStart w:id="666" w:name="_Toc904"/>
      <w:bookmarkStart w:id="667" w:name="_Toc3840"/>
      <w:bookmarkStart w:id="668" w:name="_Toc4700"/>
      <w:bookmarkStart w:id="669" w:name="_Toc183727685"/>
      <w:bookmarkStart w:id="670" w:name="_Toc24114"/>
      <w:bookmarkStart w:id="671" w:name="_Toc2550"/>
      <w:bookmarkStart w:id="672" w:name="_Toc19650"/>
      <w:bookmarkStart w:id="673" w:name="_Toc4936"/>
      <w:bookmarkStart w:id="674" w:name="_Toc9493"/>
      <w:bookmarkStart w:id="675" w:name="_Toc6923"/>
      <w:bookmarkStart w:id="676" w:name="_Toc28115"/>
      <w:bookmarkStart w:id="677" w:name="_Toc26329"/>
      <w:bookmarkStart w:id="678" w:name="_Toc24006"/>
      <w:r>
        <w:rPr>
          <w:rFonts w:hint="default" w:ascii="Times New Roman" w:hAnsi="Times New Roman" w:cs="Times New Roman"/>
          <w:color w:val="auto"/>
          <w:highlight w:val="none"/>
          <w:lang w:val="en-US" w:eastAsia="zh-CN"/>
        </w:rPr>
        <w:t>泵送系统</w:t>
      </w:r>
      <w:bookmarkEnd w:id="664"/>
      <w:bookmarkEnd w:id="665"/>
      <w:bookmarkEnd w:id="666"/>
      <w:bookmarkEnd w:id="667"/>
      <w:bookmarkEnd w:id="668"/>
      <w:bookmarkEnd w:id="669"/>
      <w:bookmarkEnd w:id="670"/>
      <w:bookmarkEnd w:id="671"/>
      <w:bookmarkEnd w:id="672"/>
    </w:p>
    <w:p w14:paraId="3BB3B611">
      <w:pPr>
        <w:pStyle w:val="261"/>
        <w:tabs>
          <w:tab w:val="left" w:pos="0"/>
        </w:tabs>
        <w:spacing w:before="156" w:after="156"/>
        <w:outlineLvl w:val="2"/>
        <w:rPr>
          <w:rFonts w:hint="default" w:ascii="Times New Roman" w:hAnsi="Times New Roman" w:cs="Times New Roman"/>
          <w:color w:val="auto"/>
          <w:highlight w:val="none"/>
        </w:rPr>
      </w:pPr>
      <w:bookmarkStart w:id="679" w:name="_Toc24093"/>
      <w:bookmarkStart w:id="680" w:name="_Toc20075"/>
      <w:bookmarkStart w:id="681" w:name="_Toc26702"/>
      <w:bookmarkStart w:id="682" w:name="_Toc31942"/>
      <w:bookmarkStart w:id="683" w:name="_Toc4366"/>
      <w:bookmarkStart w:id="684" w:name="_Toc17101"/>
      <w:bookmarkStart w:id="685" w:name="_Toc26275"/>
      <w:bookmarkStart w:id="686" w:name="_Toc20816"/>
      <w:bookmarkStart w:id="687" w:name="_Toc27338"/>
      <w:r>
        <w:rPr>
          <w:rFonts w:hint="default" w:ascii="Times New Roman" w:hAnsi="Times New Roman" w:cs="Times New Roman"/>
          <w:color w:val="auto"/>
          <w:highlight w:val="none"/>
        </w:rPr>
        <w:t>货油系统</w:t>
      </w:r>
      <w:bookmarkEnd w:id="679"/>
      <w:bookmarkEnd w:id="680"/>
      <w:bookmarkEnd w:id="681"/>
      <w:bookmarkEnd w:id="682"/>
      <w:bookmarkEnd w:id="683"/>
      <w:bookmarkEnd w:id="684"/>
      <w:bookmarkEnd w:id="685"/>
      <w:bookmarkEnd w:id="686"/>
      <w:bookmarkEnd w:id="687"/>
    </w:p>
    <w:p w14:paraId="17C8FD9B">
      <w:pPr>
        <w:pStyle w:val="327"/>
        <w:ind w:left="0"/>
        <w:rPr>
          <w:rFonts w:hint="eastAsia" w:ascii="宋体" w:hAnsi="宋体" w:eastAsia="宋体" w:cs="宋体"/>
          <w:color w:val="auto"/>
          <w:highlight w:val="none"/>
        </w:rPr>
      </w:pPr>
      <w:r>
        <w:rPr>
          <w:rFonts w:hint="eastAsia" w:ascii="Times New Roman" w:hAnsi="Times New Roman" w:eastAsia="宋体" w:cs="Times New Roman"/>
          <w:color w:val="auto"/>
          <w:highlight w:val="none"/>
          <w:lang w:val="en-US" w:eastAsia="zh-CN" w:bidi="ar"/>
        </w:rPr>
        <w:t>货油</w:t>
      </w:r>
      <w:r>
        <w:rPr>
          <w:rFonts w:hint="default" w:ascii="Times New Roman" w:hAnsi="Times New Roman" w:eastAsia="宋体" w:cs="Times New Roman"/>
          <w:color w:val="auto"/>
          <w:highlight w:val="none"/>
          <w:lang w:bidi="ar"/>
        </w:rPr>
        <w:t>的注入、倒舱、外输、压载和清舱等作业应使由于浮体变形对管路和甲板模块结构所产生的影响减至最低。</w:t>
      </w:r>
    </w:p>
    <w:p w14:paraId="2A2C8C1E">
      <w:pPr>
        <w:pStyle w:val="327"/>
        <w:ind w:left="0"/>
        <w:rPr>
          <w:rFonts w:hint="eastAsia" w:ascii="宋体" w:hAnsi="宋体" w:eastAsia="宋体" w:cs="宋体"/>
          <w:color w:val="auto"/>
          <w:highlight w:val="none"/>
        </w:rPr>
      </w:pPr>
      <w:r>
        <w:rPr>
          <w:rFonts w:hint="default" w:ascii="Times New Roman" w:hAnsi="Times New Roman" w:eastAsia="宋体" w:cs="Times New Roman"/>
          <w:color w:val="auto"/>
          <w:highlight w:val="none"/>
          <w:lang w:bidi="ar"/>
        </w:rPr>
        <w:t>伸入到</w:t>
      </w:r>
      <w:r>
        <w:rPr>
          <w:rFonts w:hint="eastAsia" w:ascii="Times New Roman" w:hAnsi="Times New Roman" w:eastAsia="宋体" w:cs="Times New Roman"/>
          <w:color w:val="auto"/>
          <w:highlight w:val="none"/>
          <w:lang w:eastAsia="zh-CN" w:bidi="ar"/>
        </w:rPr>
        <w:t>货油舱、</w:t>
      </w:r>
      <w:r>
        <w:rPr>
          <w:rFonts w:hint="default" w:ascii="Times New Roman" w:hAnsi="Times New Roman" w:eastAsia="宋体" w:cs="Times New Roman"/>
          <w:color w:val="auto"/>
          <w:highlight w:val="none"/>
          <w:lang w:bidi="ar"/>
        </w:rPr>
        <w:t>污油水舱</w:t>
      </w:r>
      <w:r>
        <w:rPr>
          <w:rFonts w:hint="eastAsia" w:ascii="Times New Roman" w:hAnsi="Times New Roman" w:eastAsia="宋体" w:cs="Times New Roman"/>
          <w:color w:val="auto"/>
          <w:highlight w:val="none"/>
          <w:lang w:eastAsia="zh-CN" w:bidi="ar"/>
        </w:rPr>
        <w:t>、</w:t>
      </w:r>
      <w:r>
        <w:rPr>
          <w:rFonts w:hint="default" w:ascii="Times New Roman" w:hAnsi="Times New Roman" w:eastAsia="宋体" w:cs="Times New Roman"/>
          <w:color w:val="auto"/>
          <w:highlight w:val="none"/>
          <w:lang w:bidi="ar"/>
        </w:rPr>
        <w:t>生产水舱的注入管应接近舱底以防飞溅产生静电。</w:t>
      </w:r>
    </w:p>
    <w:p w14:paraId="1C9CB1C3">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原油外输泵设置应满足以下要求：</w:t>
      </w:r>
    </w:p>
    <w:p w14:paraId="34A446EC">
      <w:pPr>
        <w:pStyle w:val="305"/>
        <w:numPr>
          <w:ilvl w:val="0"/>
          <w:numId w:val="4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至少设置</w:t>
      </w:r>
      <w:r>
        <w:rPr>
          <w:rFonts w:hint="eastAsia" w:hAnsi="宋体" w:cs="宋体"/>
          <w:color w:val="auto"/>
          <w:highlight w:val="none"/>
          <w:lang w:val="en-US" w:eastAsia="zh-CN"/>
        </w:rPr>
        <w:t>2</w:t>
      </w:r>
      <w:r>
        <w:rPr>
          <w:rFonts w:hint="eastAsia" w:ascii="宋体" w:hAnsi="宋体" w:cs="宋体"/>
          <w:color w:val="auto"/>
          <w:highlight w:val="none"/>
          <w:lang w:val="en-US" w:eastAsia="zh-CN"/>
        </w:rPr>
        <w:t>台原油外输泵以对货油进行倒舱和外输；</w:t>
      </w:r>
    </w:p>
    <w:p w14:paraId="615DEE1D">
      <w:pPr>
        <w:pStyle w:val="305"/>
        <w:numPr>
          <w:ilvl w:val="0"/>
          <w:numId w:val="4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原油外输泵有防止超压的闭式释放系统（即释放后排入吸入端）及检测仪表；</w:t>
      </w:r>
    </w:p>
    <w:p w14:paraId="550F4B10">
      <w:pPr>
        <w:pStyle w:val="305"/>
        <w:numPr>
          <w:ilvl w:val="0"/>
          <w:numId w:val="4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当货油舱的压力及惰气压力低时，自动停止原油外输泵。</w:t>
      </w:r>
    </w:p>
    <w:p w14:paraId="2D0ECFA4">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遥控阀设置满足以下要求：</w:t>
      </w:r>
    </w:p>
    <w:p w14:paraId="2022E39E">
      <w:pPr>
        <w:pStyle w:val="305"/>
        <w:numPr>
          <w:ilvl w:val="0"/>
          <w:numId w:val="4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遥控阀应有与遥控机构无关的就地手动操纵装置或设有能操作阀杆驱动器的应急装置；</w:t>
      </w:r>
    </w:p>
    <w:p w14:paraId="2949CB1F">
      <w:pPr>
        <w:pStyle w:val="305"/>
        <w:numPr>
          <w:ilvl w:val="0"/>
          <w:numId w:val="4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在遥控站应有显示遥控阀启与闭的装置；</w:t>
      </w:r>
    </w:p>
    <w:p w14:paraId="0CA71F8E">
      <w:pPr>
        <w:pStyle w:val="305"/>
        <w:numPr>
          <w:ilvl w:val="0"/>
          <w:numId w:val="4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当遥控阀及其驱动器位于货油舱内时，在每个货油舱内应设置2个独立的吸口或设有驱动器发生故障时能抽空货油舱的设施；</w:t>
      </w:r>
    </w:p>
    <w:p w14:paraId="4AB8549D">
      <w:pPr>
        <w:pStyle w:val="305"/>
        <w:numPr>
          <w:ilvl w:val="0"/>
          <w:numId w:val="4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货油舱内遥控阀执行器的工作介质不应使用压缩空气；</w:t>
      </w:r>
    </w:p>
    <w:p w14:paraId="156822C7">
      <w:pPr>
        <w:pStyle w:val="305"/>
        <w:numPr>
          <w:ilvl w:val="0"/>
          <w:numId w:val="4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当执行器介质失压时，阀应保持关闭位置；在正常工作情况下，原油不应污染执行器内的介质。</w:t>
      </w:r>
    </w:p>
    <w:p w14:paraId="3AA0F546">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外输管路设置满足以下要求：</w:t>
      </w:r>
    </w:p>
    <w:p w14:paraId="72229649">
      <w:pPr>
        <w:pStyle w:val="305"/>
        <w:numPr>
          <w:ilvl w:val="0"/>
          <w:numId w:val="4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当原油外输管路穿过居住区时，应在开敞部位穿过，在穿过的该区域及附近不应设有非焊接的接头；</w:t>
      </w:r>
    </w:p>
    <w:p w14:paraId="5D5419CD">
      <w:pPr>
        <w:pStyle w:val="305"/>
        <w:numPr>
          <w:ilvl w:val="0"/>
          <w:numId w:val="4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原油外输管路应设置将管路内和泵内的原油排至货油舱、污油水舱或其他合适舱柜的设施；</w:t>
      </w:r>
    </w:p>
    <w:p w14:paraId="738E4913">
      <w:pPr>
        <w:pStyle w:val="305"/>
        <w:numPr>
          <w:ilvl w:val="0"/>
          <w:numId w:val="4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原油外输管路的阀件、传动杆及原油泵挠性联轴器等的摩擦部位应选用在动作时不致产生火花的材料制成；</w:t>
      </w:r>
    </w:p>
    <w:p w14:paraId="33BBC595">
      <w:pPr>
        <w:pStyle w:val="305"/>
        <w:numPr>
          <w:ilvl w:val="0"/>
          <w:numId w:val="4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当原油外输管路需要补偿热膨胀和浮体变形时，</w:t>
      </w:r>
      <w:r>
        <w:rPr>
          <w:rFonts w:hint="default" w:ascii="宋体" w:hAnsi="宋体" w:cs="宋体"/>
          <w:color w:val="auto"/>
          <w:highlight w:val="none"/>
          <w:lang w:val="en-US" w:eastAsia="zh-CN"/>
        </w:rPr>
        <w:t>应</w:t>
      </w:r>
      <w:r>
        <w:rPr>
          <w:rFonts w:hint="eastAsia" w:ascii="宋体" w:hAnsi="宋体" w:cs="宋体"/>
          <w:color w:val="auto"/>
          <w:highlight w:val="none"/>
          <w:lang w:val="en-US" w:eastAsia="zh-CN"/>
        </w:rPr>
        <w:t>采取补偿措施。</w:t>
      </w:r>
    </w:p>
    <w:p w14:paraId="0EB0CFBF">
      <w:pPr>
        <w:pStyle w:val="261"/>
        <w:outlineLvl w:val="2"/>
        <w:rPr>
          <w:rFonts w:hint="default" w:ascii="Times New Roman" w:hAnsi="Times New Roman" w:cs="Times New Roman"/>
          <w:color w:val="auto"/>
          <w:highlight w:val="none"/>
          <w:lang w:val="en-US" w:eastAsia="zh-CN"/>
        </w:rPr>
      </w:pPr>
      <w:bookmarkStart w:id="688" w:name="_Toc15139"/>
      <w:bookmarkStart w:id="689" w:name="_Toc26110"/>
      <w:bookmarkStart w:id="690" w:name="_Toc16867"/>
      <w:r>
        <w:rPr>
          <w:rFonts w:hint="default" w:ascii="Times New Roman" w:hAnsi="Times New Roman" w:cs="Times New Roman"/>
          <w:color w:val="auto"/>
          <w:highlight w:val="none"/>
          <w:lang w:val="en-US" w:eastAsia="zh-CN"/>
        </w:rPr>
        <w:t>外输系统</w:t>
      </w:r>
      <w:bookmarkEnd w:id="688"/>
      <w:bookmarkEnd w:id="689"/>
      <w:bookmarkEnd w:id="690"/>
    </w:p>
    <w:p w14:paraId="310A0DD7">
      <w:pPr>
        <w:pStyle w:val="327"/>
        <w:ind w:left="0"/>
        <w:rPr>
          <w:rFonts w:hint="default" w:hAnsi="Times New Roman" w:cs="Times New Roman"/>
          <w:color w:val="auto"/>
          <w:highlight w:val="none"/>
          <w:lang w:val="en-US" w:eastAsia="zh-CN"/>
        </w:rPr>
      </w:pPr>
      <w:r>
        <w:rPr>
          <w:rFonts w:hint="default" w:hAnsi="Times New Roman" w:cs="Times New Roman"/>
          <w:color w:val="auto"/>
          <w:highlight w:val="none"/>
          <w:lang w:val="en-US" w:eastAsia="zh-CN"/>
        </w:rPr>
        <w:t>大缆绞车应配备带有显示、声光报警和记录功能的自动张力监测系统</w:t>
      </w:r>
      <w:r>
        <w:rPr>
          <w:rFonts w:hint="eastAsia" w:hAnsi="Times New Roman" w:cs="Times New Roman"/>
          <w:color w:val="auto"/>
          <w:highlight w:val="none"/>
          <w:lang w:val="en-US" w:eastAsia="zh-CN"/>
        </w:rPr>
        <w:t>，</w:t>
      </w:r>
      <w:r>
        <w:rPr>
          <w:rFonts w:hint="default" w:hAnsi="Times New Roman" w:cs="Times New Roman"/>
          <w:color w:val="auto"/>
          <w:highlight w:val="none"/>
          <w:lang w:val="en-US" w:eastAsia="zh-CN"/>
        </w:rPr>
        <w:t>还应配备快速释放装置，能在</w:t>
      </w:r>
      <w:r>
        <w:rPr>
          <w:rFonts w:hint="eastAsia" w:hAnsi="Times New Roman" w:cs="Times New Roman"/>
          <w:color w:val="auto"/>
          <w:highlight w:val="none"/>
          <w:lang w:val="en-US" w:eastAsia="zh-CN"/>
        </w:rPr>
        <w:t>应急</w:t>
      </w:r>
      <w:r>
        <w:rPr>
          <w:rFonts w:hint="default" w:hAnsi="Times New Roman" w:cs="Times New Roman"/>
          <w:color w:val="auto"/>
          <w:highlight w:val="none"/>
          <w:lang w:val="en-US" w:eastAsia="zh-CN"/>
        </w:rPr>
        <w:t>情况下快速断开</w:t>
      </w:r>
      <w:r>
        <w:rPr>
          <w:rFonts w:hint="eastAsia" w:hAnsi="Times New Roman" w:cs="Times New Roman"/>
          <w:color w:val="auto"/>
          <w:highlight w:val="none"/>
          <w:lang w:val="en-US" w:eastAsia="zh-CN"/>
        </w:rPr>
        <w:t>FPSO</w:t>
      </w:r>
      <w:r>
        <w:rPr>
          <w:rFonts w:hint="default" w:hAnsi="Times New Roman" w:cs="Times New Roman"/>
          <w:color w:val="auto"/>
          <w:highlight w:val="none"/>
          <w:lang w:val="en-US" w:eastAsia="zh-CN"/>
        </w:rPr>
        <w:t>与串靠</w:t>
      </w:r>
      <w:r>
        <w:rPr>
          <w:rFonts w:hint="eastAsia" w:hAnsi="Times New Roman" w:cs="Times New Roman"/>
          <w:color w:val="auto"/>
          <w:highlight w:val="none"/>
          <w:lang w:val="en-US" w:eastAsia="zh-CN"/>
        </w:rPr>
        <w:t>穿梭</w:t>
      </w:r>
      <w:r>
        <w:rPr>
          <w:rFonts w:hint="default" w:hAnsi="Times New Roman" w:cs="Times New Roman"/>
          <w:color w:val="auto"/>
          <w:highlight w:val="none"/>
          <w:lang w:val="en-US" w:eastAsia="zh-CN"/>
        </w:rPr>
        <w:t>油轮之间的缆绳连接。快速释放装置应在本地和中央控制室均可操作。</w:t>
      </w:r>
    </w:p>
    <w:p w14:paraId="1263FE2A">
      <w:pPr>
        <w:pStyle w:val="327"/>
        <w:ind w:left="0"/>
        <w:rPr>
          <w:rFonts w:hint="default" w:hAnsi="Times New Roman" w:cs="Times New Roman"/>
          <w:color w:val="auto"/>
          <w:highlight w:val="none"/>
          <w:lang w:val="en-US" w:eastAsia="zh-CN"/>
        </w:rPr>
      </w:pPr>
      <w:r>
        <w:rPr>
          <w:rFonts w:hint="eastAsia" w:hAnsi="Times New Roman" w:cs="Times New Roman"/>
          <w:color w:val="auto"/>
          <w:highlight w:val="none"/>
          <w:lang w:val="en-US" w:eastAsia="zh-CN"/>
        </w:rPr>
        <w:t>软管滚筒或外输</w:t>
      </w:r>
      <w:r>
        <w:rPr>
          <w:rFonts w:hint="default" w:hAnsi="Times New Roman" w:cs="Times New Roman"/>
          <w:color w:val="auto"/>
          <w:highlight w:val="none"/>
          <w:lang w:val="en-US" w:eastAsia="zh-CN"/>
        </w:rPr>
        <w:t>软管应配置应急解脱装置，在</w:t>
      </w:r>
      <w:r>
        <w:rPr>
          <w:rFonts w:hint="eastAsia" w:hAnsi="Times New Roman" w:cs="Times New Roman"/>
          <w:color w:val="auto"/>
          <w:highlight w:val="none"/>
          <w:lang w:val="en-US" w:eastAsia="zh-CN"/>
        </w:rPr>
        <w:t>应急</w:t>
      </w:r>
      <w:r>
        <w:rPr>
          <w:rFonts w:hint="default" w:hAnsi="Times New Roman" w:cs="Times New Roman"/>
          <w:color w:val="auto"/>
          <w:highlight w:val="none"/>
          <w:lang w:val="en-US" w:eastAsia="zh-CN"/>
        </w:rPr>
        <w:t>状态下能迅速安全地将软管脱离，</w:t>
      </w:r>
      <w:r>
        <w:rPr>
          <w:rFonts w:hint="eastAsia" w:hAnsi="Times New Roman" w:cs="Times New Roman"/>
          <w:color w:val="auto"/>
          <w:highlight w:val="none"/>
          <w:lang w:val="en-US" w:eastAsia="zh-CN"/>
        </w:rPr>
        <w:t>管道</w:t>
      </w:r>
      <w:r>
        <w:rPr>
          <w:rFonts w:hint="default" w:hAnsi="Times New Roman" w:cs="Times New Roman"/>
          <w:color w:val="auto"/>
          <w:highlight w:val="none"/>
          <w:lang w:val="en-US" w:eastAsia="zh-CN"/>
        </w:rPr>
        <w:t>断开处两端应自动封闭，</w:t>
      </w:r>
      <w:r>
        <w:rPr>
          <w:rFonts w:hint="eastAsia" w:hAnsi="Times New Roman" w:cs="Times New Roman"/>
          <w:color w:val="auto"/>
          <w:highlight w:val="none"/>
          <w:lang w:val="en-US" w:eastAsia="zh-CN"/>
        </w:rPr>
        <w:t>防止管道</w:t>
      </w:r>
      <w:r>
        <w:rPr>
          <w:rFonts w:hint="default" w:hAnsi="Times New Roman" w:cs="Times New Roman"/>
          <w:color w:val="auto"/>
          <w:highlight w:val="none"/>
          <w:lang w:val="en-US" w:eastAsia="zh-CN"/>
        </w:rPr>
        <w:t>内原油外漏。</w:t>
      </w:r>
    </w:p>
    <w:p w14:paraId="5E9B7205">
      <w:pPr>
        <w:pStyle w:val="327"/>
        <w:ind w:left="0"/>
        <w:rPr>
          <w:rFonts w:hint="default" w:hAnsi="Times New Roman" w:cs="Times New Roman"/>
          <w:color w:val="auto"/>
          <w:highlight w:val="none"/>
          <w:lang w:val="en-US" w:eastAsia="zh-CN"/>
        </w:rPr>
      </w:pPr>
      <w:r>
        <w:rPr>
          <w:rFonts w:hint="eastAsia" w:hAnsi="Times New Roman" w:cs="Times New Roman"/>
          <w:color w:val="auto"/>
          <w:highlight w:val="none"/>
          <w:lang w:val="en-US" w:eastAsia="zh-CN"/>
        </w:rPr>
        <w:t>外输完成后外输系统应实现氮气吹扫或污油水舱来流冲洗。</w:t>
      </w:r>
    </w:p>
    <w:p w14:paraId="154BDE99">
      <w:pPr>
        <w:pStyle w:val="327"/>
        <w:ind w:left="0"/>
        <w:rPr>
          <w:rFonts w:hint="default" w:hAnsi="Times New Roman" w:cs="Times New Roman"/>
          <w:color w:val="auto"/>
          <w:highlight w:val="none"/>
          <w:lang w:val="en-US" w:eastAsia="zh-CN"/>
        </w:rPr>
      </w:pPr>
      <w:r>
        <w:rPr>
          <w:rFonts w:hint="default" w:hAnsi="Times New Roman" w:cs="Times New Roman"/>
          <w:color w:val="auto"/>
          <w:highlight w:val="none"/>
          <w:lang w:val="en-US" w:eastAsia="zh-CN"/>
        </w:rPr>
        <w:t>外输控制与监控</w:t>
      </w:r>
      <w:r>
        <w:rPr>
          <w:rFonts w:hint="eastAsia" w:ascii="宋体" w:hAnsi="宋体" w:eastAsia="宋体" w:cs="宋体"/>
          <w:color w:val="auto"/>
          <w:highlight w:val="none"/>
          <w:lang w:val="en-US" w:eastAsia="zh-CN"/>
        </w:rPr>
        <w:t>满足以下要求：</w:t>
      </w:r>
    </w:p>
    <w:p w14:paraId="0092B6FB">
      <w:pPr>
        <w:pStyle w:val="305"/>
        <w:numPr>
          <w:ilvl w:val="0"/>
          <w:numId w:val="44"/>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在外输控制站(室)内应有监控卸油操作、卸油关断及遥控应急解脱的措施</w:t>
      </w:r>
      <w:r>
        <w:rPr>
          <w:rFonts w:hint="eastAsia" w:ascii="宋体" w:hAnsi="宋体" w:cs="宋体"/>
          <w:color w:val="auto"/>
          <w:highlight w:val="none"/>
          <w:lang w:val="en-US" w:eastAsia="zh-CN"/>
        </w:rPr>
        <w:t>；</w:t>
      </w:r>
    </w:p>
    <w:p w14:paraId="424F6AFE">
      <w:pPr>
        <w:pStyle w:val="305"/>
        <w:numPr>
          <w:ilvl w:val="0"/>
          <w:numId w:val="44"/>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外输控制站(室)应设</w:t>
      </w:r>
      <w:r>
        <w:rPr>
          <w:rFonts w:hint="eastAsia" w:ascii="宋体" w:hAnsi="宋体" w:cs="宋体"/>
          <w:color w:val="auto"/>
          <w:highlight w:val="none"/>
          <w:lang w:val="en-US" w:eastAsia="zh-CN"/>
        </w:rPr>
        <w:t>置</w:t>
      </w:r>
      <w:r>
        <w:rPr>
          <w:rFonts w:hint="default" w:ascii="宋体" w:hAnsi="宋体" w:cs="宋体"/>
          <w:color w:val="auto"/>
          <w:highlight w:val="none"/>
          <w:lang w:val="en-US" w:eastAsia="zh-CN"/>
        </w:rPr>
        <w:t>在安全地点，并至少有两种</w:t>
      </w:r>
      <w:r>
        <w:rPr>
          <w:rFonts w:hint="eastAsia" w:ascii="宋体" w:hAnsi="宋体" w:cs="宋体"/>
          <w:color w:val="auto"/>
          <w:highlight w:val="none"/>
          <w:lang w:val="en-US" w:eastAsia="zh-CN"/>
        </w:rPr>
        <w:t>相互</w:t>
      </w:r>
      <w:r>
        <w:rPr>
          <w:rFonts w:hint="default" w:ascii="宋体" w:hAnsi="宋体" w:cs="宋体"/>
          <w:color w:val="auto"/>
          <w:highlight w:val="none"/>
          <w:lang w:val="en-US" w:eastAsia="zh-CN"/>
        </w:rPr>
        <w:t>独立的通信</w:t>
      </w:r>
      <w:r>
        <w:rPr>
          <w:rFonts w:hint="eastAsia" w:ascii="宋体" w:hAnsi="宋体" w:cs="宋体"/>
          <w:color w:val="auto"/>
          <w:highlight w:val="none"/>
          <w:lang w:val="en-US" w:eastAsia="zh-CN"/>
        </w:rPr>
        <w:t>方式</w:t>
      </w:r>
      <w:r>
        <w:rPr>
          <w:rFonts w:hint="default" w:ascii="宋体" w:hAnsi="宋体" w:cs="宋体"/>
          <w:color w:val="auto"/>
          <w:highlight w:val="none"/>
          <w:lang w:val="en-US" w:eastAsia="zh-CN"/>
        </w:rPr>
        <w:t>与穿梭油轮进行联系</w:t>
      </w:r>
      <w:r>
        <w:rPr>
          <w:rFonts w:hint="eastAsia" w:ascii="宋体" w:hAnsi="宋体" w:cs="宋体"/>
          <w:color w:val="auto"/>
          <w:highlight w:val="none"/>
          <w:lang w:val="en-US" w:eastAsia="zh-CN"/>
        </w:rPr>
        <w:t>；</w:t>
      </w:r>
    </w:p>
    <w:p w14:paraId="33AAAF44">
      <w:pPr>
        <w:pStyle w:val="305"/>
        <w:numPr>
          <w:ilvl w:val="0"/>
          <w:numId w:val="44"/>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外输系统应</w:t>
      </w:r>
      <w:r>
        <w:rPr>
          <w:rFonts w:hint="eastAsia" w:ascii="宋体" w:hAnsi="宋体" w:cs="宋体"/>
          <w:color w:val="auto"/>
          <w:highlight w:val="none"/>
          <w:lang w:val="en-US" w:eastAsia="zh-CN"/>
        </w:rPr>
        <w:t>设置</w:t>
      </w:r>
      <w:r>
        <w:rPr>
          <w:rFonts w:hint="default" w:ascii="宋体" w:hAnsi="宋体" w:cs="宋体"/>
          <w:color w:val="auto"/>
          <w:highlight w:val="none"/>
          <w:lang w:val="en-US" w:eastAsia="zh-CN"/>
        </w:rPr>
        <w:t>仪器仪表以连续监测卸油压力</w:t>
      </w:r>
      <w:r>
        <w:rPr>
          <w:rFonts w:hint="eastAsia" w:ascii="宋体" w:hAnsi="宋体" w:cs="宋体"/>
          <w:color w:val="auto"/>
          <w:highlight w:val="none"/>
          <w:lang w:val="en-US" w:eastAsia="zh-CN"/>
        </w:rPr>
        <w:t>；</w:t>
      </w:r>
    </w:p>
    <w:p w14:paraId="1A5D27DD">
      <w:pPr>
        <w:pStyle w:val="305"/>
        <w:numPr>
          <w:ilvl w:val="0"/>
          <w:numId w:val="44"/>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控制系统应</w:t>
      </w:r>
      <w:r>
        <w:rPr>
          <w:rFonts w:hint="eastAsia" w:ascii="宋体" w:hAnsi="宋体" w:cs="宋体"/>
          <w:color w:val="auto"/>
          <w:highlight w:val="none"/>
          <w:lang w:val="en-US" w:eastAsia="zh-CN"/>
        </w:rPr>
        <w:t>具有联</w:t>
      </w:r>
      <w:r>
        <w:rPr>
          <w:rFonts w:hint="default" w:ascii="宋体" w:hAnsi="宋体" w:cs="宋体"/>
          <w:color w:val="auto"/>
          <w:highlight w:val="none"/>
          <w:lang w:val="en-US" w:eastAsia="zh-CN"/>
        </w:rPr>
        <w:t>锁功能以避免溢油或误操作</w:t>
      </w:r>
      <w:r>
        <w:rPr>
          <w:rFonts w:hint="eastAsia" w:ascii="宋体" w:hAnsi="宋体" w:cs="宋体"/>
          <w:color w:val="auto"/>
          <w:highlight w:val="none"/>
          <w:lang w:val="en-US" w:eastAsia="zh-CN"/>
        </w:rPr>
        <w:t>；</w:t>
      </w:r>
    </w:p>
    <w:p w14:paraId="21154F24">
      <w:pPr>
        <w:pStyle w:val="305"/>
        <w:numPr>
          <w:ilvl w:val="0"/>
          <w:numId w:val="44"/>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正常或应急解脱不应导致漏油、产生引爆源</w:t>
      </w:r>
      <w:r>
        <w:rPr>
          <w:rFonts w:hint="eastAsia" w:ascii="宋体" w:hAnsi="宋体" w:cs="宋体"/>
          <w:color w:val="auto"/>
          <w:highlight w:val="none"/>
          <w:lang w:val="en-US" w:eastAsia="zh-CN"/>
        </w:rPr>
        <w:t>及</w:t>
      </w:r>
      <w:r>
        <w:rPr>
          <w:rFonts w:hint="default" w:ascii="宋体" w:hAnsi="宋体" w:cs="宋体"/>
          <w:color w:val="auto"/>
          <w:highlight w:val="none"/>
          <w:lang w:val="en-US" w:eastAsia="zh-CN"/>
        </w:rPr>
        <w:t>任何形式的超负荷或造成任何损坏。</w:t>
      </w:r>
    </w:p>
    <w:bookmarkEnd w:id="673"/>
    <w:bookmarkEnd w:id="674"/>
    <w:bookmarkEnd w:id="675"/>
    <w:bookmarkEnd w:id="676"/>
    <w:bookmarkEnd w:id="677"/>
    <w:bookmarkEnd w:id="678"/>
    <w:p w14:paraId="6FD6807F">
      <w:pPr>
        <w:pStyle w:val="261"/>
        <w:tabs>
          <w:tab w:val="left" w:pos="0"/>
        </w:tabs>
        <w:spacing w:before="156" w:after="156"/>
        <w:outlineLvl w:val="2"/>
        <w:rPr>
          <w:rFonts w:hint="default" w:ascii="Times New Roman" w:hAnsi="Times New Roman" w:cs="Times New Roman"/>
          <w:color w:val="auto"/>
          <w:highlight w:val="none"/>
        </w:rPr>
      </w:pPr>
      <w:bookmarkStart w:id="691" w:name="_Toc17388"/>
      <w:bookmarkStart w:id="692" w:name="_Toc11436"/>
      <w:bookmarkStart w:id="693" w:name="_Toc20306"/>
      <w:r>
        <w:rPr>
          <w:rFonts w:hint="default" w:ascii="Times New Roman" w:hAnsi="Times New Roman" w:cs="Times New Roman"/>
          <w:color w:val="auto"/>
          <w:highlight w:val="none"/>
        </w:rPr>
        <w:t>压载系统</w:t>
      </w:r>
      <w:bookmarkEnd w:id="691"/>
      <w:bookmarkEnd w:id="692"/>
      <w:bookmarkEnd w:id="693"/>
    </w:p>
    <w:p w14:paraId="6C1BEA36">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原油区域内的压载水舱管系与原油区域外的压载管系应分开设置。</w:t>
      </w:r>
    </w:p>
    <w:p w14:paraId="6CDF91E7">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应至少设置</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台压载泵，应安全操作整个压载系统</w:t>
      </w:r>
      <w:r>
        <w:rPr>
          <w:rFonts w:hint="eastAsia" w:ascii="宋体" w:hAnsi="宋体" w:eastAsia="宋体" w:cs="宋体"/>
          <w:color w:val="auto"/>
          <w:highlight w:val="none"/>
          <w:lang w:val="en-US" w:eastAsia="zh-CN"/>
        </w:rPr>
        <w:t>进行注入和排</w:t>
      </w:r>
      <w:r>
        <w:rPr>
          <w:rFonts w:hint="eastAsia" w:ascii="宋体" w:hAnsi="宋体" w:eastAsia="宋体" w:cs="宋体"/>
          <w:color w:val="auto"/>
          <w:highlight w:val="none"/>
        </w:rPr>
        <w:t>出。每一压载舱至少能由</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台独立的压载泵进行排载，其中任一台故障或舱室进水、火灾、其他损坏时，压载系统仍能保持工作。</w:t>
      </w:r>
    </w:p>
    <w:p w14:paraId="6246EFF1">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对</w:t>
      </w:r>
      <w:r>
        <w:rPr>
          <w:rFonts w:hint="eastAsia" w:ascii="宋体" w:hAnsi="宋体" w:eastAsia="宋体" w:cs="宋体"/>
          <w:color w:val="auto"/>
          <w:highlight w:val="none"/>
          <w:lang w:val="en-US" w:eastAsia="zh-CN"/>
        </w:rPr>
        <w:t>半潜式（</w:t>
      </w:r>
      <w:r>
        <w:rPr>
          <w:rFonts w:hint="eastAsia" w:ascii="宋体" w:hAnsi="宋体" w:eastAsia="宋体" w:cs="宋体"/>
          <w:color w:val="auto"/>
          <w:highlight w:val="none"/>
        </w:rPr>
        <w:t>柱稳式</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lang w:val="en-US" w:eastAsia="zh-CN"/>
        </w:rPr>
        <w:t>还满足以下要求</w:t>
      </w:r>
      <w:r>
        <w:rPr>
          <w:rFonts w:hint="eastAsia" w:ascii="宋体" w:hAnsi="宋体" w:eastAsia="宋体" w:cs="宋体"/>
          <w:color w:val="auto"/>
          <w:highlight w:val="none"/>
          <w:lang w:eastAsia="zh-CN"/>
        </w:rPr>
        <w:t>：</w:t>
      </w:r>
    </w:p>
    <w:p w14:paraId="2112E393">
      <w:pPr>
        <w:pStyle w:val="305"/>
        <w:numPr>
          <w:ilvl w:val="0"/>
          <w:numId w:val="45"/>
        </w:numPr>
        <w:ind w:left="839" w:leftChars="0" w:hanging="419" w:firstLineChars="0"/>
        <w:rPr>
          <w:rFonts w:hint="eastAsia" w:ascii="宋体" w:hAnsi="宋体" w:cs="宋体"/>
          <w:color w:val="auto"/>
          <w:highlight w:val="none"/>
          <w:lang w:val="en-US" w:eastAsia="zh-CN"/>
        </w:rPr>
      </w:pPr>
      <w:r>
        <w:rPr>
          <w:rFonts w:hint="eastAsia" w:hAnsi="宋体" w:cs="宋体"/>
          <w:color w:val="auto"/>
          <w:highlight w:val="none"/>
          <w:lang w:val="en-US" w:eastAsia="zh-CN"/>
        </w:rPr>
        <w:t>2</w:t>
      </w:r>
      <w:r>
        <w:rPr>
          <w:rFonts w:hint="eastAsia" w:ascii="宋体" w:hAnsi="宋体" w:cs="宋体"/>
          <w:color w:val="auto"/>
          <w:highlight w:val="none"/>
          <w:lang w:val="en-US" w:eastAsia="zh-CN"/>
        </w:rPr>
        <w:t>台压载泵均应配置应急电源；</w:t>
      </w:r>
    </w:p>
    <w:p w14:paraId="24C62905">
      <w:pPr>
        <w:pStyle w:val="305"/>
        <w:numPr>
          <w:ilvl w:val="0"/>
          <w:numId w:val="4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压载系统应在假定的破损之后仍能工作，并能在一台泵失效情况下，使FPSO恢复到安全吃水和浮态；</w:t>
      </w:r>
    </w:p>
    <w:p w14:paraId="232661ED">
      <w:pPr>
        <w:pStyle w:val="305"/>
        <w:numPr>
          <w:ilvl w:val="0"/>
          <w:numId w:val="4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压载系统应使FPSO在3 h内从最大正常作业吃水的水平状态提升4.6 m或至风暴吃水，取两者的较大值；</w:t>
      </w:r>
    </w:p>
    <w:p w14:paraId="084ECF1D">
      <w:pPr>
        <w:pStyle w:val="305"/>
        <w:numPr>
          <w:ilvl w:val="0"/>
          <w:numId w:val="4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压载系统的布置和操作应防止压载水从一个水密舱室转送到另外水密舱室，以防产生力矩移动、导致过大的横倾或纵倾；</w:t>
      </w:r>
    </w:p>
    <w:p w14:paraId="6D2CADF7">
      <w:pPr>
        <w:pStyle w:val="305"/>
        <w:numPr>
          <w:ilvl w:val="0"/>
          <w:numId w:val="4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集中压载控制站应位于破损最严重时吃水线以上，且不在假定破损范围内；</w:t>
      </w:r>
    </w:p>
    <w:p w14:paraId="32D5E3AE">
      <w:pPr>
        <w:pStyle w:val="305"/>
        <w:numPr>
          <w:ilvl w:val="0"/>
          <w:numId w:val="45"/>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集中压载控制站遥控的压载泵及阀件应在其失灵时进行就地控制</w:t>
      </w:r>
      <w:r>
        <w:rPr>
          <w:rFonts w:hint="eastAsia" w:ascii="宋体" w:hAnsi="宋体" w:cs="宋体"/>
          <w:color w:val="auto"/>
          <w:highlight w:val="none"/>
          <w:lang w:val="en-US" w:eastAsia="zh-CN"/>
        </w:rPr>
        <w:t>；</w:t>
      </w:r>
    </w:p>
    <w:p w14:paraId="32CAE8D3">
      <w:pPr>
        <w:pStyle w:val="305"/>
        <w:numPr>
          <w:ilvl w:val="0"/>
          <w:numId w:val="45"/>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集中压载控制站与压载泵和阀所在</w:t>
      </w:r>
      <w:r>
        <w:rPr>
          <w:rFonts w:hint="eastAsia" w:ascii="宋体" w:hAnsi="宋体" w:cs="宋体"/>
          <w:color w:val="auto"/>
          <w:highlight w:val="none"/>
          <w:lang w:val="en-US" w:eastAsia="zh-CN"/>
        </w:rPr>
        <w:t>的</w:t>
      </w:r>
      <w:r>
        <w:rPr>
          <w:rFonts w:hint="default" w:ascii="宋体" w:hAnsi="宋体" w:cs="宋体"/>
          <w:color w:val="auto"/>
          <w:highlight w:val="none"/>
          <w:lang w:val="en-US" w:eastAsia="zh-CN"/>
        </w:rPr>
        <w:t>处所间应</w:t>
      </w:r>
      <w:r>
        <w:rPr>
          <w:rFonts w:hint="eastAsia" w:ascii="宋体" w:hAnsi="宋体" w:cs="宋体"/>
          <w:color w:val="auto"/>
          <w:highlight w:val="none"/>
          <w:lang w:val="en-US" w:eastAsia="zh-CN"/>
        </w:rPr>
        <w:t>设</w:t>
      </w:r>
      <w:r>
        <w:rPr>
          <w:rFonts w:hint="default" w:ascii="宋体" w:hAnsi="宋体" w:cs="宋体"/>
          <w:color w:val="auto"/>
          <w:highlight w:val="none"/>
          <w:lang w:val="en-US" w:eastAsia="zh-CN"/>
        </w:rPr>
        <w:t>有独立于主电源的通信</w:t>
      </w:r>
      <w:r>
        <w:rPr>
          <w:rFonts w:hint="eastAsia" w:ascii="宋体" w:hAnsi="宋体" w:cs="宋体"/>
          <w:color w:val="auto"/>
          <w:highlight w:val="none"/>
          <w:lang w:val="en-US" w:eastAsia="zh-CN"/>
        </w:rPr>
        <w:t>设施；</w:t>
      </w:r>
    </w:p>
    <w:p w14:paraId="4F6C6CB1">
      <w:pPr>
        <w:pStyle w:val="305"/>
        <w:numPr>
          <w:ilvl w:val="0"/>
          <w:numId w:val="45"/>
        </w:numPr>
        <w:ind w:left="839" w:leftChars="0" w:hanging="419" w:firstLineChars="0"/>
        <w:rPr>
          <w:rFonts w:hint="default" w:ascii="宋体" w:hAnsi="宋体" w:cs="宋体"/>
          <w:color w:val="auto"/>
          <w:highlight w:val="none"/>
          <w:lang w:val="en-US" w:eastAsia="zh-CN"/>
        </w:rPr>
      </w:pPr>
      <w:r>
        <w:rPr>
          <w:rFonts w:hint="eastAsia" w:ascii="宋体" w:hAnsi="宋体" w:cs="宋体"/>
          <w:color w:val="auto"/>
          <w:highlight w:val="none"/>
          <w:lang w:val="en-US" w:eastAsia="zh-CN"/>
        </w:rPr>
        <w:t>除</w:t>
      </w:r>
      <w:r>
        <w:rPr>
          <w:rFonts w:hint="default" w:ascii="宋体" w:hAnsi="宋体" w:cs="宋体"/>
          <w:color w:val="auto"/>
          <w:highlight w:val="none"/>
          <w:lang w:val="en-US" w:eastAsia="zh-CN"/>
        </w:rPr>
        <w:t>经评估认为在开启状态有利时</w:t>
      </w:r>
      <w:r>
        <w:rPr>
          <w:rFonts w:hint="eastAsia" w:ascii="宋体" w:hAnsi="宋体" w:cs="宋体"/>
          <w:color w:val="auto"/>
          <w:highlight w:val="none"/>
          <w:lang w:val="en-US" w:eastAsia="zh-CN"/>
        </w:rPr>
        <w:t>的</w:t>
      </w:r>
      <w:r>
        <w:rPr>
          <w:rFonts w:hint="default" w:ascii="宋体" w:hAnsi="宋体" w:cs="宋体"/>
          <w:color w:val="auto"/>
          <w:highlight w:val="none"/>
          <w:lang w:val="en-US" w:eastAsia="zh-CN"/>
        </w:rPr>
        <w:t>阀件</w:t>
      </w:r>
      <w:r>
        <w:rPr>
          <w:rFonts w:hint="eastAsia" w:ascii="宋体" w:hAnsi="宋体" w:cs="宋体"/>
          <w:color w:val="auto"/>
          <w:highlight w:val="none"/>
          <w:lang w:val="en-US" w:eastAsia="zh-CN"/>
        </w:rPr>
        <w:t>外</w:t>
      </w:r>
      <w:r>
        <w:rPr>
          <w:rFonts w:hint="default" w:ascii="宋体" w:hAnsi="宋体" w:cs="宋体"/>
          <w:color w:val="auto"/>
          <w:highlight w:val="none"/>
          <w:lang w:val="en-US" w:eastAsia="zh-CN"/>
        </w:rPr>
        <w:t>，动力操纵的阀件在失去动力时应处在关闭位置</w:t>
      </w:r>
      <w:r>
        <w:rPr>
          <w:rFonts w:hint="eastAsia" w:ascii="宋体" w:hAnsi="宋体" w:cs="宋体"/>
          <w:color w:val="auto"/>
          <w:highlight w:val="none"/>
          <w:lang w:val="en-US" w:eastAsia="zh-CN"/>
        </w:rPr>
        <w:t>；</w:t>
      </w:r>
    </w:p>
    <w:p w14:paraId="6D1AA1BF">
      <w:pPr>
        <w:pStyle w:val="305"/>
        <w:numPr>
          <w:ilvl w:val="0"/>
          <w:numId w:val="45"/>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阀门</w:t>
      </w:r>
      <w:r>
        <w:rPr>
          <w:rFonts w:hint="eastAsia" w:ascii="宋体" w:hAnsi="宋体" w:cs="宋体"/>
          <w:color w:val="auto"/>
          <w:highlight w:val="none"/>
          <w:lang w:val="en-US" w:eastAsia="zh-CN"/>
        </w:rPr>
        <w:t>应具备</w:t>
      </w:r>
      <w:r>
        <w:rPr>
          <w:rFonts w:hint="default" w:ascii="宋体" w:hAnsi="宋体" w:cs="宋体"/>
          <w:color w:val="auto"/>
          <w:highlight w:val="none"/>
          <w:lang w:val="en-US" w:eastAsia="zh-CN"/>
        </w:rPr>
        <w:t>开</w:t>
      </w:r>
      <w:r>
        <w:rPr>
          <w:rFonts w:hint="eastAsia" w:ascii="宋体" w:hAnsi="宋体" w:cs="宋体"/>
          <w:color w:val="auto"/>
          <w:highlight w:val="none"/>
          <w:lang w:val="en-US" w:eastAsia="zh-CN"/>
        </w:rPr>
        <w:t>、</w:t>
      </w:r>
      <w:r>
        <w:rPr>
          <w:rFonts w:hint="default" w:ascii="宋体" w:hAnsi="宋体" w:cs="宋体"/>
          <w:color w:val="auto"/>
          <w:highlight w:val="none"/>
          <w:lang w:val="en-US" w:eastAsia="zh-CN"/>
        </w:rPr>
        <w:t>关指示</w:t>
      </w:r>
      <w:r>
        <w:rPr>
          <w:rFonts w:hint="eastAsia" w:ascii="宋体" w:hAnsi="宋体" w:cs="宋体"/>
          <w:color w:val="auto"/>
          <w:highlight w:val="none"/>
          <w:lang w:val="en-US" w:eastAsia="zh-CN"/>
        </w:rPr>
        <w:t>和</w:t>
      </w:r>
      <w:r>
        <w:rPr>
          <w:rFonts w:hint="default" w:ascii="宋体" w:hAnsi="宋体" w:cs="宋体"/>
          <w:color w:val="auto"/>
          <w:highlight w:val="none"/>
          <w:lang w:val="en-US" w:eastAsia="zh-CN"/>
        </w:rPr>
        <w:t>显示</w:t>
      </w:r>
      <w:r>
        <w:rPr>
          <w:rFonts w:hint="eastAsia" w:ascii="宋体" w:hAnsi="宋体" w:cs="宋体"/>
          <w:color w:val="auto"/>
          <w:highlight w:val="none"/>
          <w:lang w:val="en-US" w:eastAsia="zh-CN"/>
        </w:rPr>
        <w:t>；</w:t>
      </w:r>
    </w:p>
    <w:p w14:paraId="51D49246">
      <w:pPr>
        <w:pStyle w:val="305"/>
        <w:numPr>
          <w:ilvl w:val="0"/>
          <w:numId w:val="45"/>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在载重水线以下处所内的海水进出口阀</w:t>
      </w:r>
      <w:r>
        <w:rPr>
          <w:rFonts w:hint="eastAsia" w:ascii="宋体" w:hAnsi="宋体" w:cs="宋体"/>
          <w:color w:val="auto"/>
          <w:highlight w:val="none"/>
          <w:lang w:val="en-US" w:eastAsia="zh-CN"/>
        </w:rPr>
        <w:t>能</w:t>
      </w:r>
      <w:r>
        <w:rPr>
          <w:rFonts w:hint="default" w:ascii="宋体" w:hAnsi="宋体" w:cs="宋体"/>
          <w:color w:val="auto"/>
          <w:highlight w:val="none"/>
          <w:lang w:val="en-US" w:eastAsia="zh-CN"/>
        </w:rPr>
        <w:t>在该处所的外部进行操作。</w:t>
      </w:r>
    </w:p>
    <w:p w14:paraId="5AA7246F">
      <w:pPr>
        <w:pStyle w:val="261"/>
        <w:tabs>
          <w:tab w:val="left" w:pos="0"/>
        </w:tabs>
        <w:spacing w:before="156" w:after="156"/>
        <w:outlineLvl w:val="2"/>
        <w:rPr>
          <w:rFonts w:hint="default" w:ascii="Times New Roman" w:hAnsi="Times New Roman" w:cs="Times New Roman"/>
          <w:color w:val="auto"/>
          <w:highlight w:val="none"/>
        </w:rPr>
      </w:pPr>
      <w:bookmarkStart w:id="694" w:name="_Toc3130"/>
      <w:bookmarkStart w:id="695" w:name="_Toc26894"/>
      <w:bookmarkStart w:id="696" w:name="_Toc10642"/>
      <w:bookmarkStart w:id="697" w:name="_Toc31601"/>
      <w:bookmarkStart w:id="698" w:name="_Toc20133"/>
      <w:bookmarkStart w:id="699" w:name="_Toc8949"/>
      <w:r>
        <w:rPr>
          <w:rFonts w:hint="default" w:ascii="Times New Roman" w:hAnsi="Times New Roman" w:cs="Times New Roman"/>
          <w:color w:val="auto"/>
          <w:highlight w:val="none"/>
        </w:rPr>
        <w:t>舱底水系统</w:t>
      </w:r>
      <w:bookmarkEnd w:id="694"/>
      <w:bookmarkEnd w:id="695"/>
      <w:bookmarkEnd w:id="696"/>
      <w:bookmarkEnd w:id="697"/>
      <w:bookmarkEnd w:id="698"/>
      <w:bookmarkEnd w:id="699"/>
    </w:p>
    <w:p w14:paraId="7B4CD280">
      <w:pPr>
        <w:pStyle w:val="327"/>
        <w:ind w:left="0"/>
        <w:rPr>
          <w:rFonts w:hint="default" w:hAnsi="Times New Roman" w:cs="Times New Roman"/>
          <w:color w:val="auto"/>
          <w:highlight w:val="none"/>
        </w:rPr>
      </w:pPr>
      <w:r>
        <w:rPr>
          <w:rFonts w:hint="default" w:hAnsi="Times New Roman" w:cs="Times New Roman"/>
          <w:color w:val="auto"/>
          <w:highlight w:val="none"/>
        </w:rPr>
        <w:t>非</w:t>
      </w:r>
      <w:r>
        <w:rPr>
          <w:rFonts w:hint="eastAsia" w:hAnsi="Times New Roman" w:cs="Times New Roman"/>
          <w:color w:val="auto"/>
          <w:highlight w:val="none"/>
          <w:lang w:eastAsia="zh-CN"/>
        </w:rPr>
        <w:t>危险</w:t>
      </w:r>
      <w:r>
        <w:rPr>
          <w:rFonts w:hint="eastAsia" w:hAnsi="Times New Roman" w:cs="Times New Roman"/>
          <w:color w:val="auto"/>
          <w:highlight w:val="none"/>
          <w:lang w:val="en-US" w:eastAsia="zh-CN"/>
        </w:rPr>
        <w:t>场所</w:t>
      </w:r>
      <w:r>
        <w:rPr>
          <w:rFonts w:hint="default" w:hAnsi="Times New Roman" w:cs="Times New Roman"/>
          <w:color w:val="auto"/>
          <w:highlight w:val="none"/>
        </w:rPr>
        <w:t>的舱底水与</w:t>
      </w:r>
      <w:r>
        <w:rPr>
          <w:rFonts w:hint="eastAsia" w:hAnsi="Times New Roman" w:cs="Times New Roman"/>
          <w:color w:val="auto"/>
          <w:highlight w:val="none"/>
          <w:lang w:eastAsia="zh-CN"/>
        </w:rPr>
        <w:t>危险</w:t>
      </w:r>
      <w:r>
        <w:rPr>
          <w:rFonts w:hint="eastAsia" w:hAnsi="Times New Roman" w:cs="Times New Roman"/>
          <w:color w:val="auto"/>
          <w:highlight w:val="none"/>
          <w:lang w:val="en-US" w:eastAsia="zh-CN"/>
        </w:rPr>
        <w:t>场所</w:t>
      </w:r>
      <w:r>
        <w:rPr>
          <w:rFonts w:hint="default" w:hAnsi="Times New Roman" w:cs="Times New Roman"/>
          <w:color w:val="auto"/>
          <w:highlight w:val="none"/>
        </w:rPr>
        <w:t>（如原油泵舱及原油区域的空舱）的舱底水系统应分开设置。设置在非</w:t>
      </w:r>
      <w:r>
        <w:rPr>
          <w:rFonts w:hint="eastAsia" w:hAnsi="Times New Roman" w:cs="Times New Roman"/>
          <w:color w:val="auto"/>
          <w:highlight w:val="none"/>
          <w:lang w:eastAsia="zh-CN"/>
        </w:rPr>
        <w:t>危险</w:t>
      </w:r>
      <w:r>
        <w:rPr>
          <w:rFonts w:hint="eastAsia" w:hAnsi="Times New Roman" w:cs="Times New Roman"/>
          <w:color w:val="auto"/>
          <w:highlight w:val="none"/>
          <w:lang w:val="en-US" w:eastAsia="zh-CN"/>
        </w:rPr>
        <w:t>场所</w:t>
      </w:r>
      <w:r>
        <w:rPr>
          <w:rFonts w:hint="default" w:hAnsi="Times New Roman" w:cs="Times New Roman"/>
          <w:color w:val="auto"/>
          <w:highlight w:val="none"/>
        </w:rPr>
        <w:t>的舱底泵，当抽吸艏端或艉端舱室的舱室水时，其管路不</w:t>
      </w:r>
      <w:r>
        <w:rPr>
          <w:rFonts w:hint="eastAsia" w:hAnsi="Times New Roman" w:cs="Times New Roman"/>
          <w:color w:val="auto"/>
          <w:highlight w:val="none"/>
          <w:lang w:val="en-US" w:eastAsia="zh-CN"/>
        </w:rPr>
        <w:t>应</w:t>
      </w:r>
      <w:r>
        <w:rPr>
          <w:rFonts w:hint="default" w:hAnsi="Times New Roman" w:cs="Times New Roman"/>
          <w:color w:val="auto"/>
          <w:highlight w:val="none"/>
        </w:rPr>
        <w:t>通过</w:t>
      </w:r>
      <w:r>
        <w:rPr>
          <w:rFonts w:hint="eastAsia" w:hAnsi="Times New Roman" w:cs="Times New Roman"/>
          <w:color w:val="auto"/>
          <w:highlight w:val="none"/>
          <w:lang w:eastAsia="zh-CN"/>
        </w:rPr>
        <w:t>货油舱</w:t>
      </w:r>
      <w:r>
        <w:rPr>
          <w:rFonts w:hint="default" w:hAnsi="Times New Roman" w:cs="Times New Roman"/>
          <w:color w:val="auto"/>
          <w:highlight w:val="none"/>
        </w:rPr>
        <w:t>。</w:t>
      </w:r>
    </w:p>
    <w:p w14:paraId="31724420">
      <w:pPr>
        <w:pStyle w:val="327"/>
        <w:ind w:left="0"/>
        <w:rPr>
          <w:rFonts w:hint="default" w:hAnsi="Times New Roman" w:cs="Times New Roman"/>
          <w:color w:val="auto"/>
          <w:highlight w:val="none"/>
        </w:rPr>
      </w:pPr>
      <w:r>
        <w:rPr>
          <w:rFonts w:hint="default" w:hAnsi="Times New Roman" w:cs="Times New Roman"/>
          <w:color w:val="auto"/>
          <w:highlight w:val="none"/>
        </w:rPr>
        <w:t>舱底泵应具有自吸能力，水线下的</w:t>
      </w:r>
      <w:r>
        <w:rPr>
          <w:rFonts w:hint="eastAsia" w:hAnsi="Times New Roman" w:cs="Times New Roman"/>
          <w:color w:val="auto"/>
          <w:highlight w:val="none"/>
          <w:lang w:val="en-US" w:eastAsia="zh-CN"/>
        </w:rPr>
        <w:t>机舱、推进器舱</w:t>
      </w:r>
      <w:r>
        <w:rPr>
          <w:rFonts w:hint="default" w:hAnsi="Times New Roman" w:cs="Times New Roman"/>
          <w:color w:val="auto"/>
          <w:highlight w:val="none"/>
        </w:rPr>
        <w:t>还应设应急吸口，应急吸口应接至除舱底泵外最大的一台泵。</w:t>
      </w:r>
    </w:p>
    <w:p w14:paraId="3C6FA458">
      <w:pPr>
        <w:pStyle w:val="327"/>
        <w:ind w:left="0"/>
        <w:rPr>
          <w:rFonts w:hint="default" w:hAnsi="Times New Roman" w:cs="Times New Roman"/>
          <w:color w:val="auto"/>
          <w:highlight w:val="none"/>
        </w:rPr>
      </w:pPr>
      <w:r>
        <w:rPr>
          <w:rFonts w:hint="default" w:hAnsi="Times New Roman" w:cs="Times New Roman"/>
          <w:color w:val="auto"/>
          <w:highlight w:val="none"/>
        </w:rPr>
        <w:t>水线下的机器处所和原油泵舱应设高水位报警装置。对于</w:t>
      </w:r>
      <w:r>
        <w:rPr>
          <w:rFonts w:hint="eastAsia" w:hAnsi="Times New Roman" w:cs="Times New Roman"/>
          <w:color w:val="auto"/>
          <w:highlight w:val="none"/>
          <w:lang w:val="en-US" w:eastAsia="zh-CN"/>
        </w:rPr>
        <w:t>半潜式（</w:t>
      </w:r>
      <w:r>
        <w:rPr>
          <w:rFonts w:hint="default" w:hAnsi="Times New Roman" w:cs="Times New Roman"/>
          <w:color w:val="auto"/>
          <w:highlight w:val="none"/>
        </w:rPr>
        <w:t>柱稳式</w:t>
      </w:r>
      <w:r>
        <w:rPr>
          <w:rFonts w:hint="eastAsia" w:hAnsi="Times New Roman" w:cs="Times New Roman"/>
          <w:color w:val="auto"/>
          <w:highlight w:val="none"/>
          <w:lang w:eastAsia="zh-CN"/>
        </w:rPr>
        <w:t>）</w:t>
      </w:r>
      <w:r>
        <w:rPr>
          <w:rFonts w:hint="default" w:hAnsi="Times New Roman" w:cs="Times New Roman"/>
          <w:color w:val="auto"/>
          <w:highlight w:val="none"/>
        </w:rPr>
        <w:t>的</w:t>
      </w:r>
      <w:r>
        <w:rPr>
          <w:rFonts w:hint="eastAsia" w:hAnsi="Times New Roman" w:cs="Times New Roman"/>
          <w:color w:val="auto"/>
          <w:highlight w:val="none"/>
          <w:lang w:eastAsia="zh-CN"/>
        </w:rPr>
        <w:t>FPSO</w:t>
      </w:r>
      <w:r>
        <w:rPr>
          <w:rFonts w:hint="default" w:hAnsi="Times New Roman" w:cs="Times New Roman"/>
          <w:color w:val="auto"/>
          <w:highlight w:val="none"/>
        </w:rPr>
        <w:t>，其浮体内的机舱和泵舱应设</w:t>
      </w:r>
      <w:r>
        <w:rPr>
          <w:rFonts w:hint="eastAsia" w:hAnsi="Times New Roman" w:cs="Times New Roman"/>
          <w:color w:val="auto"/>
          <w:highlight w:val="none"/>
          <w:lang w:val="en-US" w:eastAsia="zh-CN"/>
        </w:rPr>
        <w:t>2</w:t>
      </w:r>
      <w:r>
        <w:rPr>
          <w:rFonts w:hint="default" w:hAnsi="Times New Roman" w:cs="Times New Roman"/>
          <w:color w:val="auto"/>
          <w:highlight w:val="none"/>
        </w:rPr>
        <w:t>套独立的舱底水高水位报警系统，并在</w:t>
      </w:r>
      <w:r>
        <w:rPr>
          <w:rFonts w:hint="default" w:ascii="Times New Roman" w:hAnsi="Times New Roman" w:cs="Times New Roman" w:eastAsiaTheme="minorEastAsia"/>
          <w:color w:val="auto"/>
          <w:highlight w:val="none"/>
          <w:lang w:val="en-US" w:eastAsia="zh-CN"/>
        </w:rPr>
        <w:t>集中</w:t>
      </w:r>
      <w:r>
        <w:rPr>
          <w:rFonts w:hint="default" w:ascii="Times New Roman" w:hAnsi="Times New Roman" w:cs="Times New Roman" w:eastAsiaTheme="minorEastAsia"/>
          <w:color w:val="auto"/>
          <w:highlight w:val="none"/>
        </w:rPr>
        <w:t>压载控制站</w:t>
      </w:r>
      <w:r>
        <w:rPr>
          <w:rFonts w:hint="default" w:hAnsi="Times New Roman" w:cs="Times New Roman"/>
          <w:color w:val="auto"/>
          <w:highlight w:val="none"/>
        </w:rPr>
        <w:t>有声、光显示。</w:t>
      </w:r>
    </w:p>
    <w:p w14:paraId="4665C7B9">
      <w:pPr>
        <w:pStyle w:val="327"/>
        <w:ind w:left="0"/>
        <w:rPr>
          <w:rFonts w:hint="default" w:hAnsi="Times New Roman" w:cs="Times New Roman"/>
          <w:color w:val="auto"/>
          <w:highlight w:val="none"/>
        </w:rPr>
      </w:pPr>
      <w:r>
        <w:rPr>
          <w:rFonts w:hint="default" w:hAnsi="Times New Roman" w:cs="Times New Roman"/>
          <w:color w:val="auto"/>
          <w:highlight w:val="none"/>
        </w:rPr>
        <w:t>如锚链舱进水会明显影响其稳性，</w:t>
      </w:r>
      <w:r>
        <w:rPr>
          <w:rFonts w:hint="eastAsia" w:hAnsi="Times New Roman" w:cs="Times New Roman"/>
          <w:color w:val="auto"/>
          <w:highlight w:val="none"/>
          <w:lang w:val="en-US" w:eastAsia="zh-CN"/>
        </w:rPr>
        <w:t>半潜式（</w:t>
      </w:r>
      <w:r>
        <w:rPr>
          <w:rFonts w:hint="default" w:hAnsi="Times New Roman" w:cs="Times New Roman"/>
          <w:color w:val="auto"/>
          <w:highlight w:val="none"/>
        </w:rPr>
        <w:t>柱稳式</w:t>
      </w:r>
      <w:r>
        <w:rPr>
          <w:rFonts w:hint="eastAsia" w:hAnsi="Times New Roman" w:cs="Times New Roman"/>
          <w:color w:val="auto"/>
          <w:highlight w:val="none"/>
          <w:lang w:eastAsia="zh-CN"/>
        </w:rPr>
        <w:t>）FPSO</w:t>
      </w:r>
      <w:r>
        <w:rPr>
          <w:rFonts w:hint="default" w:hAnsi="Times New Roman" w:cs="Times New Roman"/>
          <w:color w:val="auto"/>
          <w:highlight w:val="none"/>
        </w:rPr>
        <w:t>应设</w:t>
      </w:r>
      <w:r>
        <w:rPr>
          <w:rFonts w:hint="default" w:hAnsi="Times New Roman" w:cs="Times New Roman"/>
          <w:color w:val="auto"/>
          <w:highlight w:val="none"/>
          <w:lang w:val="en-US" w:eastAsia="zh-CN"/>
        </w:rPr>
        <w:t>液</w:t>
      </w:r>
      <w:r>
        <w:rPr>
          <w:rFonts w:hint="default" w:hAnsi="Times New Roman" w:cs="Times New Roman"/>
          <w:color w:val="auto"/>
          <w:highlight w:val="none"/>
        </w:rPr>
        <w:t>位遥测装置，并安装固定排水装置。</w:t>
      </w:r>
      <w:r>
        <w:rPr>
          <w:rFonts w:hint="default" w:ascii="Times New Roman" w:hAnsi="Times New Roman" w:cs="Times New Roman" w:eastAsiaTheme="minorEastAsia"/>
          <w:color w:val="auto"/>
          <w:highlight w:val="none"/>
          <w:lang w:val="en-US" w:eastAsia="zh-CN"/>
        </w:rPr>
        <w:t>集中</w:t>
      </w:r>
      <w:r>
        <w:rPr>
          <w:rFonts w:hint="default" w:ascii="Times New Roman" w:hAnsi="Times New Roman" w:cs="Times New Roman" w:eastAsiaTheme="minorEastAsia"/>
          <w:color w:val="auto"/>
          <w:highlight w:val="none"/>
        </w:rPr>
        <w:t>压载控制站</w:t>
      </w:r>
      <w:r>
        <w:rPr>
          <w:rFonts w:hint="default" w:hAnsi="Times New Roman" w:cs="Times New Roman"/>
          <w:color w:val="auto"/>
          <w:highlight w:val="none"/>
        </w:rPr>
        <w:t>应显示锚链舱的进水。</w:t>
      </w:r>
    </w:p>
    <w:p w14:paraId="2526536B">
      <w:pPr>
        <w:pStyle w:val="327"/>
        <w:ind w:left="0"/>
        <w:rPr>
          <w:rFonts w:hint="default" w:hAnsi="Times New Roman" w:cs="Times New Roman"/>
          <w:color w:val="auto"/>
          <w:highlight w:val="none"/>
        </w:rPr>
      </w:pPr>
      <w:r>
        <w:rPr>
          <w:rFonts w:hint="eastAsia" w:hAnsi="Times New Roman" w:cs="Times New Roman"/>
          <w:color w:val="auto"/>
          <w:highlight w:val="none"/>
          <w:lang w:val="en-US" w:eastAsia="zh-CN"/>
        </w:rPr>
        <w:t>半潜式（</w:t>
      </w:r>
      <w:r>
        <w:rPr>
          <w:rFonts w:hint="default" w:hAnsi="Times New Roman" w:cs="Times New Roman"/>
          <w:color w:val="auto"/>
          <w:highlight w:val="none"/>
        </w:rPr>
        <w:t>柱稳式</w:t>
      </w:r>
      <w:r>
        <w:rPr>
          <w:rFonts w:hint="eastAsia" w:hAnsi="Times New Roman" w:cs="Times New Roman"/>
          <w:color w:val="auto"/>
          <w:highlight w:val="none"/>
          <w:lang w:eastAsia="zh-CN"/>
        </w:rPr>
        <w:t>）FPSO</w:t>
      </w:r>
      <w:r>
        <w:rPr>
          <w:rFonts w:hint="default" w:hAnsi="Times New Roman" w:cs="Times New Roman"/>
          <w:color w:val="auto"/>
          <w:highlight w:val="none"/>
        </w:rPr>
        <w:t>至少应有</w:t>
      </w:r>
      <w:r>
        <w:rPr>
          <w:rFonts w:hint="eastAsia" w:hAnsi="Times New Roman" w:cs="Times New Roman"/>
          <w:color w:val="auto"/>
          <w:highlight w:val="none"/>
          <w:lang w:val="en-US" w:eastAsia="zh-CN"/>
        </w:rPr>
        <w:t>1</w:t>
      </w:r>
      <w:r>
        <w:rPr>
          <w:rFonts w:hint="default" w:hAnsi="Times New Roman" w:cs="Times New Roman"/>
          <w:color w:val="auto"/>
          <w:highlight w:val="none"/>
          <w:lang w:val="en-US" w:eastAsia="zh-CN"/>
        </w:rPr>
        <w:t>台</w:t>
      </w:r>
      <w:r>
        <w:rPr>
          <w:rFonts w:hint="eastAsia" w:hAnsi="Times New Roman" w:cs="Times New Roman"/>
          <w:color w:val="auto"/>
          <w:highlight w:val="none"/>
          <w:lang w:val="en-US" w:eastAsia="zh-CN"/>
        </w:rPr>
        <w:t>舱底</w:t>
      </w:r>
      <w:r>
        <w:rPr>
          <w:rFonts w:hint="default" w:hAnsi="Times New Roman" w:cs="Times New Roman"/>
          <w:color w:val="auto"/>
          <w:highlight w:val="none"/>
        </w:rPr>
        <w:t>泵</w:t>
      </w:r>
      <w:r>
        <w:rPr>
          <w:rFonts w:hint="eastAsia" w:hAnsi="Times New Roman" w:cs="Times New Roman"/>
          <w:color w:val="auto"/>
          <w:highlight w:val="none"/>
          <w:lang w:eastAsia="zh-CN"/>
        </w:rPr>
        <w:t>，</w:t>
      </w:r>
      <w:r>
        <w:rPr>
          <w:rFonts w:hint="default" w:hAnsi="Times New Roman" w:cs="Times New Roman"/>
          <w:color w:val="auto"/>
          <w:highlight w:val="none"/>
        </w:rPr>
        <w:t>所有泵舱的舱底吸入阀能遥控和就地控制。</w:t>
      </w:r>
    </w:p>
    <w:p w14:paraId="428A320B">
      <w:pPr>
        <w:pStyle w:val="261"/>
        <w:tabs>
          <w:tab w:val="left" w:pos="0"/>
        </w:tabs>
        <w:spacing w:before="156" w:after="156"/>
        <w:outlineLvl w:val="2"/>
        <w:rPr>
          <w:rFonts w:hint="default" w:ascii="Times New Roman" w:hAnsi="Times New Roman" w:cs="Times New Roman"/>
          <w:color w:val="auto"/>
          <w:highlight w:val="none"/>
        </w:rPr>
      </w:pPr>
      <w:bookmarkStart w:id="700" w:name="_Toc30783"/>
      <w:bookmarkStart w:id="701" w:name="_Toc32121"/>
      <w:bookmarkStart w:id="702" w:name="_Toc431"/>
      <w:bookmarkStart w:id="703" w:name="_Toc13871"/>
      <w:bookmarkStart w:id="704" w:name="_Toc20192"/>
      <w:bookmarkStart w:id="705" w:name="_Toc24018"/>
      <w:bookmarkStart w:id="706" w:name="_Toc8141"/>
      <w:bookmarkStart w:id="707" w:name="_Toc23954"/>
      <w:r>
        <w:rPr>
          <w:rFonts w:hint="default" w:ascii="Times New Roman" w:hAnsi="Times New Roman" w:cs="Times New Roman"/>
          <w:color w:val="auto"/>
          <w:highlight w:val="none"/>
        </w:rPr>
        <w:t>开式排放系统</w:t>
      </w:r>
      <w:bookmarkEnd w:id="700"/>
      <w:bookmarkEnd w:id="701"/>
      <w:bookmarkEnd w:id="702"/>
      <w:bookmarkEnd w:id="703"/>
      <w:bookmarkEnd w:id="704"/>
      <w:bookmarkEnd w:id="705"/>
      <w:bookmarkEnd w:id="706"/>
      <w:bookmarkEnd w:id="707"/>
    </w:p>
    <w:p w14:paraId="1A03CBDA">
      <w:pPr>
        <w:pStyle w:val="327"/>
        <w:ind w:left="0"/>
        <w:rPr>
          <w:rFonts w:hint="default" w:hAnsi="Times New Roman"/>
          <w:color w:val="auto"/>
          <w:highlight w:val="none"/>
        </w:rPr>
      </w:pPr>
      <w:r>
        <w:rPr>
          <w:rFonts w:hint="default" w:hAnsi="Times New Roman"/>
          <w:color w:val="auto"/>
          <w:highlight w:val="none"/>
        </w:rPr>
        <w:t>危险区域的排放</w:t>
      </w:r>
      <w:r>
        <w:rPr>
          <w:rFonts w:hint="eastAsia" w:hAnsi="Times New Roman"/>
          <w:color w:val="auto"/>
          <w:highlight w:val="none"/>
          <w:lang w:val="en-US" w:eastAsia="zh-CN"/>
        </w:rPr>
        <w:t>系统</w:t>
      </w:r>
      <w:r>
        <w:rPr>
          <w:rFonts w:hint="default" w:hAnsi="Times New Roman"/>
          <w:color w:val="auto"/>
          <w:highlight w:val="none"/>
        </w:rPr>
        <w:t>应与非危险区域的排放</w:t>
      </w:r>
      <w:r>
        <w:rPr>
          <w:rFonts w:hint="eastAsia" w:hAnsi="Times New Roman"/>
          <w:color w:val="auto"/>
          <w:highlight w:val="none"/>
          <w:lang w:val="en-US" w:eastAsia="zh-CN"/>
        </w:rPr>
        <w:t>系统</w:t>
      </w:r>
      <w:r>
        <w:rPr>
          <w:rFonts w:hint="default" w:hAnsi="Times New Roman"/>
          <w:color w:val="auto"/>
          <w:highlight w:val="none"/>
        </w:rPr>
        <w:t>分开设置；</w:t>
      </w:r>
      <w:r>
        <w:rPr>
          <w:rFonts w:hint="eastAsia" w:hAnsi="Times New Roman"/>
          <w:color w:val="auto"/>
          <w:highlight w:val="none"/>
          <w:lang w:val="en-US" w:eastAsia="zh-CN"/>
        </w:rPr>
        <w:t>若</w:t>
      </w:r>
      <w:r>
        <w:rPr>
          <w:rFonts w:hint="default" w:hAnsi="Times New Roman"/>
          <w:color w:val="auto"/>
          <w:highlight w:val="none"/>
        </w:rPr>
        <w:t>不可避免时，通向</w:t>
      </w:r>
      <w:r>
        <w:rPr>
          <w:rFonts w:hint="eastAsia" w:hAnsi="Times New Roman"/>
          <w:color w:val="auto"/>
          <w:highlight w:val="none"/>
          <w:lang w:val="en-US" w:eastAsia="zh-CN"/>
        </w:rPr>
        <w:t>共用排放</w:t>
      </w:r>
      <w:r>
        <w:rPr>
          <w:rFonts w:hint="default" w:hAnsi="Times New Roman"/>
          <w:color w:val="auto"/>
          <w:highlight w:val="none"/>
        </w:rPr>
        <w:t>柜内的进口管处应设水封。</w:t>
      </w:r>
    </w:p>
    <w:p w14:paraId="2102E66A">
      <w:pPr>
        <w:pStyle w:val="327"/>
        <w:ind w:left="0"/>
        <w:rPr>
          <w:rFonts w:hint="default" w:hAnsi="Times New Roman"/>
          <w:color w:val="auto"/>
          <w:highlight w:val="none"/>
        </w:rPr>
      </w:pPr>
      <w:r>
        <w:rPr>
          <w:rFonts w:hint="default" w:hAnsi="Times New Roman"/>
          <w:color w:val="auto"/>
          <w:highlight w:val="none"/>
        </w:rPr>
        <w:t>不同危险区之间排放管路应设水封进行隔离。</w:t>
      </w:r>
    </w:p>
    <w:p w14:paraId="2800F6B6">
      <w:pPr>
        <w:pStyle w:val="261"/>
        <w:tabs>
          <w:tab w:val="left" w:pos="0"/>
        </w:tabs>
        <w:spacing w:before="156" w:after="156"/>
        <w:outlineLvl w:val="2"/>
        <w:rPr>
          <w:rFonts w:hint="default" w:ascii="Times New Roman" w:hAnsi="Times New Roman" w:cs="Times New Roman"/>
          <w:color w:val="auto"/>
          <w:highlight w:val="none"/>
        </w:rPr>
      </w:pPr>
      <w:bookmarkStart w:id="708" w:name="_Toc24788"/>
      <w:bookmarkStart w:id="709" w:name="_Toc13951"/>
      <w:bookmarkStart w:id="710" w:name="_Toc11019"/>
      <w:bookmarkStart w:id="711" w:name="_Toc12812"/>
      <w:bookmarkStart w:id="712" w:name="_Toc21388"/>
      <w:bookmarkStart w:id="713" w:name="_Toc18108"/>
      <w:r>
        <w:rPr>
          <w:rFonts w:hint="default" w:ascii="Times New Roman" w:hAnsi="Times New Roman" w:cs="Times New Roman"/>
          <w:color w:val="auto"/>
          <w:highlight w:val="none"/>
        </w:rPr>
        <w:t>惰</w:t>
      </w:r>
      <w:r>
        <w:rPr>
          <w:rFonts w:hint="eastAsia" w:ascii="Times New Roman" w:cs="Times New Roman"/>
          <w:color w:val="auto"/>
          <w:highlight w:val="none"/>
          <w:lang w:val="en-US" w:eastAsia="zh-CN"/>
        </w:rPr>
        <w:t>性</w:t>
      </w:r>
      <w:r>
        <w:rPr>
          <w:rFonts w:hint="default" w:ascii="Times New Roman" w:hAnsi="Times New Roman" w:cs="Times New Roman"/>
          <w:color w:val="auto"/>
          <w:highlight w:val="none"/>
        </w:rPr>
        <w:t>气</w:t>
      </w:r>
      <w:r>
        <w:rPr>
          <w:rFonts w:hint="eastAsia" w:ascii="Times New Roman" w:cs="Times New Roman"/>
          <w:color w:val="auto"/>
          <w:highlight w:val="none"/>
          <w:lang w:val="en-US" w:eastAsia="zh-CN"/>
        </w:rPr>
        <w:t>体</w:t>
      </w:r>
      <w:r>
        <w:rPr>
          <w:rFonts w:hint="default" w:ascii="Times New Roman" w:hAnsi="Times New Roman" w:cs="Times New Roman"/>
          <w:color w:val="auto"/>
          <w:highlight w:val="none"/>
        </w:rPr>
        <w:t>系统</w:t>
      </w:r>
      <w:bookmarkEnd w:id="708"/>
      <w:bookmarkEnd w:id="709"/>
      <w:bookmarkEnd w:id="710"/>
      <w:bookmarkEnd w:id="711"/>
      <w:bookmarkEnd w:id="712"/>
      <w:bookmarkEnd w:id="713"/>
    </w:p>
    <w:p w14:paraId="5CF3024D">
      <w:pPr>
        <w:pStyle w:val="327"/>
        <w:ind w:left="0"/>
        <w:rPr>
          <w:rFonts w:hint="default" w:ascii="宋体" w:hAnsi="宋体" w:cs="宋体"/>
          <w:color w:val="auto"/>
          <w:highlight w:val="none"/>
        </w:rPr>
      </w:pPr>
      <w:r>
        <w:rPr>
          <w:rFonts w:hint="eastAsia" w:ascii="宋体" w:hAnsi="宋体" w:cs="宋体"/>
          <w:color w:val="auto"/>
          <w:highlight w:val="none"/>
          <w:lang w:val="en-US" w:eastAsia="zh-CN"/>
        </w:rPr>
        <w:t>货</w:t>
      </w:r>
      <w:r>
        <w:rPr>
          <w:rFonts w:hint="default" w:ascii="宋体" w:hAnsi="宋体" w:cs="宋体"/>
          <w:color w:val="auto"/>
          <w:highlight w:val="none"/>
        </w:rPr>
        <w:t>油舱</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污油水舱及</w:t>
      </w:r>
      <w:r>
        <w:rPr>
          <w:rFonts w:hint="eastAsia" w:ascii="宋体" w:hAnsi="宋体" w:cs="宋体"/>
          <w:color w:val="auto"/>
          <w:highlight w:val="none"/>
          <w:lang w:eastAsia="zh-CN"/>
        </w:rPr>
        <w:t>生产水舱</w:t>
      </w:r>
      <w:r>
        <w:rPr>
          <w:rFonts w:hint="eastAsia" w:ascii="宋体" w:hAnsi="宋体" w:cs="宋体"/>
          <w:color w:val="auto"/>
          <w:highlight w:val="none"/>
          <w:lang w:val="en-US" w:eastAsia="zh-CN"/>
        </w:rPr>
        <w:t>等需要惰性气体保护的舱室</w:t>
      </w:r>
      <w:r>
        <w:rPr>
          <w:rFonts w:hint="default" w:ascii="宋体" w:hAnsi="宋体" w:cs="宋体"/>
          <w:color w:val="auto"/>
          <w:highlight w:val="none"/>
        </w:rPr>
        <w:t>应设置惰</w:t>
      </w:r>
      <w:r>
        <w:rPr>
          <w:rFonts w:hint="eastAsia" w:ascii="宋体" w:hAnsi="宋体" w:cs="宋体"/>
          <w:color w:val="auto"/>
          <w:highlight w:val="none"/>
          <w:lang w:val="en-US" w:eastAsia="zh-CN"/>
        </w:rPr>
        <w:t>性气体</w:t>
      </w:r>
      <w:r>
        <w:rPr>
          <w:rFonts w:hint="default" w:ascii="宋体" w:hAnsi="宋体" w:cs="宋体"/>
          <w:color w:val="auto"/>
          <w:highlight w:val="none"/>
        </w:rPr>
        <w:t>系统密封。</w:t>
      </w:r>
    </w:p>
    <w:p w14:paraId="768CE8E0">
      <w:pPr>
        <w:pStyle w:val="327"/>
        <w:ind w:left="0"/>
        <w:rPr>
          <w:rFonts w:hint="default" w:ascii="宋体" w:hAnsi="宋体" w:cs="宋体"/>
          <w:color w:val="auto"/>
          <w:highlight w:val="none"/>
        </w:rPr>
      </w:pPr>
      <w:r>
        <w:rPr>
          <w:rFonts w:hint="default" w:ascii="宋体" w:hAnsi="宋体" w:cs="宋体"/>
          <w:color w:val="auto"/>
          <w:highlight w:val="none"/>
        </w:rPr>
        <w:t>惰性气体装置应保证向</w:t>
      </w:r>
      <w:r>
        <w:rPr>
          <w:rFonts w:hint="eastAsia" w:ascii="宋体" w:hAnsi="宋体" w:cs="宋体"/>
          <w:color w:val="auto"/>
          <w:highlight w:val="none"/>
          <w:lang w:eastAsia="zh-CN"/>
        </w:rPr>
        <w:t>FPSO</w:t>
      </w:r>
      <w:r>
        <w:rPr>
          <w:rFonts w:hint="default" w:ascii="宋体" w:hAnsi="宋体" w:cs="宋体"/>
          <w:color w:val="auto"/>
          <w:highlight w:val="none"/>
        </w:rPr>
        <w:t>的</w:t>
      </w:r>
      <w:r>
        <w:rPr>
          <w:rFonts w:hint="eastAsia" w:ascii="宋体" w:hAnsi="宋体" w:cs="宋体"/>
          <w:color w:val="auto"/>
          <w:highlight w:val="none"/>
          <w:lang w:val="en-US" w:eastAsia="zh-CN"/>
        </w:rPr>
        <w:t>货油</w:t>
      </w:r>
      <w:r>
        <w:rPr>
          <w:rFonts w:hint="default" w:ascii="宋体" w:hAnsi="宋体" w:cs="宋体"/>
          <w:color w:val="auto"/>
          <w:highlight w:val="none"/>
          <w:lang w:val="en-US" w:eastAsia="zh-CN"/>
        </w:rPr>
        <w:t>舱</w:t>
      </w:r>
      <w:r>
        <w:rPr>
          <w:rFonts w:hint="eastAsia" w:ascii="宋体" w:hAnsi="宋体" w:cs="宋体"/>
          <w:color w:val="auto"/>
          <w:highlight w:val="none"/>
          <w:lang w:val="en-US" w:eastAsia="zh-CN"/>
        </w:rPr>
        <w:t>、污油水舱</w:t>
      </w:r>
      <w:r>
        <w:rPr>
          <w:rFonts w:hint="default" w:ascii="宋体" w:hAnsi="宋体" w:cs="宋体"/>
          <w:color w:val="auto"/>
          <w:highlight w:val="none"/>
        </w:rPr>
        <w:t>及需要惰性气体保护的</w:t>
      </w:r>
      <w:r>
        <w:rPr>
          <w:rFonts w:hint="eastAsia" w:ascii="宋体" w:hAnsi="宋体" w:cs="宋体"/>
          <w:color w:val="auto"/>
          <w:highlight w:val="none"/>
          <w:lang w:eastAsia="zh-CN"/>
        </w:rPr>
        <w:t>生产水舱</w:t>
      </w:r>
      <w:r>
        <w:rPr>
          <w:rFonts w:hint="default" w:ascii="宋体" w:hAnsi="宋体" w:cs="宋体"/>
          <w:color w:val="auto"/>
          <w:highlight w:val="none"/>
        </w:rPr>
        <w:t>提供足够用量的惰性气体</w:t>
      </w:r>
      <w:r>
        <w:rPr>
          <w:rFonts w:hint="default" w:ascii="宋体" w:hAnsi="宋体" w:cs="宋体"/>
          <w:color w:val="auto"/>
          <w:highlight w:val="none"/>
          <w:lang w:eastAsia="zh-CN"/>
        </w:rPr>
        <w:t>，</w:t>
      </w:r>
      <w:r>
        <w:rPr>
          <w:rFonts w:hint="default" w:ascii="宋体" w:hAnsi="宋体" w:cs="宋体"/>
          <w:color w:val="auto"/>
          <w:highlight w:val="none"/>
          <w:lang w:val="en-US" w:eastAsia="zh-CN"/>
        </w:rPr>
        <w:t>应不小于</w:t>
      </w:r>
      <w:r>
        <w:rPr>
          <w:rFonts w:hint="eastAsia" w:ascii="宋体" w:hAnsi="宋体" w:cs="宋体"/>
          <w:color w:val="auto"/>
          <w:highlight w:val="none"/>
          <w:lang w:eastAsia="zh-CN"/>
        </w:rPr>
        <w:t>FPSO</w:t>
      </w:r>
      <w:r>
        <w:rPr>
          <w:rFonts w:hint="default" w:ascii="宋体" w:hAnsi="宋体" w:cs="宋体"/>
          <w:color w:val="auto"/>
          <w:highlight w:val="none"/>
          <w:lang w:val="en-US" w:eastAsia="zh-CN"/>
        </w:rPr>
        <w:t>卸油速率125%（以体积计）</w:t>
      </w:r>
      <w:r>
        <w:rPr>
          <w:rFonts w:hint="default" w:ascii="宋体" w:hAnsi="宋体" w:cs="宋体"/>
          <w:color w:val="auto"/>
          <w:highlight w:val="none"/>
        </w:rPr>
        <w:t>。</w:t>
      </w:r>
    </w:p>
    <w:p w14:paraId="3E1911EF">
      <w:pPr>
        <w:pStyle w:val="327"/>
        <w:ind w:left="0"/>
        <w:rPr>
          <w:rFonts w:hint="default" w:ascii="宋体" w:hAnsi="宋体" w:cs="宋体"/>
          <w:color w:val="auto"/>
          <w:highlight w:val="none"/>
        </w:rPr>
      </w:pPr>
      <w:r>
        <w:rPr>
          <w:rFonts w:hint="default" w:ascii="宋体" w:hAnsi="宋体" w:cs="宋体"/>
          <w:color w:val="auto"/>
          <w:highlight w:val="none"/>
        </w:rPr>
        <w:t>惰性气体装置应设置烟气气体洗涤塔，以冷却烟气并除去其中的固体颗粒及二氧化硫。洗涤塔的冷却水系统应保证向惰性气体装置连续有效地供应冷却水。</w:t>
      </w:r>
    </w:p>
    <w:p w14:paraId="24286279">
      <w:pPr>
        <w:pStyle w:val="327"/>
        <w:ind w:left="0"/>
        <w:rPr>
          <w:rFonts w:hint="default" w:ascii="宋体" w:hAnsi="宋体" w:cs="宋体"/>
          <w:color w:val="auto"/>
          <w:highlight w:val="none"/>
        </w:rPr>
      </w:pPr>
      <w:r>
        <w:rPr>
          <w:rFonts w:hint="default" w:ascii="宋体" w:hAnsi="宋体" w:cs="宋体"/>
          <w:color w:val="auto"/>
          <w:highlight w:val="none"/>
        </w:rPr>
        <w:t>采用锅炉、内燃机排出</w:t>
      </w:r>
      <w:r>
        <w:rPr>
          <w:rFonts w:hint="eastAsia" w:ascii="宋体" w:hAnsi="宋体" w:cs="宋体"/>
          <w:color w:val="auto"/>
          <w:highlight w:val="none"/>
          <w:lang w:val="en-US" w:eastAsia="zh-CN"/>
        </w:rPr>
        <w:t>并</w:t>
      </w:r>
      <w:r>
        <w:rPr>
          <w:rFonts w:hint="default" w:ascii="宋体" w:hAnsi="宋体" w:cs="宋体"/>
          <w:color w:val="auto"/>
          <w:highlight w:val="none"/>
        </w:rPr>
        <w:t>经过处理的烟道气</w:t>
      </w:r>
      <w:r>
        <w:rPr>
          <w:rFonts w:hint="eastAsia" w:ascii="宋体" w:hAnsi="宋体" w:cs="宋体"/>
          <w:color w:val="auto"/>
          <w:highlight w:val="none"/>
          <w:lang w:val="en-US" w:eastAsia="zh-CN"/>
        </w:rPr>
        <w:t>作为</w:t>
      </w:r>
      <w:r>
        <w:rPr>
          <w:rFonts w:hint="eastAsia" w:ascii="宋体" w:hAnsi="宋体" w:cs="宋体"/>
          <w:color w:val="auto"/>
          <w:highlight w:val="none"/>
          <w:lang w:eastAsia="zh-CN"/>
        </w:rPr>
        <w:t>惰</w:t>
      </w:r>
      <w:r>
        <w:rPr>
          <w:rFonts w:hint="eastAsia" w:ascii="宋体" w:hAnsi="宋体" w:cs="宋体"/>
          <w:color w:val="auto"/>
          <w:highlight w:val="none"/>
          <w:lang w:val="en-US" w:eastAsia="zh-CN"/>
        </w:rPr>
        <w:t>性</w:t>
      </w:r>
      <w:r>
        <w:rPr>
          <w:rFonts w:hint="eastAsia" w:ascii="宋体" w:hAnsi="宋体" w:cs="宋体"/>
          <w:color w:val="auto"/>
          <w:highlight w:val="none"/>
          <w:lang w:eastAsia="zh-CN"/>
        </w:rPr>
        <w:t>气体</w:t>
      </w:r>
      <w:r>
        <w:rPr>
          <w:rFonts w:hint="default" w:ascii="宋体" w:hAnsi="宋体" w:cs="宋体"/>
          <w:color w:val="auto"/>
          <w:highlight w:val="none"/>
        </w:rPr>
        <w:t>，其含氧量（容积）</w:t>
      </w:r>
      <w:r>
        <w:rPr>
          <w:rFonts w:hint="eastAsia" w:ascii="宋体" w:hAnsi="宋体" w:cs="宋体"/>
          <w:color w:val="auto"/>
          <w:highlight w:val="none"/>
          <w:lang w:val="en-US" w:eastAsia="zh-CN"/>
        </w:rPr>
        <w:t>应</w:t>
      </w:r>
      <w:r>
        <w:rPr>
          <w:rFonts w:hint="default" w:ascii="宋体" w:hAnsi="宋体" w:cs="宋体"/>
          <w:color w:val="auto"/>
          <w:highlight w:val="none"/>
          <w:lang w:val="en-US" w:eastAsia="zh-CN"/>
        </w:rPr>
        <w:t>不高</w:t>
      </w:r>
      <w:r>
        <w:rPr>
          <w:rFonts w:hint="default" w:ascii="宋体" w:hAnsi="宋体" w:cs="宋体"/>
          <w:color w:val="auto"/>
          <w:highlight w:val="none"/>
        </w:rPr>
        <w:t>于5%。</w:t>
      </w:r>
    </w:p>
    <w:p w14:paraId="122D86F7">
      <w:pPr>
        <w:pStyle w:val="327"/>
        <w:ind w:left="0"/>
        <w:rPr>
          <w:rFonts w:hint="default" w:ascii="宋体" w:hAnsi="宋体" w:cs="宋体"/>
          <w:color w:val="auto"/>
          <w:highlight w:val="none"/>
        </w:rPr>
      </w:pPr>
      <w:r>
        <w:rPr>
          <w:rFonts w:hint="default" w:ascii="宋体" w:hAnsi="宋体" w:cs="宋体"/>
          <w:color w:val="auto"/>
          <w:highlight w:val="none"/>
        </w:rPr>
        <w:t>在烟道与洗涤塔之间的</w:t>
      </w:r>
      <w:r>
        <w:rPr>
          <w:rFonts w:hint="eastAsia" w:ascii="宋体" w:hAnsi="宋体" w:cs="宋体"/>
          <w:color w:val="auto"/>
          <w:highlight w:val="none"/>
          <w:lang w:val="en-US" w:eastAsia="zh-CN"/>
        </w:rPr>
        <w:t>惰</w:t>
      </w:r>
      <w:r>
        <w:rPr>
          <w:rFonts w:hint="default" w:ascii="宋体" w:hAnsi="宋体" w:cs="宋体"/>
          <w:color w:val="auto"/>
          <w:highlight w:val="none"/>
        </w:rPr>
        <w:t>性气体总管上应</w:t>
      </w:r>
      <w:r>
        <w:rPr>
          <w:rFonts w:hint="eastAsia" w:ascii="宋体" w:hAnsi="宋体" w:cs="宋体"/>
          <w:color w:val="auto"/>
          <w:highlight w:val="none"/>
          <w:lang w:val="en-US" w:eastAsia="zh-CN"/>
        </w:rPr>
        <w:t>设</w:t>
      </w:r>
      <w:r>
        <w:rPr>
          <w:rFonts w:hint="default" w:ascii="宋体" w:hAnsi="宋体" w:cs="宋体"/>
          <w:color w:val="auto"/>
          <w:highlight w:val="none"/>
        </w:rPr>
        <w:t>带指示器的隔离阀。</w:t>
      </w:r>
    </w:p>
    <w:p w14:paraId="350430C3">
      <w:pPr>
        <w:pStyle w:val="327"/>
        <w:ind w:left="0"/>
        <w:rPr>
          <w:rFonts w:hint="default" w:ascii="宋体" w:hAnsi="宋体" w:cs="宋体"/>
          <w:color w:val="auto"/>
          <w:highlight w:val="none"/>
        </w:rPr>
      </w:pPr>
      <w:r>
        <w:rPr>
          <w:rFonts w:hint="default" w:ascii="宋体" w:hAnsi="宋体" w:cs="宋体"/>
          <w:color w:val="auto"/>
          <w:highlight w:val="none"/>
        </w:rPr>
        <w:t>惰性气体供气总管上应设气体调节阀及两个止回装置。</w:t>
      </w:r>
    </w:p>
    <w:p w14:paraId="6ED89C47">
      <w:pPr>
        <w:pStyle w:val="327"/>
        <w:ind w:left="0"/>
        <w:rPr>
          <w:rFonts w:hint="default" w:ascii="宋体" w:hAnsi="宋体" w:cs="宋体"/>
          <w:color w:val="auto"/>
          <w:highlight w:val="none"/>
        </w:rPr>
      </w:pPr>
      <w:r>
        <w:rPr>
          <w:rFonts w:hint="default" w:ascii="宋体" w:hAnsi="宋体" w:cs="宋体"/>
          <w:color w:val="auto"/>
          <w:highlight w:val="none"/>
        </w:rPr>
        <w:t>惰性气体供气总管上应设含氧分析仪，当惰性气体中的含氧量超过标准时进行报警。</w:t>
      </w:r>
    </w:p>
    <w:p w14:paraId="44C605B4">
      <w:pPr>
        <w:pStyle w:val="327"/>
        <w:ind w:left="0"/>
        <w:rPr>
          <w:rFonts w:hint="default" w:ascii="Times New Roman" w:hAnsi="Times New Roman" w:eastAsia="黑体" w:cs="Times New Roman"/>
          <w:color w:val="auto"/>
          <w:szCs w:val="21"/>
          <w:highlight w:val="none"/>
        </w:rPr>
      </w:pPr>
      <w:r>
        <w:rPr>
          <w:rFonts w:hint="default" w:ascii="宋体" w:hAnsi="宋体" w:cs="宋体"/>
          <w:color w:val="auto"/>
          <w:highlight w:val="none"/>
        </w:rPr>
        <w:t>惰性气体总管上应</w:t>
      </w:r>
      <w:r>
        <w:rPr>
          <w:rFonts w:hint="eastAsia" w:ascii="宋体" w:hAnsi="宋体" w:cs="宋体"/>
          <w:color w:val="auto"/>
          <w:highlight w:val="none"/>
          <w:lang w:val="en-US" w:eastAsia="zh-CN"/>
        </w:rPr>
        <w:t>设置</w:t>
      </w:r>
      <w:r>
        <w:rPr>
          <w:rFonts w:hint="default" w:ascii="宋体" w:hAnsi="宋体" w:cs="宋体"/>
          <w:color w:val="auto"/>
          <w:highlight w:val="none"/>
        </w:rPr>
        <w:t>自动控制惰性气体的调节阀，当</w:t>
      </w:r>
      <w:r>
        <w:rPr>
          <w:rFonts w:hint="eastAsia" w:ascii="宋体" w:hAnsi="宋体" w:cs="宋体"/>
          <w:color w:val="auto"/>
          <w:highlight w:val="none"/>
          <w:lang w:val="en-US" w:eastAsia="zh-CN"/>
        </w:rPr>
        <w:t>惰性气体系统异常时应</w:t>
      </w:r>
      <w:r>
        <w:rPr>
          <w:rFonts w:hint="default" w:ascii="宋体" w:hAnsi="宋体" w:cs="宋体"/>
          <w:color w:val="auto"/>
          <w:highlight w:val="none"/>
        </w:rPr>
        <w:t>自动关闭</w:t>
      </w:r>
      <w:r>
        <w:rPr>
          <w:rFonts w:hint="eastAsia" w:ascii="宋体" w:hAnsi="宋体" w:cs="宋体"/>
          <w:color w:val="auto"/>
          <w:highlight w:val="none"/>
          <w:lang w:eastAsia="zh-CN"/>
        </w:rPr>
        <w:t>。</w:t>
      </w:r>
    </w:p>
    <w:p w14:paraId="690C2AC3">
      <w:pPr>
        <w:pStyle w:val="261"/>
        <w:tabs>
          <w:tab w:val="left" w:pos="0"/>
        </w:tabs>
        <w:spacing w:before="156" w:after="156"/>
        <w:outlineLvl w:val="2"/>
        <w:rPr>
          <w:rFonts w:hint="default" w:ascii="Times New Roman" w:hAnsi="Times New Roman" w:cs="Times New Roman"/>
          <w:color w:val="auto"/>
          <w:highlight w:val="none"/>
        </w:rPr>
      </w:pPr>
      <w:bookmarkStart w:id="714" w:name="_Toc10302"/>
      <w:bookmarkStart w:id="715" w:name="_Toc759"/>
      <w:bookmarkStart w:id="716" w:name="_Toc24816"/>
      <w:bookmarkStart w:id="717" w:name="_Toc25948"/>
      <w:r>
        <w:rPr>
          <w:rFonts w:hint="default" w:ascii="Times New Roman" w:hAnsi="Times New Roman" w:cs="Times New Roman"/>
          <w:color w:val="auto"/>
          <w:highlight w:val="none"/>
          <w:lang w:eastAsia="zh-CN"/>
        </w:rPr>
        <w:t>透气管</w:t>
      </w:r>
      <w:r>
        <w:rPr>
          <w:rFonts w:hint="default" w:ascii="Times New Roman" w:hAnsi="Times New Roman" w:cs="Times New Roman"/>
          <w:color w:val="auto"/>
          <w:highlight w:val="none"/>
        </w:rPr>
        <w:t>、溢流管及测量管</w:t>
      </w:r>
      <w:bookmarkEnd w:id="714"/>
      <w:bookmarkEnd w:id="715"/>
      <w:bookmarkEnd w:id="716"/>
      <w:bookmarkEnd w:id="717"/>
    </w:p>
    <w:p w14:paraId="40E906EE">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所有储存液体的舱柜、空舱以及管隧都应设</w:t>
      </w:r>
      <w:r>
        <w:rPr>
          <w:rFonts w:hint="eastAsia" w:ascii="宋体" w:hAnsi="宋体" w:eastAsia="宋体" w:cs="宋体"/>
          <w:color w:val="auto"/>
          <w:highlight w:val="none"/>
          <w:lang w:val="en-US" w:eastAsia="zh-CN"/>
        </w:rPr>
        <w:t>置</w:t>
      </w:r>
      <w:r>
        <w:rPr>
          <w:rFonts w:hint="eastAsia" w:ascii="宋体" w:hAnsi="宋体" w:eastAsia="宋体" w:cs="宋体"/>
          <w:color w:val="auto"/>
          <w:highlight w:val="none"/>
          <w:lang w:eastAsia="zh-CN"/>
        </w:rPr>
        <w:t>透气管</w:t>
      </w:r>
      <w:r>
        <w:rPr>
          <w:rFonts w:hint="eastAsia" w:ascii="宋体" w:hAnsi="宋体" w:eastAsia="宋体" w:cs="宋体"/>
          <w:color w:val="auto"/>
          <w:highlight w:val="none"/>
        </w:rPr>
        <w:t>和测量管。不易接近的污水沟及污水井应设</w:t>
      </w:r>
      <w:r>
        <w:rPr>
          <w:rFonts w:hint="eastAsia" w:ascii="宋体" w:hAnsi="宋体" w:eastAsia="宋体" w:cs="宋体"/>
          <w:color w:val="auto"/>
          <w:highlight w:val="none"/>
          <w:lang w:val="en-US" w:eastAsia="zh-CN"/>
        </w:rPr>
        <w:t>置</w:t>
      </w:r>
      <w:r>
        <w:rPr>
          <w:rFonts w:hint="eastAsia" w:ascii="宋体" w:hAnsi="宋体" w:eastAsia="宋体" w:cs="宋体"/>
          <w:color w:val="auto"/>
          <w:highlight w:val="none"/>
        </w:rPr>
        <w:t>测量管。</w:t>
      </w:r>
    </w:p>
    <w:p w14:paraId="56677509">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储存油类舱柜的</w:t>
      </w:r>
      <w:r>
        <w:rPr>
          <w:rFonts w:hint="eastAsia" w:ascii="宋体" w:hAnsi="宋体" w:eastAsia="宋体" w:cs="宋体"/>
          <w:color w:val="auto"/>
          <w:highlight w:val="none"/>
          <w:lang w:eastAsia="zh-CN"/>
        </w:rPr>
        <w:t>透气管</w:t>
      </w:r>
      <w:r>
        <w:rPr>
          <w:rFonts w:hint="eastAsia" w:ascii="宋体" w:hAnsi="宋体" w:eastAsia="宋体" w:cs="宋体"/>
          <w:color w:val="auto"/>
          <w:highlight w:val="none"/>
        </w:rPr>
        <w:t>以及与油类舱柜相邻接的空舱的</w:t>
      </w:r>
      <w:r>
        <w:rPr>
          <w:rFonts w:hint="eastAsia" w:ascii="宋体" w:hAnsi="宋体" w:eastAsia="宋体" w:cs="宋体"/>
          <w:color w:val="auto"/>
          <w:highlight w:val="none"/>
          <w:lang w:eastAsia="zh-CN"/>
        </w:rPr>
        <w:t>透气管</w:t>
      </w:r>
      <w:r>
        <w:rPr>
          <w:rFonts w:hint="eastAsia" w:ascii="宋体" w:hAnsi="宋体" w:eastAsia="宋体" w:cs="宋体"/>
          <w:color w:val="auto"/>
          <w:highlight w:val="none"/>
        </w:rPr>
        <w:t>其出口端应设防火网</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排出的气体应</w:t>
      </w:r>
      <w:r>
        <w:rPr>
          <w:rFonts w:hint="eastAsia" w:ascii="宋体" w:hAnsi="宋体" w:eastAsia="宋体" w:cs="宋体"/>
          <w:color w:val="auto"/>
          <w:highlight w:val="none"/>
        </w:rPr>
        <w:t>引至开敞的安全地点。</w:t>
      </w:r>
    </w:p>
    <w:p w14:paraId="7389E0F8">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水线下破损后海水可能涌入的舱柜的</w:t>
      </w:r>
      <w:r>
        <w:rPr>
          <w:rFonts w:hint="eastAsia" w:ascii="宋体" w:hAnsi="宋体" w:eastAsia="宋体" w:cs="宋体"/>
          <w:color w:val="auto"/>
          <w:highlight w:val="none"/>
          <w:lang w:eastAsia="zh-CN"/>
        </w:rPr>
        <w:t>透气管</w:t>
      </w:r>
      <w:r>
        <w:rPr>
          <w:rFonts w:hint="eastAsia" w:ascii="宋体" w:hAnsi="宋体" w:eastAsia="宋体" w:cs="宋体"/>
          <w:color w:val="auto"/>
          <w:highlight w:val="none"/>
        </w:rPr>
        <w:t>应引至舱壁甲板以上。</w:t>
      </w:r>
    </w:p>
    <w:p w14:paraId="792758E6">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储存闪点低于60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℃油类的舱柜应设</w:t>
      </w:r>
      <w:r>
        <w:rPr>
          <w:rFonts w:hint="eastAsia" w:ascii="宋体" w:hAnsi="宋体" w:eastAsia="宋体" w:cs="宋体"/>
          <w:color w:val="auto"/>
          <w:highlight w:val="none"/>
          <w:lang w:val="en-US" w:eastAsia="zh-CN"/>
        </w:rPr>
        <w:t>船级社</w:t>
      </w:r>
      <w:r>
        <w:rPr>
          <w:rFonts w:hint="eastAsia" w:ascii="宋体" w:hAnsi="宋体" w:eastAsia="宋体" w:cs="宋体"/>
          <w:color w:val="auto"/>
          <w:highlight w:val="none"/>
        </w:rPr>
        <w:t>认可的闭式测量装置。该装置在使用中不</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有气体自</w:t>
      </w:r>
      <w:r>
        <w:rPr>
          <w:rFonts w:hint="eastAsia" w:ascii="宋体" w:hAnsi="宋体" w:eastAsia="宋体" w:cs="宋体"/>
          <w:color w:val="auto"/>
          <w:highlight w:val="none"/>
          <w:lang w:val="en-US" w:eastAsia="zh-CN"/>
        </w:rPr>
        <w:t>油</w:t>
      </w:r>
      <w:r>
        <w:rPr>
          <w:rFonts w:hint="eastAsia" w:ascii="宋体" w:hAnsi="宋体" w:eastAsia="宋体" w:cs="宋体"/>
          <w:color w:val="auto"/>
          <w:highlight w:val="none"/>
        </w:rPr>
        <w:t>舱中逸出</w:t>
      </w:r>
      <w:r>
        <w:rPr>
          <w:rFonts w:hint="eastAsia" w:ascii="宋体" w:hAnsi="宋体" w:eastAsia="宋体" w:cs="宋体"/>
          <w:color w:val="auto"/>
          <w:highlight w:val="none"/>
          <w:lang w:eastAsia="zh-CN"/>
        </w:rPr>
        <w:t>。</w:t>
      </w:r>
    </w:p>
    <w:p w14:paraId="092BD8BF">
      <w:pPr>
        <w:pStyle w:val="327"/>
        <w:ind w:left="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除</w:t>
      </w:r>
      <w:r>
        <w:rPr>
          <w:rFonts w:hint="eastAsia" w:ascii="宋体" w:hAnsi="宋体" w:eastAsia="宋体" w:cs="宋体"/>
          <w:color w:val="auto"/>
          <w:highlight w:val="none"/>
        </w:rPr>
        <w:t>采用高液位两级保护并能自动停止充油泵</w:t>
      </w:r>
      <w:r>
        <w:rPr>
          <w:rFonts w:hint="eastAsia" w:ascii="宋体" w:hAnsi="宋体" w:eastAsia="宋体" w:cs="宋体"/>
          <w:color w:val="auto"/>
          <w:highlight w:val="none"/>
          <w:lang w:val="en-US" w:eastAsia="zh-CN"/>
        </w:rPr>
        <w:t>的舱柜外，</w:t>
      </w:r>
      <w:r>
        <w:rPr>
          <w:rFonts w:hint="eastAsia" w:ascii="宋体" w:hAnsi="宋体" w:eastAsia="宋体" w:cs="宋体"/>
          <w:color w:val="auto"/>
          <w:highlight w:val="none"/>
        </w:rPr>
        <w:t>用泵充装的燃油、滑油及液压油的舱柜</w:t>
      </w:r>
      <w:r>
        <w:rPr>
          <w:rFonts w:hint="eastAsia" w:ascii="宋体" w:hAnsi="宋体" w:eastAsia="宋体" w:cs="宋体"/>
          <w:color w:val="auto"/>
          <w:highlight w:val="none"/>
          <w:lang w:val="en-US" w:eastAsia="zh-CN"/>
        </w:rPr>
        <w:t>均</w:t>
      </w:r>
      <w:r>
        <w:rPr>
          <w:rFonts w:hint="eastAsia" w:ascii="宋体" w:hAnsi="宋体" w:eastAsia="宋体" w:cs="宋体"/>
          <w:color w:val="auto"/>
          <w:highlight w:val="none"/>
        </w:rPr>
        <w:t>应设溢流管。</w:t>
      </w:r>
    </w:p>
    <w:p w14:paraId="4ABDCD78">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延伸至干舷甲板上的</w:t>
      </w:r>
      <w:r>
        <w:rPr>
          <w:rFonts w:hint="eastAsia" w:ascii="宋体" w:hAnsi="宋体" w:eastAsia="宋体" w:cs="宋体"/>
          <w:color w:val="auto"/>
          <w:highlight w:val="none"/>
          <w:lang w:val="en-US" w:eastAsia="zh-CN"/>
        </w:rPr>
        <w:t>透气</w:t>
      </w:r>
      <w:r>
        <w:rPr>
          <w:rFonts w:hint="eastAsia" w:ascii="宋体" w:hAnsi="宋体" w:eastAsia="宋体" w:cs="宋体"/>
          <w:color w:val="auto"/>
          <w:highlight w:val="none"/>
        </w:rPr>
        <w:t>管，其可能进水处距甲板上缘高度应不小于760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mm</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延伸至高于干舷甲板</w:t>
      </w:r>
      <w:r>
        <w:rPr>
          <w:rFonts w:hint="eastAsia" w:ascii="宋体" w:hAnsi="宋体" w:eastAsia="宋体" w:cs="宋体"/>
          <w:color w:val="auto"/>
          <w:highlight w:val="none"/>
          <w:lang w:val="en-US" w:eastAsia="zh-CN"/>
        </w:rPr>
        <w:t>以</w:t>
      </w:r>
      <w:r>
        <w:rPr>
          <w:rFonts w:hint="eastAsia" w:ascii="宋体" w:hAnsi="宋体" w:eastAsia="宋体" w:cs="宋体"/>
          <w:color w:val="auto"/>
          <w:highlight w:val="none"/>
        </w:rPr>
        <w:t>上的</w:t>
      </w:r>
      <w:r>
        <w:rPr>
          <w:rFonts w:hint="eastAsia" w:ascii="宋体" w:hAnsi="宋体" w:eastAsia="宋体" w:cs="宋体"/>
          <w:color w:val="auto"/>
          <w:highlight w:val="none"/>
          <w:lang w:val="en-US" w:eastAsia="zh-CN"/>
        </w:rPr>
        <w:t>透气</w:t>
      </w:r>
      <w:r>
        <w:rPr>
          <w:rFonts w:hint="eastAsia" w:ascii="宋体" w:hAnsi="宋体" w:eastAsia="宋体" w:cs="宋体"/>
          <w:color w:val="auto"/>
          <w:highlight w:val="none"/>
        </w:rPr>
        <w:t>管，其可能进水处距甲板上缘高度应不小于450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mm。此外还</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满足破舱稳性计算的要求</w:t>
      </w:r>
      <w:r>
        <w:rPr>
          <w:rFonts w:hint="eastAsia" w:ascii="宋体" w:hAnsi="宋体" w:eastAsia="宋体" w:cs="宋体"/>
          <w:color w:val="auto"/>
          <w:highlight w:val="none"/>
          <w:lang w:eastAsia="zh-CN"/>
        </w:rPr>
        <w:t>。</w:t>
      </w:r>
    </w:p>
    <w:p w14:paraId="6E54359F">
      <w:pPr>
        <w:pStyle w:val="261"/>
        <w:outlineLvl w:val="2"/>
        <w:rPr>
          <w:rFonts w:hint="default" w:ascii="Times New Roman" w:hAnsi="Times New Roman" w:cs="Times New Roman"/>
          <w:color w:val="auto"/>
          <w:highlight w:val="none"/>
          <w:lang w:val="en-US" w:eastAsia="zh-CN"/>
        </w:rPr>
      </w:pPr>
      <w:bookmarkStart w:id="718" w:name="_Toc7879"/>
      <w:bookmarkStart w:id="719" w:name="_Toc6067"/>
      <w:bookmarkStart w:id="720" w:name="_Toc13480"/>
      <w:bookmarkStart w:id="721" w:name="_Toc27587"/>
      <w:r>
        <w:rPr>
          <w:rFonts w:hint="default" w:ascii="Times New Roman" w:hAnsi="Times New Roman" w:cs="Times New Roman"/>
          <w:color w:val="auto"/>
          <w:highlight w:val="none"/>
          <w:lang w:val="en-US" w:eastAsia="zh-CN"/>
        </w:rPr>
        <w:t>洗舱系统</w:t>
      </w:r>
      <w:bookmarkEnd w:id="718"/>
      <w:bookmarkEnd w:id="719"/>
      <w:bookmarkEnd w:id="720"/>
      <w:bookmarkEnd w:id="721"/>
    </w:p>
    <w:p w14:paraId="022422F1">
      <w:pPr>
        <w:pStyle w:val="327"/>
        <w:ind w:left="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货油舱、污油水舱、生产水舱均应设固定式洗舱机。</w:t>
      </w:r>
    </w:p>
    <w:p w14:paraId="528771C6">
      <w:pPr>
        <w:pStyle w:val="327"/>
        <w:ind w:left="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洗舱机的布置和数量以及喷嘴的性能应覆盖所在舱</w:t>
      </w:r>
      <w:r>
        <w:rPr>
          <w:rFonts w:hint="eastAsia" w:ascii="宋体" w:hAnsi="宋体" w:eastAsia="宋体" w:cs="宋体"/>
          <w:color w:val="auto"/>
          <w:highlight w:val="none"/>
        </w:rPr>
        <w:t>水平壁面</w:t>
      </w:r>
      <w:r>
        <w:rPr>
          <w:rFonts w:hint="eastAsia" w:ascii="宋体" w:hAnsi="宋体" w:eastAsia="宋体" w:cs="宋体"/>
          <w:color w:val="auto"/>
          <w:highlight w:val="none"/>
          <w:lang w:val="en-US" w:eastAsia="zh-CN"/>
        </w:rPr>
        <w:t>不小于</w:t>
      </w:r>
      <w:r>
        <w:rPr>
          <w:rFonts w:hint="eastAsia" w:ascii="宋体" w:hAnsi="宋体" w:eastAsia="宋体" w:cs="宋体"/>
          <w:color w:val="auto"/>
          <w:highlight w:val="none"/>
        </w:rPr>
        <w:t>90%，垂直壁面</w:t>
      </w:r>
      <w:r>
        <w:rPr>
          <w:rFonts w:hint="eastAsia" w:ascii="宋体" w:hAnsi="宋体" w:eastAsia="宋体" w:cs="宋体"/>
          <w:color w:val="auto"/>
          <w:highlight w:val="none"/>
          <w:lang w:val="en-US" w:eastAsia="zh-CN"/>
        </w:rPr>
        <w:t>不小于</w:t>
      </w:r>
      <w:r>
        <w:rPr>
          <w:rFonts w:hint="eastAsia" w:ascii="宋体" w:hAnsi="宋体" w:eastAsia="宋体" w:cs="宋体"/>
          <w:color w:val="auto"/>
          <w:highlight w:val="none"/>
        </w:rPr>
        <w:t>85%</w:t>
      </w:r>
      <w:r>
        <w:rPr>
          <w:rFonts w:hint="eastAsia" w:ascii="宋体" w:hAnsi="宋体" w:eastAsia="宋体" w:cs="宋体"/>
          <w:color w:val="auto"/>
          <w:highlight w:val="none"/>
          <w:lang w:val="en-US" w:eastAsia="zh-CN"/>
        </w:rPr>
        <w:t>。</w:t>
      </w:r>
    </w:p>
    <w:p w14:paraId="5577AB69">
      <w:pPr>
        <w:pStyle w:val="261"/>
        <w:tabs>
          <w:tab w:val="left" w:pos="0"/>
        </w:tabs>
        <w:spacing w:before="156" w:after="156"/>
        <w:outlineLvl w:val="2"/>
        <w:rPr>
          <w:rFonts w:hint="default" w:ascii="Times New Roman" w:hAnsi="Times New Roman" w:cs="Times New Roman"/>
          <w:color w:val="auto"/>
          <w:highlight w:val="none"/>
        </w:rPr>
      </w:pPr>
      <w:bookmarkStart w:id="722" w:name="_Toc6153"/>
      <w:bookmarkStart w:id="723" w:name="_Toc18038"/>
      <w:bookmarkStart w:id="724" w:name="_Toc15102"/>
      <w:bookmarkStart w:id="725" w:name="_Toc22602"/>
      <w:bookmarkStart w:id="726" w:name="_Toc12067"/>
      <w:bookmarkStart w:id="727" w:name="_Toc4230"/>
      <w:bookmarkStart w:id="728" w:name="_Toc15788"/>
      <w:bookmarkStart w:id="729" w:name="_Toc24099"/>
      <w:r>
        <w:rPr>
          <w:rFonts w:hint="default" w:ascii="Times New Roman" w:hAnsi="Times New Roman" w:cs="Times New Roman"/>
          <w:color w:val="auto"/>
          <w:highlight w:val="none"/>
        </w:rPr>
        <w:t>燃油管系</w:t>
      </w:r>
      <w:bookmarkEnd w:id="722"/>
      <w:bookmarkEnd w:id="723"/>
      <w:bookmarkEnd w:id="724"/>
      <w:bookmarkEnd w:id="725"/>
      <w:bookmarkEnd w:id="726"/>
      <w:bookmarkEnd w:id="727"/>
      <w:bookmarkEnd w:id="728"/>
      <w:bookmarkEnd w:id="729"/>
    </w:p>
    <w:p w14:paraId="692A5242">
      <w:pPr>
        <w:pStyle w:val="327"/>
        <w:ind w:left="0"/>
        <w:rPr>
          <w:rFonts w:hint="default" w:hAnsi="Times New Roman" w:cs="Times New Roman"/>
          <w:color w:val="auto"/>
          <w:highlight w:val="none"/>
          <w:lang w:val="en-US" w:eastAsia="zh-CN"/>
        </w:rPr>
      </w:pPr>
      <w:r>
        <w:rPr>
          <w:rFonts w:hint="default" w:hAnsi="Times New Roman" w:cs="Times New Roman"/>
          <w:color w:val="auto"/>
          <w:highlight w:val="none"/>
          <w:lang w:val="en-US" w:eastAsia="zh-CN"/>
        </w:rPr>
        <w:t>日用油柜及大于0.5</w:t>
      </w:r>
      <w:r>
        <w:rPr>
          <w:rFonts w:hint="eastAsia" w:hAnsi="Times New Roman" w:cs="Times New Roman"/>
          <w:color w:val="auto"/>
          <w:highlight w:val="none"/>
          <w:lang w:val="en-US" w:eastAsia="zh-CN"/>
        </w:rPr>
        <w:t xml:space="preserve"> </w:t>
      </w:r>
      <w:r>
        <w:rPr>
          <w:rFonts w:hint="default" w:hAnsi="Times New Roman" w:cs="Times New Roman"/>
          <w:color w:val="auto"/>
          <w:highlight w:val="none"/>
          <w:lang w:val="en-US" w:eastAsia="zh-CN"/>
        </w:rPr>
        <w:t>m</w:t>
      </w:r>
      <w:r>
        <w:rPr>
          <w:rFonts w:hint="default" w:hAnsi="Times New Roman" w:cs="Times New Roman"/>
          <w:color w:val="auto"/>
          <w:highlight w:val="none"/>
          <w:vertAlign w:val="superscript"/>
          <w:lang w:val="en-US" w:eastAsia="zh-CN"/>
        </w:rPr>
        <w:t>3</w:t>
      </w:r>
      <w:r>
        <w:rPr>
          <w:rFonts w:hint="default" w:hAnsi="Times New Roman" w:cs="Times New Roman"/>
          <w:color w:val="auto"/>
          <w:highlight w:val="none"/>
          <w:lang w:val="en-US" w:eastAsia="zh-CN"/>
        </w:rPr>
        <w:t>的设在双层底以上的其他油柜的出口应设应急切断阀。</w:t>
      </w:r>
    </w:p>
    <w:p w14:paraId="5D0DE49A">
      <w:pPr>
        <w:pStyle w:val="327"/>
        <w:ind w:left="0"/>
        <w:rPr>
          <w:rFonts w:hint="default" w:hAnsi="Times New Roman" w:cs="Times New Roman"/>
          <w:color w:val="auto"/>
          <w:highlight w:val="none"/>
          <w:lang w:val="en-US" w:eastAsia="zh-CN"/>
        </w:rPr>
      </w:pPr>
      <w:r>
        <w:rPr>
          <w:rFonts w:hint="default" w:hAnsi="Times New Roman" w:cs="Times New Roman"/>
          <w:color w:val="auto"/>
          <w:highlight w:val="none"/>
          <w:lang w:val="en-US" w:eastAsia="zh-CN"/>
        </w:rPr>
        <w:t>燃油及</w:t>
      </w:r>
      <w:r>
        <w:rPr>
          <w:rFonts w:hint="eastAsia" w:hAnsi="Times New Roman" w:cs="Times New Roman"/>
          <w:color w:val="auto"/>
          <w:highlight w:val="none"/>
          <w:lang w:val="en-US" w:eastAsia="zh-CN"/>
        </w:rPr>
        <w:t>其他</w:t>
      </w:r>
      <w:r>
        <w:rPr>
          <w:rFonts w:hint="default" w:hAnsi="Times New Roman" w:cs="Times New Roman"/>
          <w:color w:val="auto"/>
          <w:highlight w:val="none"/>
          <w:lang w:val="en-US" w:eastAsia="zh-CN"/>
        </w:rPr>
        <w:t>可燃油的防火布置要求</w:t>
      </w:r>
      <w:r>
        <w:rPr>
          <w:rFonts w:hint="eastAsia" w:hAnsi="Times New Roman" w:cs="Times New Roman"/>
          <w:color w:val="auto"/>
          <w:highlight w:val="none"/>
          <w:lang w:val="en-US" w:eastAsia="zh-CN"/>
        </w:rPr>
        <w:t>应符合</w:t>
      </w:r>
      <w:r>
        <w:rPr>
          <w:rFonts w:hint="default" w:hAnsi="Times New Roman" w:cs="Times New Roman"/>
          <w:color w:val="auto"/>
          <w:highlight w:val="none"/>
          <w:lang w:val="en-US" w:eastAsia="zh-CN"/>
        </w:rPr>
        <w:t>第1</w:t>
      </w:r>
      <w:r>
        <w:rPr>
          <w:rFonts w:hint="eastAsia" w:hAnsi="Times New Roman" w:cs="Times New Roman"/>
          <w:color w:val="auto"/>
          <w:highlight w:val="none"/>
          <w:lang w:val="en-US" w:eastAsia="zh-CN"/>
        </w:rPr>
        <w:t>8</w:t>
      </w:r>
      <w:r>
        <w:rPr>
          <w:rFonts w:hint="default" w:hAnsi="Times New Roman" w:cs="Times New Roman"/>
          <w:color w:val="auto"/>
          <w:highlight w:val="none"/>
          <w:lang w:val="en-US" w:eastAsia="zh-CN"/>
        </w:rPr>
        <w:t>章的规定。</w:t>
      </w:r>
    </w:p>
    <w:p w14:paraId="3B9A0C27">
      <w:pPr>
        <w:pStyle w:val="261"/>
        <w:tabs>
          <w:tab w:val="left" w:pos="0"/>
        </w:tabs>
        <w:spacing w:before="156" w:after="156"/>
        <w:outlineLvl w:val="2"/>
        <w:rPr>
          <w:rFonts w:hint="default" w:ascii="Times New Roman" w:hAnsi="Times New Roman" w:cs="Times New Roman"/>
          <w:color w:val="auto"/>
          <w:highlight w:val="none"/>
        </w:rPr>
      </w:pPr>
      <w:bookmarkStart w:id="730" w:name="_Toc31817"/>
      <w:bookmarkStart w:id="731" w:name="_Toc16422"/>
      <w:bookmarkStart w:id="732" w:name="_Toc13540"/>
      <w:bookmarkStart w:id="733" w:name="_Toc24822"/>
      <w:bookmarkStart w:id="734" w:name="_Toc31922"/>
      <w:bookmarkStart w:id="735" w:name="_Toc15041"/>
      <w:bookmarkStart w:id="736" w:name="_Toc32535"/>
      <w:bookmarkStart w:id="737" w:name="_Toc20473"/>
      <w:r>
        <w:rPr>
          <w:rFonts w:hint="default" w:ascii="Times New Roman" w:hAnsi="Times New Roman" w:cs="Times New Roman"/>
          <w:color w:val="auto"/>
          <w:highlight w:val="none"/>
        </w:rPr>
        <w:t>天然气燃料管系</w:t>
      </w:r>
      <w:bookmarkEnd w:id="730"/>
      <w:bookmarkEnd w:id="731"/>
      <w:bookmarkEnd w:id="732"/>
      <w:bookmarkEnd w:id="733"/>
      <w:bookmarkEnd w:id="734"/>
      <w:bookmarkEnd w:id="735"/>
      <w:bookmarkEnd w:id="736"/>
      <w:bookmarkEnd w:id="737"/>
    </w:p>
    <w:p w14:paraId="3F7D56C6">
      <w:pPr>
        <w:pStyle w:val="327"/>
        <w:tabs>
          <w:tab w:val="left" w:pos="0"/>
        </w:tabs>
        <w:rPr>
          <w:rFonts w:hint="default" w:ascii="Times New Roman" w:hAnsi="Times New Roman" w:cs="Times New Roman" w:eastAsiaTheme="minorEastAsia"/>
          <w:strike w:val="0"/>
          <w:color w:val="auto"/>
          <w:highlight w:val="none"/>
        </w:rPr>
      </w:pPr>
      <w:r>
        <w:rPr>
          <w:rFonts w:hint="default" w:ascii="Times New Roman" w:hAnsi="Times New Roman" w:cs="Times New Roman" w:eastAsiaTheme="minorEastAsia"/>
          <w:strike w:val="0"/>
          <w:color w:val="auto"/>
          <w:highlight w:val="none"/>
        </w:rPr>
        <w:t>天然气供应</w:t>
      </w:r>
      <w:r>
        <w:rPr>
          <w:rFonts w:hint="default" w:ascii="Times New Roman" w:hAnsi="Times New Roman" w:cs="Times New Roman" w:eastAsiaTheme="minorEastAsia"/>
          <w:strike w:val="0"/>
          <w:color w:val="auto"/>
          <w:highlight w:val="none"/>
          <w:lang w:val="en-US" w:eastAsia="zh-CN"/>
        </w:rPr>
        <w:t>管系</w:t>
      </w:r>
      <w:r>
        <w:rPr>
          <w:rFonts w:hint="eastAsia" w:ascii="Times New Roman"/>
          <w:color w:val="auto"/>
          <w:highlight w:val="none"/>
        </w:rPr>
        <w:t>应满足</w:t>
      </w:r>
      <w:r>
        <w:rPr>
          <w:rFonts w:hint="eastAsia" w:ascii="宋体" w:hAnsi="宋体" w:eastAsia="宋体" w:cs="宋体"/>
          <w:color w:val="auto"/>
          <w:highlight w:val="none"/>
          <w:lang w:val="en-US" w:eastAsia="zh-CN"/>
        </w:rPr>
        <w:t>GB 46766的要求</w:t>
      </w:r>
      <w:r>
        <w:rPr>
          <w:rFonts w:hint="eastAsia" w:ascii="Times New Roman" w:hAnsi="Times New Roman" w:cs="Times New Roman" w:eastAsiaTheme="minorEastAsia"/>
          <w:strike w:val="0"/>
          <w:color w:val="auto"/>
          <w:highlight w:val="none"/>
          <w:lang w:val="en-US" w:eastAsia="zh-CN"/>
        </w:rPr>
        <w:t>：</w:t>
      </w:r>
    </w:p>
    <w:p w14:paraId="59833AA9">
      <w:pPr>
        <w:pStyle w:val="327"/>
        <w:tabs>
          <w:tab w:val="left" w:pos="0"/>
        </w:tabs>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燃烧设备设在机器处所时</w:t>
      </w:r>
      <w:r>
        <w:rPr>
          <w:rFonts w:hint="eastAsia" w:ascii="Times New Roman" w:hAns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燃料管路不应通过起居处所、服务处所和控制站。进入机器处所的燃料管应</w:t>
      </w:r>
      <w:r>
        <w:rPr>
          <w:rFonts w:hint="eastAsia" w:ascii="Times New Roman" w:hAnsi="Times New Roman" w:cs="Times New Roman" w:eastAsiaTheme="minorEastAsia"/>
          <w:color w:val="auto"/>
          <w:highlight w:val="none"/>
          <w:lang w:val="en-US" w:eastAsia="zh-CN"/>
        </w:rPr>
        <w:t>采取</w:t>
      </w:r>
      <w:r>
        <w:rPr>
          <w:rFonts w:hint="default" w:ascii="Times New Roman" w:hAnsi="Times New Roman" w:cs="Times New Roman" w:eastAsiaTheme="minorEastAsia"/>
          <w:color w:val="auto"/>
          <w:highlight w:val="none"/>
        </w:rPr>
        <w:t>措施（如双壁管或通风套管）防止燃料气向机器处所</w:t>
      </w:r>
      <w:r>
        <w:rPr>
          <w:rFonts w:hint="eastAsia" w:ascii="Times New Roman" w:hAnsi="Times New Roman" w:cs="Times New Roman" w:eastAsiaTheme="minorEastAsia"/>
          <w:color w:val="auto"/>
          <w:highlight w:val="none"/>
          <w:lang w:eastAsia="zh-CN"/>
        </w:rPr>
        <w:t>泄漏</w:t>
      </w:r>
      <w:r>
        <w:rPr>
          <w:rFonts w:hint="default" w:ascii="Times New Roman" w:hAnsi="Times New Roman" w:cs="Times New Roman" w:eastAsiaTheme="minorEastAsia"/>
          <w:color w:val="auto"/>
          <w:highlight w:val="none"/>
          <w:lang w:eastAsia="zh-CN"/>
        </w:rPr>
        <w:t>。</w:t>
      </w:r>
    </w:p>
    <w:p w14:paraId="430878F6">
      <w:pPr>
        <w:pStyle w:val="261"/>
        <w:tabs>
          <w:tab w:val="left" w:pos="0"/>
        </w:tabs>
        <w:spacing w:before="156" w:after="156"/>
        <w:outlineLvl w:val="2"/>
        <w:rPr>
          <w:rFonts w:hint="default" w:ascii="Times New Roman" w:hAnsi="Times New Roman" w:cs="Times New Roman"/>
          <w:color w:val="auto"/>
          <w:highlight w:val="none"/>
        </w:rPr>
      </w:pPr>
      <w:bookmarkStart w:id="738" w:name="_Toc2736"/>
      <w:bookmarkStart w:id="739" w:name="_Toc11670"/>
      <w:bookmarkStart w:id="740" w:name="_Toc439"/>
      <w:bookmarkStart w:id="741" w:name="_Toc7417"/>
      <w:bookmarkStart w:id="742" w:name="_Toc16285"/>
      <w:bookmarkStart w:id="743" w:name="_Toc22557"/>
      <w:bookmarkStart w:id="744" w:name="_Toc5172"/>
      <w:bookmarkStart w:id="745" w:name="_Toc13466"/>
      <w:r>
        <w:rPr>
          <w:rFonts w:hint="default" w:ascii="Times New Roman" w:hAnsi="Times New Roman" w:cs="Times New Roman"/>
          <w:color w:val="auto"/>
          <w:highlight w:val="none"/>
        </w:rPr>
        <w:t>原油燃料管系</w:t>
      </w:r>
      <w:bookmarkEnd w:id="738"/>
      <w:bookmarkEnd w:id="739"/>
      <w:bookmarkEnd w:id="740"/>
      <w:bookmarkEnd w:id="741"/>
      <w:bookmarkEnd w:id="742"/>
      <w:bookmarkEnd w:id="743"/>
      <w:bookmarkEnd w:id="744"/>
      <w:bookmarkEnd w:id="745"/>
    </w:p>
    <w:p w14:paraId="4FED5EA4">
      <w:pPr>
        <w:pStyle w:val="327"/>
        <w:numPr>
          <w:ilvl w:val="-1"/>
          <w:numId w:val="0"/>
        </w:numPr>
        <w:tabs>
          <w:tab w:val="left" w:pos="0"/>
        </w:tabs>
        <w:ind w:firstLine="42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原油</w:t>
      </w:r>
      <w:r>
        <w:rPr>
          <w:rFonts w:hint="eastAsia" w:ascii="Times New Roman" w:hAnsi="Times New Roman" w:cs="Times New Roman" w:eastAsiaTheme="minorEastAsia"/>
          <w:color w:val="auto"/>
          <w:highlight w:val="none"/>
          <w:lang w:val="en-US" w:eastAsia="zh-CN"/>
        </w:rPr>
        <w:t>燃料</w:t>
      </w:r>
      <w:r>
        <w:rPr>
          <w:rFonts w:hint="default" w:ascii="Times New Roman" w:hAnsi="Times New Roman" w:cs="Times New Roman" w:eastAsiaTheme="minorEastAsia"/>
          <w:color w:val="auto"/>
          <w:highlight w:val="none"/>
        </w:rPr>
        <w:t>供应的布置</w:t>
      </w:r>
      <w:r>
        <w:rPr>
          <w:rFonts w:hint="eastAsia" w:ascii="Times New Roman"/>
          <w:color w:val="auto"/>
          <w:highlight w:val="none"/>
        </w:rPr>
        <w:t>满足</w:t>
      </w:r>
      <w:r>
        <w:rPr>
          <w:rFonts w:hint="eastAsia" w:ascii="Times New Roman"/>
          <w:color w:val="auto"/>
          <w:highlight w:val="none"/>
          <w:lang w:val="en-US" w:eastAsia="zh-CN"/>
        </w:rPr>
        <w:t>以下</w:t>
      </w:r>
      <w:r>
        <w:rPr>
          <w:rFonts w:hint="eastAsia" w:ascii="Times New Roman"/>
          <w:color w:val="auto"/>
          <w:highlight w:val="none"/>
        </w:rPr>
        <w:t>要求</w:t>
      </w:r>
      <w:r>
        <w:rPr>
          <w:rFonts w:hint="eastAsia" w:ascii="Times New Roman" w:hAnsi="Times New Roman" w:cs="Times New Roman" w:eastAsiaTheme="minorEastAsia"/>
          <w:color w:val="auto"/>
          <w:highlight w:val="none"/>
          <w:lang w:eastAsia="zh-CN"/>
        </w:rPr>
        <w:t>：</w:t>
      </w:r>
    </w:p>
    <w:p w14:paraId="127372FD">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原油储存柜应设在危险区</w:t>
      </w:r>
      <w:r>
        <w:rPr>
          <w:rFonts w:hint="eastAsia" w:ascii="宋体" w:hAnsi="宋体" w:cs="宋体"/>
          <w:color w:val="auto"/>
          <w:highlight w:val="none"/>
          <w:lang w:val="en-US" w:eastAsia="zh-CN"/>
        </w:rPr>
        <w:t>；</w:t>
      </w:r>
      <w:r>
        <w:rPr>
          <w:rFonts w:hint="default" w:ascii="宋体" w:hAnsi="宋体" w:cs="宋体"/>
          <w:color w:val="auto"/>
          <w:highlight w:val="none"/>
          <w:lang w:val="en-US" w:eastAsia="zh-CN"/>
        </w:rPr>
        <w:t>原油储存柜</w:t>
      </w:r>
      <w:r>
        <w:rPr>
          <w:rFonts w:hint="eastAsia" w:ascii="宋体" w:hAnsi="宋体" w:cs="宋体"/>
          <w:color w:val="auto"/>
          <w:highlight w:val="none"/>
          <w:lang w:val="en-US" w:eastAsia="zh-CN"/>
        </w:rPr>
        <w:t>设置加热功能时</w:t>
      </w:r>
      <w:r>
        <w:rPr>
          <w:rFonts w:hint="default" w:ascii="宋体" w:hAnsi="宋体" w:cs="宋体"/>
          <w:color w:val="auto"/>
          <w:highlight w:val="none"/>
          <w:lang w:val="en-US" w:eastAsia="zh-CN"/>
        </w:rPr>
        <w:t>，</w:t>
      </w:r>
      <w:r>
        <w:rPr>
          <w:rFonts w:hint="eastAsia" w:ascii="宋体" w:hAnsi="宋体" w:cs="宋体"/>
          <w:color w:val="auto"/>
          <w:highlight w:val="none"/>
          <w:lang w:val="en-US" w:eastAsia="zh-CN"/>
        </w:rPr>
        <w:t>应设置</w:t>
      </w:r>
      <w:r>
        <w:rPr>
          <w:rFonts w:hint="default" w:ascii="宋体" w:hAnsi="宋体" w:cs="宋体"/>
          <w:color w:val="auto"/>
          <w:highlight w:val="none"/>
          <w:lang w:val="en-US" w:eastAsia="zh-CN"/>
        </w:rPr>
        <w:t>温度自动控制并</w:t>
      </w:r>
      <w:r>
        <w:rPr>
          <w:rFonts w:hint="eastAsia" w:ascii="宋体" w:hAnsi="宋体" w:cs="宋体"/>
          <w:color w:val="auto"/>
          <w:highlight w:val="none"/>
          <w:lang w:val="en-US" w:eastAsia="zh-CN"/>
        </w:rPr>
        <w:t>设置</w:t>
      </w:r>
      <w:r>
        <w:rPr>
          <w:rFonts w:hint="default" w:ascii="宋体" w:hAnsi="宋体" w:cs="宋体"/>
          <w:color w:val="auto"/>
          <w:highlight w:val="none"/>
          <w:lang w:val="en-US" w:eastAsia="zh-CN"/>
        </w:rPr>
        <w:t>高温报警和关断装置</w:t>
      </w:r>
      <w:r>
        <w:rPr>
          <w:rFonts w:hint="eastAsia" w:ascii="宋体" w:hAnsi="宋体" w:cs="宋体"/>
          <w:color w:val="auto"/>
          <w:highlight w:val="none"/>
          <w:lang w:val="en-US" w:eastAsia="zh-CN"/>
        </w:rPr>
        <w:t>；</w:t>
      </w:r>
    </w:p>
    <w:p w14:paraId="23D4AD8E">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当原油用蒸汽或热水加热时，加热盘管的出口应引至独立的观察柜内，此柜应设在危险区并设有放空管把气体引至安全地点，放空口上应设金属防火网</w:t>
      </w:r>
      <w:r>
        <w:rPr>
          <w:rFonts w:hint="eastAsia" w:ascii="宋体" w:hAnsi="宋体" w:cs="宋体"/>
          <w:color w:val="auto"/>
          <w:highlight w:val="none"/>
          <w:lang w:val="en-US" w:eastAsia="zh-CN"/>
        </w:rPr>
        <w:t>；</w:t>
      </w:r>
    </w:p>
    <w:p w14:paraId="577522E3">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供油泵的排出端应设压力释放阀并把释放的液体引至泵的吸入端</w:t>
      </w:r>
      <w:r>
        <w:rPr>
          <w:rFonts w:hint="eastAsia" w:ascii="宋体" w:hAnsi="宋体" w:cs="宋体"/>
          <w:color w:val="auto"/>
          <w:highlight w:val="none"/>
          <w:lang w:val="en-US" w:eastAsia="zh-CN"/>
        </w:rPr>
        <w:t>；供油</w:t>
      </w:r>
      <w:r>
        <w:rPr>
          <w:rFonts w:hint="default" w:ascii="宋体" w:hAnsi="宋体" w:cs="宋体"/>
          <w:color w:val="auto"/>
          <w:highlight w:val="none"/>
          <w:lang w:val="en-US" w:eastAsia="zh-CN"/>
        </w:rPr>
        <w:t>泵除就地控制外还应在燃烧设备附近和控制室进行</w:t>
      </w:r>
      <w:r>
        <w:rPr>
          <w:rFonts w:hint="eastAsia" w:ascii="宋体" w:hAnsi="宋体" w:cs="宋体"/>
          <w:color w:val="auto"/>
          <w:highlight w:val="none"/>
          <w:lang w:val="en-US" w:eastAsia="zh-CN"/>
        </w:rPr>
        <w:t>遥控；</w:t>
      </w:r>
    </w:p>
    <w:p w14:paraId="3DB5E69F">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原油管系应向燃烧装置方向向上倾斜，一旦</w:t>
      </w:r>
      <w:r>
        <w:rPr>
          <w:rFonts w:hint="eastAsia" w:ascii="宋体" w:hAnsi="宋体" w:cs="宋体"/>
          <w:color w:val="auto"/>
          <w:highlight w:val="none"/>
          <w:lang w:val="en-US" w:eastAsia="zh-CN"/>
        </w:rPr>
        <w:t>泄漏</w:t>
      </w:r>
      <w:r>
        <w:rPr>
          <w:rFonts w:hint="default" w:ascii="宋体" w:hAnsi="宋体" w:cs="宋体"/>
          <w:color w:val="auto"/>
          <w:highlight w:val="none"/>
          <w:lang w:val="en-US" w:eastAsia="zh-CN"/>
        </w:rPr>
        <w:t>或失压时原油</w:t>
      </w:r>
      <w:r>
        <w:rPr>
          <w:rFonts w:hint="eastAsia" w:ascii="宋体" w:hAnsi="宋体" w:cs="宋体"/>
          <w:color w:val="auto"/>
          <w:highlight w:val="none"/>
          <w:lang w:val="en-US" w:eastAsia="zh-CN"/>
        </w:rPr>
        <w:t>应</w:t>
      </w:r>
      <w:r>
        <w:rPr>
          <w:rFonts w:hint="default" w:ascii="宋体" w:hAnsi="宋体" w:cs="宋体"/>
          <w:color w:val="auto"/>
          <w:highlight w:val="none"/>
          <w:lang w:val="en-US" w:eastAsia="zh-CN"/>
        </w:rPr>
        <w:t>自然地向泵的方向回流</w:t>
      </w:r>
      <w:r>
        <w:rPr>
          <w:rFonts w:hint="eastAsia" w:ascii="宋体" w:hAnsi="宋体" w:cs="宋体"/>
          <w:color w:val="auto"/>
          <w:highlight w:val="none"/>
          <w:lang w:val="en-US" w:eastAsia="zh-CN"/>
        </w:rPr>
        <w:t>；</w:t>
      </w:r>
    </w:p>
    <w:p w14:paraId="08AF80CC">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在原油供应</w:t>
      </w:r>
      <w:r>
        <w:rPr>
          <w:rFonts w:hint="eastAsia" w:ascii="宋体" w:hAnsi="宋体" w:cs="宋体"/>
          <w:color w:val="auto"/>
          <w:highlight w:val="none"/>
          <w:lang w:val="en-US" w:eastAsia="zh-CN"/>
        </w:rPr>
        <w:t>管道</w:t>
      </w:r>
      <w:r>
        <w:rPr>
          <w:rFonts w:hint="default" w:ascii="宋体" w:hAnsi="宋体" w:cs="宋体"/>
          <w:color w:val="auto"/>
          <w:highlight w:val="none"/>
          <w:lang w:val="en-US" w:eastAsia="zh-CN"/>
        </w:rPr>
        <w:t>上应设置一个故障时关闭的总关断阀</w:t>
      </w:r>
      <w:r>
        <w:rPr>
          <w:rFonts w:hint="eastAsia" w:ascii="宋体" w:hAnsi="宋体" w:cs="宋体"/>
          <w:color w:val="auto"/>
          <w:highlight w:val="none"/>
          <w:lang w:val="en-US" w:eastAsia="zh-CN"/>
        </w:rPr>
        <w:t>；</w:t>
      </w:r>
    </w:p>
    <w:p w14:paraId="145D63D0">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若燃烧设备设在罩壳内，且罩壳设在开敞处所</w:t>
      </w:r>
      <w:r>
        <w:rPr>
          <w:rFonts w:hint="eastAsia" w:ascii="宋体" w:hAnsi="宋体" w:cs="宋体"/>
          <w:color w:val="auto"/>
          <w:highlight w:val="none"/>
          <w:lang w:val="en-US" w:eastAsia="zh-CN"/>
        </w:rPr>
        <w:t>，</w:t>
      </w:r>
      <w:r>
        <w:rPr>
          <w:rFonts w:hint="default" w:ascii="宋体" w:hAnsi="宋体" w:cs="宋体"/>
          <w:color w:val="auto"/>
          <w:highlight w:val="none"/>
          <w:lang w:val="en-US" w:eastAsia="zh-CN"/>
        </w:rPr>
        <w:t>则总关断阀应设在燃烧设备的罩壳之外；若燃烧设备或燃烧设备连同其罩壳置于机器处所之中，则</w:t>
      </w:r>
      <w:r>
        <w:rPr>
          <w:rFonts w:hint="eastAsia" w:ascii="宋体" w:hAnsi="宋体" w:cs="宋体"/>
          <w:color w:val="auto"/>
          <w:highlight w:val="none"/>
          <w:lang w:val="en-US" w:eastAsia="zh-CN"/>
        </w:rPr>
        <w:t>总</w:t>
      </w:r>
      <w:r>
        <w:rPr>
          <w:rFonts w:hint="default" w:ascii="宋体" w:hAnsi="宋体" w:cs="宋体"/>
          <w:color w:val="auto"/>
          <w:highlight w:val="none"/>
          <w:lang w:val="en-US" w:eastAsia="zh-CN"/>
        </w:rPr>
        <w:t>关断阀应设在该机器处所之外</w:t>
      </w:r>
      <w:r>
        <w:rPr>
          <w:rFonts w:hint="eastAsia" w:ascii="宋体" w:hAnsi="宋体" w:cs="宋体"/>
          <w:color w:val="auto"/>
          <w:highlight w:val="none"/>
          <w:lang w:val="en-US" w:eastAsia="zh-CN"/>
        </w:rPr>
        <w:t>；</w:t>
      </w:r>
    </w:p>
    <w:p w14:paraId="737D6BBB">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燃烧装置的供应管路上应设置一个自动关断阀</w:t>
      </w:r>
      <w:r>
        <w:rPr>
          <w:rFonts w:hint="eastAsia" w:ascii="宋体" w:hAnsi="宋体" w:cs="宋体"/>
          <w:color w:val="auto"/>
          <w:highlight w:val="none"/>
          <w:lang w:val="en-US" w:eastAsia="zh-CN"/>
        </w:rPr>
        <w:t>；</w:t>
      </w:r>
      <w:r>
        <w:rPr>
          <w:rFonts w:hint="default" w:ascii="宋体" w:hAnsi="宋体" w:cs="宋体"/>
          <w:color w:val="auto"/>
          <w:highlight w:val="none"/>
          <w:lang w:val="en-US" w:eastAsia="zh-CN"/>
        </w:rPr>
        <w:t>当燃烧设备强力通风故障、燃烧设备罩壳排风机故障、火焰故障或驱动阀的介质失效时，关断阀应自动关闭</w:t>
      </w:r>
      <w:r>
        <w:rPr>
          <w:rFonts w:hint="eastAsia" w:ascii="宋体" w:hAnsi="宋体" w:cs="宋体"/>
          <w:color w:val="auto"/>
          <w:highlight w:val="none"/>
          <w:lang w:val="en-US" w:eastAsia="zh-CN"/>
        </w:rPr>
        <w:t>；</w:t>
      </w:r>
    </w:p>
    <w:p w14:paraId="0D1B21F3">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总关断阀和自动关断阀的操作应在机器处所、中央控制室发出报警</w:t>
      </w:r>
      <w:r>
        <w:rPr>
          <w:rFonts w:hint="eastAsia" w:ascii="宋体" w:hAnsi="宋体" w:cs="宋体"/>
          <w:color w:val="auto"/>
          <w:highlight w:val="none"/>
          <w:lang w:val="en-US" w:eastAsia="zh-CN"/>
        </w:rPr>
        <w:t>；</w:t>
      </w:r>
    </w:p>
    <w:p w14:paraId="7C0CF003">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燃烧设备罩壳内及机器处所内燃料管段应</w:t>
      </w:r>
      <w:r>
        <w:rPr>
          <w:rFonts w:hint="eastAsia" w:ascii="宋体" w:hAnsi="宋体" w:cs="宋体"/>
          <w:color w:val="auto"/>
          <w:highlight w:val="none"/>
          <w:lang w:val="en-US" w:eastAsia="zh-CN"/>
        </w:rPr>
        <w:t>采取</w:t>
      </w:r>
      <w:r>
        <w:rPr>
          <w:rFonts w:hint="default" w:ascii="宋体" w:hAnsi="宋体" w:cs="宋体"/>
          <w:color w:val="auto"/>
          <w:highlight w:val="none"/>
          <w:lang w:val="en-US" w:eastAsia="zh-CN"/>
        </w:rPr>
        <w:t>除气和惰化措施</w:t>
      </w:r>
      <w:r>
        <w:rPr>
          <w:rFonts w:hint="eastAsia" w:ascii="宋体" w:hAnsi="宋体" w:cs="宋体"/>
          <w:color w:val="auto"/>
          <w:highlight w:val="none"/>
          <w:lang w:val="en-US" w:eastAsia="zh-CN"/>
        </w:rPr>
        <w:t>；</w:t>
      </w:r>
    </w:p>
    <w:p w14:paraId="7BB4C816">
      <w:pPr>
        <w:pStyle w:val="305"/>
        <w:numPr>
          <w:ilvl w:val="0"/>
          <w:numId w:val="46"/>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应设油盘或油槽以收集燃烧器、阀件和接头处的漏油，油盘或油槽应设</w:t>
      </w:r>
      <w:r>
        <w:rPr>
          <w:rFonts w:hint="eastAsia" w:ascii="宋体" w:hAnsi="宋体" w:cs="宋体"/>
          <w:color w:val="auto"/>
          <w:highlight w:val="none"/>
          <w:lang w:val="en-US" w:eastAsia="zh-CN"/>
        </w:rPr>
        <w:t>置</w:t>
      </w:r>
      <w:r>
        <w:rPr>
          <w:rFonts w:hint="default" w:ascii="宋体" w:hAnsi="宋体" w:cs="宋体"/>
          <w:color w:val="auto"/>
          <w:highlight w:val="none"/>
          <w:lang w:val="en-US" w:eastAsia="zh-CN"/>
        </w:rPr>
        <w:t>泄放管，将油泄至独立封闭的收集柜，收集柜的透气口应引至安全地点并设有防火网。</w:t>
      </w:r>
    </w:p>
    <w:p w14:paraId="5A212F75">
      <w:pPr>
        <w:pStyle w:val="261"/>
        <w:tabs>
          <w:tab w:val="left" w:pos="0"/>
        </w:tabs>
        <w:spacing w:before="156" w:after="156"/>
        <w:outlineLvl w:val="2"/>
        <w:rPr>
          <w:rFonts w:hint="default" w:ascii="Times New Roman" w:hAnsi="Times New Roman" w:cs="Times New Roman"/>
          <w:color w:val="auto"/>
          <w:highlight w:val="none"/>
        </w:rPr>
      </w:pPr>
      <w:bookmarkStart w:id="746" w:name="_Toc32186"/>
      <w:bookmarkStart w:id="747" w:name="_Toc26084"/>
      <w:bookmarkStart w:id="748" w:name="_Toc22924"/>
      <w:bookmarkStart w:id="749" w:name="_Toc27668"/>
      <w:bookmarkStart w:id="750" w:name="_Toc28779"/>
      <w:bookmarkStart w:id="751" w:name="_Toc9179"/>
      <w:bookmarkStart w:id="752" w:name="_Toc20750"/>
      <w:bookmarkStart w:id="753" w:name="_Toc29106"/>
      <w:r>
        <w:rPr>
          <w:rFonts w:hint="default" w:ascii="Times New Roman" w:hAnsi="Times New Roman" w:cs="Times New Roman"/>
          <w:color w:val="auto"/>
          <w:highlight w:val="none"/>
        </w:rPr>
        <w:t>直升机加油管系</w:t>
      </w:r>
      <w:bookmarkEnd w:id="746"/>
      <w:bookmarkEnd w:id="747"/>
      <w:bookmarkEnd w:id="748"/>
      <w:bookmarkEnd w:id="749"/>
      <w:bookmarkEnd w:id="750"/>
      <w:bookmarkEnd w:id="751"/>
      <w:bookmarkEnd w:id="752"/>
      <w:bookmarkEnd w:id="753"/>
    </w:p>
    <w:p w14:paraId="09DC714C">
      <w:pPr>
        <w:pStyle w:val="327"/>
        <w:ind w:left="0"/>
        <w:rPr>
          <w:rFonts w:hint="default" w:hAnsi="Times New Roman"/>
          <w:color w:val="auto"/>
          <w:highlight w:val="none"/>
        </w:rPr>
      </w:pPr>
      <w:r>
        <w:rPr>
          <w:rFonts w:hint="default" w:hAnsi="Times New Roman"/>
          <w:color w:val="auto"/>
          <w:highlight w:val="none"/>
          <w:lang w:val="en-US" w:eastAsia="zh-CN"/>
        </w:rPr>
        <w:t>航油罐</w:t>
      </w:r>
      <w:r>
        <w:rPr>
          <w:rFonts w:hint="default" w:hAnsi="Times New Roman"/>
          <w:color w:val="auto"/>
          <w:highlight w:val="none"/>
        </w:rPr>
        <w:t>的布置应远离居住处所和登乘处所</w:t>
      </w:r>
      <w:r>
        <w:rPr>
          <w:rFonts w:hint="eastAsia" w:hAnsi="Times New Roman"/>
          <w:color w:val="auto"/>
          <w:highlight w:val="none"/>
          <w:lang w:eastAsia="zh-CN"/>
        </w:rPr>
        <w:t>，</w:t>
      </w:r>
      <w:r>
        <w:rPr>
          <w:rFonts w:hint="default" w:hAnsi="Times New Roman"/>
          <w:color w:val="auto"/>
          <w:highlight w:val="none"/>
        </w:rPr>
        <w:t>并与含有</w:t>
      </w:r>
      <w:r>
        <w:rPr>
          <w:rFonts w:hint="eastAsia" w:hAnsi="Times New Roman"/>
          <w:color w:val="auto"/>
          <w:highlight w:val="none"/>
          <w:lang w:val="en-US" w:eastAsia="zh-CN"/>
        </w:rPr>
        <w:t>着火源</w:t>
      </w:r>
      <w:r>
        <w:rPr>
          <w:rFonts w:hint="default" w:hAnsi="Times New Roman"/>
          <w:color w:val="auto"/>
          <w:highlight w:val="none"/>
        </w:rPr>
        <w:t>的区域隔离</w:t>
      </w:r>
      <w:r>
        <w:rPr>
          <w:rFonts w:hint="eastAsia" w:hAnsi="Times New Roman"/>
          <w:color w:val="auto"/>
          <w:highlight w:val="none"/>
          <w:lang w:eastAsia="zh-CN"/>
        </w:rPr>
        <w:t>，</w:t>
      </w:r>
      <w:r>
        <w:rPr>
          <w:rFonts w:hint="eastAsia" w:hAnsi="Times New Roman"/>
          <w:color w:val="auto"/>
          <w:highlight w:val="none"/>
          <w:lang w:val="en-US" w:eastAsia="zh-CN"/>
        </w:rPr>
        <w:t>还</w:t>
      </w:r>
      <w:r>
        <w:rPr>
          <w:rFonts w:hint="default" w:hAnsi="Times New Roman"/>
          <w:color w:val="auto"/>
          <w:highlight w:val="none"/>
        </w:rPr>
        <w:t>应设置油盘</w:t>
      </w:r>
      <w:r>
        <w:rPr>
          <w:rFonts w:hint="eastAsia" w:hAnsi="Times New Roman"/>
          <w:color w:val="auto"/>
          <w:highlight w:val="none"/>
          <w:lang w:val="en-US" w:eastAsia="zh-CN"/>
        </w:rPr>
        <w:t>将</w:t>
      </w:r>
      <w:r>
        <w:rPr>
          <w:rFonts w:hint="default" w:hAnsi="Times New Roman"/>
          <w:color w:val="auto"/>
          <w:highlight w:val="none"/>
        </w:rPr>
        <w:t>漏油引至安全地点。</w:t>
      </w:r>
    </w:p>
    <w:p w14:paraId="1880A5CA">
      <w:pPr>
        <w:pStyle w:val="327"/>
        <w:ind w:left="0"/>
        <w:rPr>
          <w:rFonts w:hint="default" w:hAnsi="Times New Roman"/>
          <w:color w:val="auto"/>
          <w:highlight w:val="none"/>
        </w:rPr>
      </w:pPr>
      <w:r>
        <w:rPr>
          <w:rFonts w:hint="default" w:hAnsi="Times New Roman"/>
          <w:color w:val="auto"/>
          <w:highlight w:val="none"/>
          <w:lang w:val="en-US" w:eastAsia="zh-CN"/>
        </w:rPr>
        <w:t>航油罐</w:t>
      </w:r>
      <w:r>
        <w:rPr>
          <w:rFonts w:hint="default" w:hAnsi="Times New Roman"/>
          <w:color w:val="auto"/>
          <w:highlight w:val="none"/>
        </w:rPr>
        <w:t>上的透气口应</w:t>
      </w:r>
      <w:r>
        <w:rPr>
          <w:rFonts w:hint="eastAsia" w:hAnsi="Times New Roman"/>
          <w:color w:val="auto"/>
          <w:highlight w:val="none"/>
          <w:lang w:val="en-US" w:eastAsia="zh-CN"/>
        </w:rPr>
        <w:t>设置</w:t>
      </w:r>
      <w:r>
        <w:rPr>
          <w:rFonts w:hint="default" w:hAnsi="Times New Roman"/>
          <w:color w:val="auto"/>
          <w:highlight w:val="none"/>
        </w:rPr>
        <w:t>呼吸阀及阻火器，透气</w:t>
      </w:r>
      <w:r>
        <w:rPr>
          <w:rFonts w:hint="eastAsia" w:hAnsi="Times New Roman"/>
          <w:color w:val="auto"/>
          <w:highlight w:val="none"/>
          <w:lang w:val="en-US" w:eastAsia="zh-CN"/>
        </w:rPr>
        <w:t>口</w:t>
      </w:r>
      <w:r>
        <w:rPr>
          <w:rFonts w:hint="default" w:hAnsi="Times New Roman"/>
          <w:color w:val="auto"/>
          <w:highlight w:val="none"/>
        </w:rPr>
        <w:t>应远离有火源的地点及其他处所的进风口处。</w:t>
      </w:r>
    </w:p>
    <w:p w14:paraId="6E5EA10C">
      <w:pPr>
        <w:pStyle w:val="327"/>
        <w:ind w:left="0"/>
        <w:rPr>
          <w:rFonts w:hint="default" w:hAnsi="Times New Roman"/>
          <w:color w:val="auto"/>
          <w:highlight w:val="none"/>
        </w:rPr>
      </w:pPr>
      <w:r>
        <w:rPr>
          <w:rFonts w:hint="default" w:hAnsi="Times New Roman"/>
          <w:color w:val="auto"/>
          <w:highlight w:val="none"/>
          <w:lang w:val="en-US" w:eastAsia="zh-CN"/>
        </w:rPr>
        <w:t>航油罐</w:t>
      </w:r>
      <w:r>
        <w:rPr>
          <w:rFonts w:hint="default" w:hAnsi="Times New Roman"/>
          <w:color w:val="auto"/>
          <w:highlight w:val="none"/>
        </w:rPr>
        <w:t>上的出口阀应</w:t>
      </w:r>
      <w:r>
        <w:rPr>
          <w:rFonts w:hint="eastAsia" w:hAnsi="Times New Roman"/>
          <w:color w:val="auto"/>
          <w:highlight w:val="none"/>
          <w:lang w:val="en-US" w:eastAsia="zh-CN"/>
        </w:rPr>
        <w:t>能</w:t>
      </w:r>
      <w:r>
        <w:rPr>
          <w:rFonts w:hint="default" w:hAnsi="Times New Roman"/>
          <w:color w:val="auto"/>
          <w:highlight w:val="none"/>
        </w:rPr>
        <w:t>在失火时遥控关闭。</w:t>
      </w:r>
    </w:p>
    <w:p w14:paraId="31119437">
      <w:pPr>
        <w:pStyle w:val="327"/>
        <w:ind w:left="0"/>
        <w:rPr>
          <w:rFonts w:hint="default" w:hAnsi="Times New Roman"/>
          <w:color w:val="auto"/>
          <w:highlight w:val="none"/>
        </w:rPr>
      </w:pPr>
      <w:r>
        <w:rPr>
          <w:rFonts w:hint="eastAsia" w:hAnsi="Times New Roman"/>
          <w:color w:val="auto"/>
          <w:highlight w:val="none"/>
          <w:lang w:val="en-US" w:eastAsia="zh-CN"/>
        </w:rPr>
        <w:t>航油罐</w:t>
      </w:r>
      <w:r>
        <w:rPr>
          <w:rFonts w:hint="default" w:hAnsi="Times New Roman"/>
          <w:color w:val="auto"/>
          <w:highlight w:val="none"/>
        </w:rPr>
        <w:t>应设</w:t>
      </w:r>
      <w:r>
        <w:rPr>
          <w:rFonts w:hint="eastAsia" w:hAnsi="Times New Roman"/>
          <w:color w:val="auto"/>
          <w:highlight w:val="none"/>
          <w:lang w:val="en-US" w:eastAsia="zh-CN"/>
        </w:rPr>
        <w:t>置</w:t>
      </w:r>
      <w:r>
        <w:rPr>
          <w:rFonts w:hint="default" w:hAnsi="Times New Roman"/>
          <w:color w:val="auto"/>
          <w:highlight w:val="none"/>
        </w:rPr>
        <w:t>应急抛入海中的装置。</w:t>
      </w:r>
    </w:p>
    <w:p w14:paraId="11CFFE05">
      <w:pPr>
        <w:pStyle w:val="261"/>
        <w:tabs>
          <w:tab w:val="left" w:pos="0"/>
        </w:tabs>
        <w:spacing w:before="156" w:after="156"/>
        <w:outlineLvl w:val="2"/>
        <w:rPr>
          <w:rFonts w:hint="default" w:ascii="Times New Roman" w:hAnsi="Times New Roman" w:cs="Times New Roman"/>
          <w:color w:val="auto"/>
          <w:highlight w:val="none"/>
        </w:rPr>
      </w:pPr>
      <w:bookmarkStart w:id="754" w:name="_Toc6244"/>
      <w:bookmarkStart w:id="755" w:name="_Toc30781"/>
      <w:bookmarkStart w:id="756" w:name="_Toc30592"/>
      <w:bookmarkStart w:id="757" w:name="_Toc7683"/>
      <w:bookmarkStart w:id="758" w:name="_Toc2364"/>
      <w:bookmarkStart w:id="759" w:name="_Toc207"/>
      <w:bookmarkStart w:id="760" w:name="_Toc17554"/>
      <w:bookmarkStart w:id="761" w:name="_Toc11656"/>
      <w:r>
        <w:rPr>
          <w:rFonts w:hint="default" w:ascii="Times New Roman" w:hAnsi="Times New Roman" w:cs="Times New Roman"/>
          <w:color w:val="auto"/>
          <w:highlight w:val="none"/>
        </w:rPr>
        <w:t>滑油管系</w:t>
      </w:r>
      <w:bookmarkEnd w:id="754"/>
      <w:bookmarkEnd w:id="755"/>
      <w:bookmarkEnd w:id="756"/>
      <w:bookmarkEnd w:id="757"/>
      <w:bookmarkEnd w:id="758"/>
      <w:bookmarkEnd w:id="759"/>
      <w:bookmarkEnd w:id="760"/>
      <w:bookmarkEnd w:id="761"/>
    </w:p>
    <w:p w14:paraId="0C705B04">
      <w:pPr>
        <w:pStyle w:val="327"/>
        <w:ind w:left="0"/>
        <w:rPr>
          <w:rFonts w:hint="default" w:hAnsi="Times New Roman" w:cs="Times New Roman"/>
          <w:color w:val="auto"/>
          <w:highlight w:val="none"/>
        </w:rPr>
      </w:pPr>
      <w:r>
        <w:rPr>
          <w:rFonts w:hint="default" w:hAnsi="Times New Roman" w:cs="Times New Roman"/>
          <w:color w:val="auto"/>
          <w:highlight w:val="none"/>
        </w:rPr>
        <w:t>发动机</w:t>
      </w:r>
      <w:r>
        <w:rPr>
          <w:rFonts w:hint="eastAsia" w:hAnsi="Times New Roman" w:cs="Times New Roman"/>
          <w:color w:val="auto"/>
          <w:highlight w:val="none"/>
          <w:lang w:val="en-US" w:eastAsia="zh-CN"/>
        </w:rPr>
        <w:t>未配置</w:t>
      </w:r>
      <w:r>
        <w:rPr>
          <w:rFonts w:hint="default" w:hAnsi="Times New Roman" w:cs="Times New Roman"/>
          <w:color w:val="auto"/>
          <w:highlight w:val="none"/>
        </w:rPr>
        <w:t>自带滑油泵</w:t>
      </w:r>
      <w:r>
        <w:rPr>
          <w:rFonts w:hint="default" w:hAnsi="Times New Roman" w:cs="Times New Roman"/>
          <w:color w:val="auto"/>
          <w:highlight w:val="none"/>
          <w:lang w:val="en-US" w:eastAsia="zh-CN"/>
        </w:rPr>
        <w:t>时</w:t>
      </w:r>
      <w:r>
        <w:rPr>
          <w:rFonts w:hint="default" w:hAnsi="Times New Roman" w:cs="Times New Roman"/>
          <w:color w:val="auto"/>
          <w:highlight w:val="none"/>
        </w:rPr>
        <w:t>，应为其配备独立的备用滑油泵。</w:t>
      </w:r>
    </w:p>
    <w:p w14:paraId="5F31BA91">
      <w:pPr>
        <w:pStyle w:val="327"/>
        <w:ind w:left="0"/>
        <w:rPr>
          <w:rFonts w:hint="default" w:hAnsi="Times New Roman" w:cs="Times New Roman"/>
          <w:color w:val="auto"/>
          <w:highlight w:val="none"/>
        </w:rPr>
      </w:pPr>
      <w:r>
        <w:rPr>
          <w:rFonts w:hint="eastAsia" w:hAnsi="Times New Roman" w:cs="Times New Roman"/>
          <w:color w:val="auto"/>
          <w:highlight w:val="none"/>
          <w:lang w:val="en-US" w:eastAsia="zh-CN"/>
        </w:rPr>
        <w:t>应设置当滑油压力明显下降时的报警装置及滑油失压时的应急停车装置</w:t>
      </w:r>
      <w:r>
        <w:rPr>
          <w:rFonts w:hint="default" w:hAnsi="Times New Roman" w:cs="Times New Roman"/>
          <w:color w:val="auto"/>
          <w:highlight w:val="none"/>
        </w:rPr>
        <w:t>。</w:t>
      </w:r>
    </w:p>
    <w:p w14:paraId="69B98306">
      <w:pPr>
        <w:pStyle w:val="261"/>
        <w:tabs>
          <w:tab w:val="left" w:pos="0"/>
        </w:tabs>
        <w:spacing w:before="156" w:after="156"/>
        <w:outlineLvl w:val="2"/>
        <w:rPr>
          <w:rFonts w:hint="default" w:ascii="Times New Roman" w:hAnsi="Times New Roman" w:cs="Times New Roman"/>
          <w:color w:val="auto"/>
          <w:highlight w:val="none"/>
        </w:rPr>
      </w:pPr>
      <w:bookmarkStart w:id="762" w:name="_Toc28410"/>
      <w:bookmarkStart w:id="763" w:name="_Toc5439"/>
      <w:bookmarkStart w:id="764" w:name="_Toc2220"/>
      <w:bookmarkStart w:id="765" w:name="_Toc26798"/>
      <w:bookmarkStart w:id="766" w:name="_Toc16225"/>
      <w:bookmarkStart w:id="767" w:name="_Toc14802"/>
      <w:bookmarkStart w:id="768" w:name="_Toc19429"/>
      <w:bookmarkStart w:id="769" w:name="_Toc1966"/>
      <w:r>
        <w:rPr>
          <w:rFonts w:hint="default" w:ascii="Times New Roman" w:hAnsi="Times New Roman" w:cs="Times New Roman"/>
          <w:color w:val="auto"/>
          <w:highlight w:val="none"/>
        </w:rPr>
        <w:t>压缩空气管系</w:t>
      </w:r>
      <w:bookmarkEnd w:id="762"/>
      <w:bookmarkEnd w:id="763"/>
      <w:bookmarkEnd w:id="764"/>
      <w:bookmarkEnd w:id="765"/>
      <w:bookmarkEnd w:id="766"/>
      <w:bookmarkEnd w:id="767"/>
      <w:bookmarkEnd w:id="768"/>
      <w:bookmarkEnd w:id="769"/>
    </w:p>
    <w:p w14:paraId="5B0E7A12">
      <w:pPr>
        <w:pStyle w:val="327"/>
        <w:ind w:left="0"/>
        <w:rPr>
          <w:rFonts w:hint="default" w:hAnsi="Times New Roman" w:cs="Times New Roman"/>
          <w:color w:val="auto"/>
          <w:highlight w:val="none"/>
        </w:rPr>
      </w:pPr>
      <w:r>
        <w:rPr>
          <w:rFonts w:hint="default" w:hAnsi="Times New Roman" w:cs="Times New Roman"/>
          <w:color w:val="auto"/>
          <w:highlight w:val="none"/>
        </w:rPr>
        <w:t>空气压缩机的吸入口应设置在非危险区内，并设</w:t>
      </w:r>
      <w:r>
        <w:rPr>
          <w:rFonts w:hint="eastAsia" w:hAnsi="Times New Roman" w:cs="Times New Roman"/>
          <w:color w:val="auto"/>
          <w:highlight w:val="none"/>
          <w:lang w:val="en-US" w:eastAsia="zh-CN"/>
        </w:rPr>
        <w:t>置</w:t>
      </w:r>
      <w:r>
        <w:rPr>
          <w:rFonts w:hint="default" w:hAnsi="Times New Roman" w:cs="Times New Roman"/>
          <w:color w:val="auto"/>
          <w:highlight w:val="none"/>
        </w:rPr>
        <w:t>空气滤清器。</w:t>
      </w:r>
    </w:p>
    <w:p w14:paraId="1D73A427">
      <w:pPr>
        <w:pStyle w:val="327"/>
        <w:ind w:left="0"/>
        <w:rPr>
          <w:rFonts w:hint="default" w:hAnsi="Times New Roman" w:cs="Times New Roman"/>
          <w:color w:val="auto"/>
          <w:highlight w:val="none"/>
        </w:rPr>
      </w:pPr>
      <w:r>
        <w:rPr>
          <w:rFonts w:hint="default" w:hAnsi="Times New Roman" w:cs="Times New Roman"/>
          <w:color w:val="auto"/>
          <w:highlight w:val="none"/>
        </w:rPr>
        <w:t>空气压缩机的排出管不</w:t>
      </w:r>
      <w:r>
        <w:rPr>
          <w:rFonts w:hint="eastAsia" w:hAnsi="Times New Roman" w:cs="Times New Roman"/>
          <w:color w:val="auto"/>
          <w:highlight w:val="none"/>
          <w:lang w:val="en-US" w:eastAsia="zh-CN"/>
        </w:rPr>
        <w:t>应</w:t>
      </w:r>
      <w:r>
        <w:rPr>
          <w:rFonts w:hint="default" w:hAnsi="Times New Roman" w:cs="Times New Roman"/>
          <w:color w:val="auto"/>
          <w:highlight w:val="none"/>
        </w:rPr>
        <w:t>与柴油机的启动管路相连。</w:t>
      </w:r>
    </w:p>
    <w:p w14:paraId="5868AD7E">
      <w:pPr>
        <w:pStyle w:val="327"/>
        <w:ind w:left="0"/>
        <w:rPr>
          <w:rFonts w:hint="default" w:hAnsi="Times New Roman" w:cs="Times New Roman"/>
          <w:color w:val="auto"/>
          <w:highlight w:val="none"/>
        </w:rPr>
      </w:pPr>
      <w:r>
        <w:rPr>
          <w:rFonts w:hint="default" w:hAnsi="Times New Roman" w:cs="Times New Roman"/>
          <w:color w:val="auto"/>
          <w:highlight w:val="none"/>
        </w:rPr>
        <w:t>从空气瓶至内燃机的启动管路上应设</w:t>
      </w:r>
      <w:r>
        <w:rPr>
          <w:rFonts w:hint="eastAsia" w:hAnsi="Times New Roman" w:cs="Times New Roman"/>
          <w:color w:val="auto"/>
          <w:highlight w:val="none"/>
          <w:lang w:val="en-US" w:eastAsia="zh-CN"/>
        </w:rPr>
        <w:t>置</w:t>
      </w:r>
      <w:r>
        <w:rPr>
          <w:rFonts w:hint="default" w:hAnsi="Times New Roman" w:cs="Times New Roman"/>
          <w:color w:val="auto"/>
          <w:highlight w:val="none"/>
        </w:rPr>
        <w:t>止回装置。</w:t>
      </w:r>
    </w:p>
    <w:p w14:paraId="7FD2E637">
      <w:pPr>
        <w:pStyle w:val="327"/>
        <w:ind w:left="0"/>
        <w:rPr>
          <w:rFonts w:hint="default" w:hAnsi="Times New Roman" w:cs="Times New Roman"/>
          <w:color w:val="auto"/>
          <w:highlight w:val="none"/>
        </w:rPr>
      </w:pPr>
      <w:r>
        <w:rPr>
          <w:rFonts w:hint="default" w:hAnsi="Times New Roman" w:cs="Times New Roman"/>
          <w:color w:val="auto"/>
          <w:highlight w:val="none"/>
        </w:rPr>
        <w:t>仪表及控制用空气管路应独立于其他空气管路并设</w:t>
      </w:r>
      <w:r>
        <w:rPr>
          <w:rFonts w:hint="eastAsia" w:hAnsi="Times New Roman" w:cs="Times New Roman"/>
          <w:color w:val="auto"/>
          <w:highlight w:val="none"/>
          <w:lang w:val="en-US" w:eastAsia="zh-CN"/>
        </w:rPr>
        <w:t>置</w:t>
      </w:r>
      <w:r>
        <w:rPr>
          <w:rFonts w:hint="default" w:hAnsi="Times New Roman" w:cs="Times New Roman"/>
          <w:color w:val="auto"/>
          <w:highlight w:val="none"/>
        </w:rPr>
        <w:t>滤清器及干燥器。</w:t>
      </w:r>
    </w:p>
    <w:p w14:paraId="5369F3C3">
      <w:pPr>
        <w:pStyle w:val="327"/>
        <w:ind w:left="0"/>
        <w:rPr>
          <w:rFonts w:hint="default" w:hAnsi="Times New Roman" w:cs="Times New Roman"/>
          <w:color w:val="auto"/>
          <w:highlight w:val="none"/>
        </w:rPr>
      </w:pPr>
      <w:r>
        <w:rPr>
          <w:rFonts w:hint="default" w:hAnsi="Times New Roman"/>
          <w:color w:val="auto"/>
          <w:highlight w:val="none"/>
        </w:rPr>
        <w:t>应</w:t>
      </w:r>
      <w:r>
        <w:rPr>
          <w:rFonts w:hint="eastAsia" w:hAnsi="Times New Roman"/>
          <w:color w:val="auto"/>
          <w:highlight w:val="none"/>
          <w:lang w:val="en-US" w:eastAsia="zh-CN"/>
        </w:rPr>
        <w:t>至少设置2台</w:t>
      </w:r>
      <w:r>
        <w:rPr>
          <w:rFonts w:hint="default" w:hAnsi="Times New Roman"/>
          <w:color w:val="auto"/>
          <w:highlight w:val="none"/>
        </w:rPr>
        <w:t>空气压缩机及空气瓶</w:t>
      </w:r>
      <w:r>
        <w:rPr>
          <w:rFonts w:hint="eastAsia" w:hAnsi="Times New Roman"/>
          <w:color w:val="auto"/>
          <w:highlight w:val="none"/>
          <w:lang w:val="en-US" w:eastAsia="zh-CN"/>
        </w:rPr>
        <w:t>，在一台空压机和空气瓶失效的情况下，应满足主供气系统用气需要</w:t>
      </w:r>
      <w:r>
        <w:rPr>
          <w:rFonts w:hint="eastAsia" w:hAnsi="Times New Roman" w:cs="Times New Roman"/>
          <w:color w:val="auto"/>
          <w:highlight w:val="none"/>
          <w:lang w:eastAsia="zh-CN"/>
        </w:rPr>
        <w:t>。</w:t>
      </w:r>
    </w:p>
    <w:p w14:paraId="2DE50CB9">
      <w:pPr>
        <w:pStyle w:val="261"/>
        <w:tabs>
          <w:tab w:val="left" w:pos="0"/>
        </w:tabs>
        <w:spacing w:before="156" w:after="156"/>
        <w:outlineLvl w:val="2"/>
        <w:rPr>
          <w:rFonts w:hint="default" w:ascii="Times New Roman" w:hAnsi="Times New Roman" w:cs="Times New Roman"/>
          <w:color w:val="auto"/>
          <w:highlight w:val="none"/>
        </w:rPr>
      </w:pPr>
      <w:bookmarkStart w:id="770" w:name="_Toc18615"/>
      <w:bookmarkStart w:id="771" w:name="_Toc31568"/>
      <w:bookmarkStart w:id="772" w:name="_Toc9426"/>
      <w:bookmarkStart w:id="773" w:name="_Toc10526"/>
      <w:bookmarkStart w:id="774" w:name="_Toc4131"/>
      <w:bookmarkStart w:id="775" w:name="_Toc28201"/>
      <w:bookmarkStart w:id="776" w:name="_Toc11395"/>
      <w:bookmarkStart w:id="777" w:name="_Toc25256"/>
      <w:r>
        <w:rPr>
          <w:rFonts w:hint="default" w:ascii="Times New Roman" w:hAnsi="Times New Roman" w:cs="Times New Roman"/>
          <w:color w:val="auto"/>
          <w:highlight w:val="none"/>
        </w:rPr>
        <w:t>蒸汽管系</w:t>
      </w:r>
      <w:bookmarkEnd w:id="770"/>
      <w:bookmarkEnd w:id="771"/>
      <w:bookmarkEnd w:id="772"/>
      <w:bookmarkEnd w:id="773"/>
      <w:bookmarkEnd w:id="774"/>
      <w:bookmarkEnd w:id="775"/>
      <w:bookmarkEnd w:id="776"/>
      <w:bookmarkEnd w:id="777"/>
    </w:p>
    <w:p w14:paraId="5CEBE2FA">
      <w:pPr>
        <w:pStyle w:val="327"/>
        <w:tabs>
          <w:tab w:val="left" w:pos="0"/>
        </w:tabs>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对油舱进行加热的蒸汽应为饱和蒸汽。</w:t>
      </w:r>
    </w:p>
    <w:p w14:paraId="08187A5A">
      <w:pPr>
        <w:pStyle w:val="327"/>
        <w:tabs>
          <w:tab w:val="left" w:pos="0"/>
        </w:tabs>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在管路上应设</w:t>
      </w:r>
      <w:r>
        <w:rPr>
          <w:rFonts w:hint="eastAsia" w:ascii="Times New Roman" w:hAnsi="Times New Roman" w:cs="Times New Roman" w:eastAsiaTheme="minorEastAsia"/>
          <w:color w:val="auto"/>
          <w:highlight w:val="none"/>
          <w:lang w:val="en-US" w:eastAsia="zh-CN"/>
        </w:rPr>
        <w:t>置</w:t>
      </w:r>
      <w:r>
        <w:rPr>
          <w:rFonts w:hint="default" w:ascii="Times New Roman" w:hAnsi="Times New Roman" w:cs="Times New Roman" w:eastAsiaTheme="minorEastAsia"/>
          <w:color w:val="auto"/>
          <w:highlight w:val="none"/>
        </w:rPr>
        <w:t>残水泄放装置。</w:t>
      </w:r>
    </w:p>
    <w:p w14:paraId="0929C65F">
      <w:pPr>
        <w:pStyle w:val="261"/>
        <w:tabs>
          <w:tab w:val="left" w:pos="0"/>
        </w:tabs>
        <w:spacing w:before="156" w:after="156"/>
        <w:outlineLvl w:val="2"/>
        <w:rPr>
          <w:rFonts w:hint="default" w:ascii="Times New Roman" w:hAnsi="Times New Roman" w:cs="Times New Roman"/>
          <w:color w:val="auto"/>
          <w:highlight w:val="none"/>
        </w:rPr>
      </w:pPr>
      <w:bookmarkStart w:id="778" w:name="_Toc5732"/>
      <w:bookmarkStart w:id="779" w:name="_Toc11307"/>
      <w:bookmarkStart w:id="780" w:name="_Toc31246"/>
      <w:r>
        <w:rPr>
          <w:rFonts w:hint="default" w:ascii="Times New Roman" w:hAnsi="Times New Roman" w:cs="Times New Roman"/>
          <w:color w:val="auto"/>
          <w:highlight w:val="none"/>
        </w:rPr>
        <w:t>导热油系统</w:t>
      </w:r>
      <w:bookmarkEnd w:id="778"/>
      <w:bookmarkEnd w:id="779"/>
      <w:bookmarkEnd w:id="780"/>
    </w:p>
    <w:p w14:paraId="2D59B62E">
      <w:pPr>
        <w:pStyle w:val="327"/>
        <w:ind w:left="0"/>
        <w:rPr>
          <w:rFonts w:hint="default" w:hAnsi="Times New Roman" w:cs="Times New Roman"/>
          <w:color w:val="auto"/>
          <w:highlight w:val="none"/>
        </w:rPr>
      </w:pPr>
      <w:r>
        <w:rPr>
          <w:rFonts w:hint="default" w:hAnsi="Times New Roman" w:cs="Times New Roman"/>
          <w:color w:val="auto"/>
          <w:highlight w:val="none"/>
        </w:rPr>
        <w:t>导热油</w:t>
      </w:r>
      <w:r>
        <w:rPr>
          <w:rFonts w:hint="eastAsia" w:ascii="宋体" w:hAnsi="宋体" w:eastAsia="宋体" w:cs="宋体"/>
          <w:color w:val="auto"/>
          <w:highlight w:val="none"/>
          <w:lang w:val="en-US" w:eastAsia="zh-CN"/>
        </w:rPr>
        <w:t>满足以下要求：</w:t>
      </w:r>
    </w:p>
    <w:p w14:paraId="71A1DC03">
      <w:pPr>
        <w:pStyle w:val="305"/>
        <w:numPr>
          <w:ilvl w:val="0"/>
          <w:numId w:val="47"/>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导热油应与被加热的物质在</w:t>
      </w:r>
      <w:r>
        <w:rPr>
          <w:rFonts w:hint="eastAsia" w:ascii="宋体" w:hAnsi="宋体" w:cs="宋体"/>
          <w:color w:val="auto"/>
          <w:highlight w:val="none"/>
          <w:lang w:val="en-US" w:eastAsia="zh-CN"/>
        </w:rPr>
        <w:t>泄漏</w:t>
      </w:r>
      <w:r>
        <w:rPr>
          <w:rFonts w:hint="default" w:ascii="宋体" w:hAnsi="宋体" w:cs="宋体"/>
          <w:color w:val="auto"/>
          <w:highlight w:val="none"/>
          <w:lang w:val="en-US" w:eastAsia="zh-CN"/>
        </w:rPr>
        <w:t>接触时具有相容性</w:t>
      </w:r>
      <w:r>
        <w:rPr>
          <w:rFonts w:hint="eastAsia" w:ascii="宋体" w:hAnsi="宋体" w:cs="宋体"/>
          <w:color w:val="auto"/>
          <w:highlight w:val="none"/>
          <w:lang w:val="en-US" w:eastAsia="zh-CN"/>
        </w:rPr>
        <w:t>；</w:t>
      </w:r>
    </w:p>
    <w:p w14:paraId="26E8FE04">
      <w:pPr>
        <w:pStyle w:val="305"/>
        <w:numPr>
          <w:ilvl w:val="0"/>
          <w:numId w:val="47"/>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导热油在使用中不应超过其最高允许的膜温。</w:t>
      </w:r>
    </w:p>
    <w:p w14:paraId="53D93E1F">
      <w:pPr>
        <w:pStyle w:val="327"/>
        <w:ind w:left="0"/>
        <w:rPr>
          <w:rFonts w:hint="eastAsia" w:ascii="宋体" w:hAnsi="宋体" w:eastAsia="宋体" w:cs="宋体"/>
          <w:color w:val="auto"/>
          <w:highlight w:val="none"/>
        </w:rPr>
      </w:pPr>
      <w:r>
        <w:rPr>
          <w:rFonts w:hint="eastAsia" w:hAnsi="Times New Roman" w:cs="Times New Roman"/>
          <w:color w:val="auto"/>
          <w:highlight w:val="none"/>
          <w:lang w:val="en-US" w:eastAsia="zh-CN"/>
        </w:rPr>
        <w:t>船体加热</w:t>
      </w:r>
      <w:r>
        <w:rPr>
          <w:rFonts w:hint="default" w:hAnsi="Times New Roman" w:cs="Times New Roman"/>
          <w:color w:val="auto"/>
          <w:highlight w:val="none"/>
        </w:rPr>
        <w:t>导热油循</w:t>
      </w:r>
      <w:r>
        <w:rPr>
          <w:rFonts w:hint="eastAsia" w:ascii="宋体" w:hAnsi="宋体" w:eastAsia="宋体" w:cs="宋体"/>
          <w:color w:val="auto"/>
          <w:highlight w:val="none"/>
        </w:rPr>
        <w:t>环系统</w:t>
      </w:r>
      <w:r>
        <w:rPr>
          <w:rFonts w:hint="eastAsia" w:ascii="宋体" w:hAnsi="宋体" w:eastAsia="宋体" w:cs="宋体"/>
          <w:color w:val="auto"/>
          <w:highlight w:val="none"/>
          <w:lang w:val="en-US" w:eastAsia="zh-CN"/>
        </w:rPr>
        <w:t>满足以下要求：</w:t>
      </w:r>
    </w:p>
    <w:p w14:paraId="710999E7">
      <w:pPr>
        <w:pStyle w:val="305"/>
        <w:numPr>
          <w:ilvl w:val="0"/>
          <w:numId w:val="4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循环系统应至少设2台泵，至少一台泵由应急母排电源供电，该泵能实现遥控和就地关闭；</w:t>
      </w:r>
    </w:p>
    <w:p w14:paraId="3B0B543A">
      <w:pPr>
        <w:pStyle w:val="305"/>
        <w:numPr>
          <w:ilvl w:val="0"/>
          <w:numId w:val="4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当使用一个导热油系统同时对于闪点小于与闪点不小于60 ℃的可燃液体进行加热时，应采取独立的第二辅助回路系统对闪点小于60 ℃的可燃液体进行加热；如不采用第二辅助回路，则应采取措施保证导热油系统内的压力大于被加热液体的压力；</w:t>
      </w:r>
    </w:p>
    <w:p w14:paraId="0D422D39">
      <w:pPr>
        <w:pStyle w:val="305"/>
        <w:numPr>
          <w:ilvl w:val="0"/>
          <w:numId w:val="4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导热油温度不应超过220 ℃。</w:t>
      </w:r>
    </w:p>
    <w:p w14:paraId="7E916717">
      <w:pPr>
        <w:pStyle w:val="327"/>
        <w:ind w:left="0"/>
        <w:rPr>
          <w:rFonts w:hint="default" w:hAnsi="Times New Roman" w:cs="Times New Roman"/>
          <w:color w:val="auto"/>
          <w:highlight w:val="none"/>
        </w:rPr>
      </w:pPr>
      <w:r>
        <w:rPr>
          <w:rFonts w:hint="default" w:hAnsi="Times New Roman" w:cs="Times New Roman"/>
          <w:color w:val="auto"/>
          <w:highlight w:val="none"/>
        </w:rPr>
        <w:t>控制与监控</w:t>
      </w:r>
      <w:r>
        <w:rPr>
          <w:rFonts w:hint="eastAsia" w:ascii="宋体" w:hAnsi="宋体" w:eastAsia="宋体" w:cs="宋体"/>
          <w:color w:val="auto"/>
          <w:highlight w:val="none"/>
          <w:lang w:val="en-US" w:eastAsia="zh-CN"/>
        </w:rPr>
        <w:t>满足以下要求：</w:t>
      </w:r>
    </w:p>
    <w:p w14:paraId="0E396EB1">
      <w:pPr>
        <w:pStyle w:val="305"/>
        <w:numPr>
          <w:ilvl w:val="0"/>
          <w:numId w:val="49"/>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为控制加热器导热油出口温度，应</w:t>
      </w:r>
      <w:r>
        <w:rPr>
          <w:rFonts w:hint="eastAsia" w:ascii="宋体" w:hAnsi="宋体" w:cs="宋体"/>
          <w:color w:val="auto"/>
          <w:highlight w:val="none"/>
          <w:lang w:val="en-US" w:eastAsia="zh-CN"/>
        </w:rPr>
        <w:t>采取</w:t>
      </w:r>
      <w:r>
        <w:rPr>
          <w:rFonts w:hint="default" w:ascii="宋体" w:hAnsi="宋体" w:cs="宋体"/>
          <w:color w:val="auto"/>
          <w:highlight w:val="none"/>
          <w:lang w:val="en-US" w:eastAsia="zh-CN"/>
        </w:rPr>
        <w:t>自动调节热量输入的措施</w:t>
      </w:r>
      <w:r>
        <w:rPr>
          <w:rFonts w:hint="eastAsia" w:ascii="宋体" w:hAnsi="宋体" w:cs="宋体"/>
          <w:color w:val="auto"/>
          <w:highlight w:val="none"/>
          <w:lang w:val="en-US" w:eastAsia="zh-CN"/>
        </w:rPr>
        <w:t>；</w:t>
      </w:r>
    </w:p>
    <w:p w14:paraId="52DFCB6C">
      <w:pPr>
        <w:pStyle w:val="305"/>
        <w:numPr>
          <w:ilvl w:val="0"/>
          <w:numId w:val="49"/>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当导热油出口温度超高、流量过低（导热油</w:t>
      </w:r>
      <w:r>
        <w:rPr>
          <w:rFonts w:hint="eastAsia" w:ascii="宋体" w:hAnsi="宋体" w:cs="宋体"/>
          <w:color w:val="auto"/>
          <w:highlight w:val="none"/>
          <w:lang w:val="en-US" w:eastAsia="zh-CN"/>
        </w:rPr>
        <w:t>泄漏</w:t>
      </w:r>
      <w:r>
        <w:rPr>
          <w:rFonts w:hint="default" w:ascii="宋体" w:hAnsi="宋体" w:cs="宋体"/>
          <w:color w:val="auto"/>
          <w:highlight w:val="none"/>
          <w:lang w:val="en-US" w:eastAsia="zh-CN"/>
        </w:rPr>
        <w:t>）、火焰故障、点火失败或强力通风失效时</w:t>
      </w:r>
      <w:r>
        <w:rPr>
          <w:rFonts w:hint="eastAsia" w:ascii="宋体" w:hAnsi="宋体" w:cs="宋体"/>
          <w:color w:val="auto"/>
          <w:highlight w:val="none"/>
          <w:lang w:val="en-US" w:eastAsia="zh-CN"/>
        </w:rPr>
        <w:t>，</w:t>
      </w:r>
      <w:r>
        <w:rPr>
          <w:rFonts w:hint="default" w:ascii="宋体" w:hAnsi="宋体" w:cs="宋体"/>
          <w:color w:val="auto"/>
          <w:highlight w:val="none"/>
          <w:lang w:val="en-US" w:eastAsia="zh-CN"/>
        </w:rPr>
        <w:t>应自动关断燃料供应源。</w:t>
      </w:r>
    </w:p>
    <w:p w14:paraId="50F7B5F0">
      <w:pPr>
        <w:pStyle w:val="261"/>
        <w:tabs>
          <w:tab w:val="left" w:pos="0"/>
        </w:tabs>
        <w:spacing w:before="156" w:after="156"/>
        <w:outlineLvl w:val="2"/>
        <w:rPr>
          <w:rFonts w:hint="default" w:ascii="Times New Roman" w:hAnsi="Times New Roman" w:cs="Times New Roman"/>
          <w:color w:val="auto"/>
          <w:highlight w:val="none"/>
        </w:rPr>
      </w:pPr>
      <w:bookmarkStart w:id="781" w:name="_Toc28421"/>
      <w:bookmarkStart w:id="782" w:name="_Toc8439"/>
      <w:bookmarkStart w:id="783" w:name="_Toc17701"/>
      <w:bookmarkStart w:id="784" w:name="_Toc21588"/>
      <w:bookmarkStart w:id="785" w:name="_Toc31730"/>
      <w:bookmarkStart w:id="786" w:name="_Toc463"/>
      <w:bookmarkStart w:id="787" w:name="_Toc948"/>
      <w:bookmarkStart w:id="788" w:name="_Toc6904"/>
      <w:r>
        <w:rPr>
          <w:rFonts w:hint="default" w:ascii="Times New Roman" w:hAnsi="Times New Roman" w:cs="Times New Roman"/>
          <w:color w:val="auto"/>
          <w:highlight w:val="none"/>
        </w:rPr>
        <w:t>冷却水系统</w:t>
      </w:r>
      <w:bookmarkEnd w:id="781"/>
      <w:bookmarkEnd w:id="782"/>
      <w:bookmarkEnd w:id="783"/>
      <w:bookmarkEnd w:id="784"/>
      <w:bookmarkEnd w:id="785"/>
      <w:bookmarkEnd w:id="786"/>
      <w:bookmarkEnd w:id="787"/>
      <w:bookmarkEnd w:id="788"/>
    </w:p>
    <w:p w14:paraId="4FB5D5B3">
      <w:pPr>
        <w:pStyle w:val="327"/>
        <w:tabs>
          <w:tab w:val="left" w:pos="0"/>
        </w:tabs>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应设置冷却水的低压</w:t>
      </w:r>
      <w:r>
        <w:rPr>
          <w:rFonts w:hint="eastAsia" w:ascii="Times New Roman" w:hAnsi="Times New Roman" w:cs="Times New Roman" w:eastAsiaTheme="minorEastAsia"/>
          <w:color w:val="auto"/>
          <w:highlight w:val="none"/>
          <w:lang w:val="en-US" w:eastAsia="zh-CN"/>
        </w:rPr>
        <w:t>报警</w:t>
      </w:r>
      <w:r>
        <w:rPr>
          <w:rFonts w:hint="default" w:ascii="Times New Roman" w:hAnsi="Times New Roman" w:cs="Times New Roman" w:eastAsiaTheme="minorEastAsia"/>
          <w:color w:val="auto"/>
          <w:highlight w:val="none"/>
        </w:rPr>
        <w:t>或被冷却介质的高温报警。</w:t>
      </w:r>
    </w:p>
    <w:p w14:paraId="17BBF1AD">
      <w:pPr>
        <w:pStyle w:val="327"/>
        <w:tabs>
          <w:tab w:val="left" w:pos="0"/>
        </w:tabs>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海水</w:t>
      </w:r>
      <w:r>
        <w:rPr>
          <w:rFonts w:hint="eastAsia" w:ascii="Times New Roman" w:hAnsi="Times New Roman" w:cs="Times New Roman" w:eastAsiaTheme="minorEastAsia"/>
          <w:color w:val="auto"/>
          <w:highlight w:val="none"/>
          <w:lang w:val="en-US" w:eastAsia="zh-CN"/>
        </w:rPr>
        <w:t>冷却</w:t>
      </w:r>
      <w:r>
        <w:rPr>
          <w:rFonts w:hint="default" w:ascii="Times New Roman" w:hAnsi="Times New Roman" w:cs="Times New Roman" w:eastAsiaTheme="minorEastAsia"/>
          <w:color w:val="auto"/>
          <w:highlight w:val="none"/>
        </w:rPr>
        <w:t>系统应</w:t>
      </w:r>
      <w:r>
        <w:rPr>
          <w:rFonts w:hint="eastAsia" w:ascii="Times New Roman" w:hAnsi="Times New Roman" w:cs="Times New Roman" w:eastAsiaTheme="minorEastAsia"/>
          <w:color w:val="auto"/>
          <w:highlight w:val="none"/>
          <w:lang w:val="en-US" w:eastAsia="zh-CN"/>
        </w:rPr>
        <w:t>选用耐腐蚀材料或敷设内涂层</w:t>
      </w:r>
      <w:r>
        <w:rPr>
          <w:rFonts w:hint="default" w:ascii="Times New Roman" w:hAnsi="Times New Roman" w:cs="Times New Roman" w:eastAsiaTheme="minorEastAsia"/>
          <w:color w:val="auto"/>
          <w:highlight w:val="none"/>
        </w:rPr>
        <w:t>，并</w:t>
      </w:r>
      <w:r>
        <w:rPr>
          <w:rFonts w:hint="eastAsia" w:ascii="Times New Roman" w:hAnsi="Times New Roman" w:cs="Times New Roman" w:eastAsiaTheme="minorEastAsia"/>
          <w:color w:val="auto"/>
          <w:highlight w:val="none"/>
          <w:lang w:val="en-US" w:eastAsia="zh-CN"/>
        </w:rPr>
        <w:t>设置防海生物装置</w:t>
      </w:r>
      <w:r>
        <w:rPr>
          <w:rFonts w:hint="default" w:ascii="Times New Roman" w:hAnsi="Times New Roman" w:cs="Times New Roman" w:eastAsiaTheme="minorEastAsia"/>
          <w:color w:val="auto"/>
          <w:highlight w:val="none"/>
        </w:rPr>
        <w:t>。</w:t>
      </w:r>
    </w:p>
    <w:p w14:paraId="323BAEDC">
      <w:pPr>
        <w:pStyle w:val="261"/>
        <w:tabs>
          <w:tab w:val="left" w:pos="0"/>
        </w:tabs>
        <w:spacing w:before="156" w:after="156"/>
        <w:outlineLvl w:val="2"/>
        <w:rPr>
          <w:rFonts w:hint="default" w:ascii="Times New Roman" w:hAnsi="Times New Roman" w:cs="Times New Roman"/>
          <w:color w:val="auto"/>
          <w:highlight w:val="none"/>
        </w:rPr>
      </w:pPr>
      <w:bookmarkStart w:id="789" w:name="_Toc16076"/>
      <w:bookmarkStart w:id="790" w:name="_Toc5917"/>
      <w:bookmarkStart w:id="791" w:name="_Toc25925"/>
      <w:bookmarkStart w:id="792" w:name="_Toc8579"/>
      <w:bookmarkStart w:id="793" w:name="_Toc22915"/>
      <w:bookmarkStart w:id="794" w:name="_Toc5374"/>
      <w:r>
        <w:rPr>
          <w:rFonts w:hint="default" w:ascii="Times New Roman" w:hAnsi="Times New Roman" w:cs="Times New Roman"/>
          <w:color w:val="auto"/>
          <w:highlight w:val="none"/>
        </w:rPr>
        <w:t>液压系统</w:t>
      </w:r>
      <w:bookmarkEnd w:id="789"/>
      <w:bookmarkEnd w:id="790"/>
      <w:bookmarkEnd w:id="791"/>
      <w:bookmarkEnd w:id="792"/>
      <w:bookmarkEnd w:id="793"/>
      <w:bookmarkEnd w:id="794"/>
    </w:p>
    <w:p w14:paraId="4A502CC3">
      <w:pPr>
        <w:pStyle w:val="327"/>
        <w:tabs>
          <w:tab w:val="left" w:pos="0"/>
        </w:tabs>
        <w:rPr>
          <w:rFonts w:hint="default" w:ascii="Times New Roman" w:hAnsi="Times New Roman" w:cs="Times New Roman" w:eastAsiaTheme="minorEastAsia"/>
          <w:color w:val="auto"/>
          <w:highlight w:val="none"/>
          <w:lang w:val="en-US" w:eastAsia="zh-CN"/>
        </w:rPr>
      </w:pPr>
      <w:r>
        <w:rPr>
          <w:rFonts w:hint="eastAsia" w:ascii="Times New Roman" w:hAnsi="Times New Roman" w:cs="Times New Roman" w:eastAsiaTheme="minorEastAsia"/>
          <w:color w:val="auto"/>
          <w:highlight w:val="none"/>
          <w:lang w:val="en-US" w:eastAsia="zh-CN"/>
        </w:rPr>
        <w:t>与安全有关</w:t>
      </w:r>
      <w:r>
        <w:rPr>
          <w:rFonts w:hint="default" w:ascii="Times New Roman" w:hAnsi="Times New Roman" w:cs="Times New Roman" w:eastAsiaTheme="minorEastAsia"/>
          <w:color w:val="auto"/>
          <w:highlight w:val="none"/>
          <w:lang w:val="en-US" w:eastAsia="zh-CN"/>
        </w:rPr>
        <w:t>的液压传动系统应设</w:t>
      </w:r>
      <w:r>
        <w:rPr>
          <w:rFonts w:hint="eastAsia" w:ascii="Times New Roman" w:hAnsi="Times New Roman" w:cs="Times New Roman" w:eastAsiaTheme="minorEastAsia"/>
          <w:color w:val="auto"/>
          <w:highlight w:val="none"/>
          <w:lang w:val="en-US" w:eastAsia="zh-CN"/>
        </w:rPr>
        <w:t>置</w:t>
      </w:r>
      <w:r>
        <w:rPr>
          <w:rFonts w:hint="default" w:ascii="Times New Roman" w:hAnsi="Times New Roman" w:cs="Times New Roman" w:eastAsiaTheme="minorEastAsia"/>
          <w:color w:val="auto"/>
          <w:highlight w:val="none"/>
          <w:lang w:val="en-US" w:eastAsia="zh-CN"/>
        </w:rPr>
        <w:t>备用泵</w:t>
      </w:r>
      <w:r>
        <w:rPr>
          <w:rFonts w:hint="eastAsia" w:ascii="Times New Roman" w:hAnsi="Times New Roman" w:cs="Times New Roman" w:eastAsiaTheme="minorEastAsia"/>
          <w:color w:val="auto"/>
          <w:highlight w:val="none"/>
          <w:lang w:val="en-US" w:eastAsia="zh-CN"/>
        </w:rPr>
        <w:t>。</w:t>
      </w:r>
    </w:p>
    <w:p w14:paraId="5AE2D2A7">
      <w:pPr>
        <w:pStyle w:val="327"/>
        <w:tabs>
          <w:tab w:val="left" w:pos="0"/>
        </w:tabs>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val="en-US" w:eastAsia="zh-CN"/>
        </w:rPr>
        <w:t>应设</w:t>
      </w:r>
      <w:r>
        <w:rPr>
          <w:rFonts w:hint="eastAsia" w:ascii="Times New Roman" w:hAnsi="Times New Roman" w:cs="Times New Roman" w:eastAsiaTheme="minorEastAsia"/>
          <w:color w:val="auto"/>
          <w:highlight w:val="none"/>
          <w:lang w:val="en-US" w:eastAsia="zh-CN"/>
        </w:rPr>
        <w:t>置</w:t>
      </w:r>
      <w:r>
        <w:rPr>
          <w:rFonts w:hint="default" w:ascii="Times New Roman" w:hAnsi="Times New Roman" w:cs="Times New Roman" w:eastAsiaTheme="minorEastAsia"/>
          <w:color w:val="auto"/>
          <w:highlight w:val="none"/>
          <w:lang w:val="en-US" w:eastAsia="zh-CN"/>
        </w:rPr>
        <w:t>溢流阀及放气装置。</w:t>
      </w:r>
    </w:p>
    <w:p w14:paraId="4FBB3011">
      <w:pPr>
        <w:pStyle w:val="259"/>
        <w:numPr>
          <w:ilvl w:val="0"/>
          <w:numId w:val="33"/>
        </w:numPr>
        <w:outlineLvl w:val="0"/>
        <w:rPr>
          <w:rFonts w:hint="default" w:ascii="Times New Roman" w:hAnsi="Times New Roman" w:cs="Times New Roman"/>
          <w:color w:val="auto"/>
          <w:highlight w:val="none"/>
        </w:rPr>
      </w:pPr>
      <w:bookmarkStart w:id="795" w:name="_Toc20742"/>
      <w:bookmarkStart w:id="796" w:name="_Toc1845"/>
      <w:bookmarkStart w:id="797" w:name="_Toc25972"/>
      <w:bookmarkStart w:id="798" w:name="_Toc28054"/>
      <w:bookmarkStart w:id="799" w:name="_Toc8089"/>
      <w:bookmarkStart w:id="800" w:name="_Toc19826"/>
      <w:bookmarkStart w:id="801" w:name="_Toc11659"/>
      <w:bookmarkStart w:id="802" w:name="_Toc11243"/>
      <w:bookmarkStart w:id="803" w:name="_Toc183727686"/>
      <w:bookmarkStart w:id="804" w:name="_Toc29438"/>
      <w:bookmarkStart w:id="805" w:name="_Toc15512"/>
      <w:r>
        <w:rPr>
          <w:rFonts w:hint="eastAsia" w:ascii="Times New Roman" w:cs="Times New Roman"/>
          <w:color w:val="auto"/>
          <w:highlight w:val="none"/>
          <w:lang w:val="en-US" w:eastAsia="zh-CN"/>
        </w:rPr>
        <w:t>油气生产工艺和</w:t>
      </w:r>
      <w:r>
        <w:rPr>
          <w:rFonts w:hint="default" w:ascii="Times New Roman" w:hAnsi="Times New Roman" w:cs="Times New Roman"/>
          <w:color w:val="auto"/>
          <w:highlight w:val="none"/>
        </w:rPr>
        <w:t>储运</w:t>
      </w:r>
      <w:bookmarkEnd w:id="795"/>
      <w:bookmarkEnd w:id="796"/>
      <w:bookmarkEnd w:id="797"/>
      <w:bookmarkEnd w:id="798"/>
      <w:bookmarkEnd w:id="799"/>
      <w:bookmarkEnd w:id="800"/>
      <w:bookmarkEnd w:id="801"/>
      <w:bookmarkEnd w:id="802"/>
      <w:bookmarkEnd w:id="803"/>
      <w:bookmarkEnd w:id="804"/>
    </w:p>
    <w:p w14:paraId="66E078D6">
      <w:pPr>
        <w:pStyle w:val="260"/>
        <w:numPr>
          <w:ilvl w:val="1"/>
          <w:numId w:val="50"/>
        </w:numPr>
        <w:outlineLvl w:val="1"/>
        <w:rPr>
          <w:rFonts w:hint="default" w:ascii="Times New Roman" w:hAnsi="Times New Roman" w:cs="Times New Roman"/>
          <w:color w:val="auto"/>
          <w:highlight w:val="none"/>
        </w:rPr>
      </w:pPr>
      <w:bookmarkStart w:id="806" w:name="_Toc26183"/>
      <w:bookmarkStart w:id="807" w:name="_Toc23782"/>
      <w:bookmarkStart w:id="808" w:name="_Toc8209"/>
      <w:bookmarkStart w:id="809" w:name="_Toc31415"/>
      <w:bookmarkStart w:id="810" w:name="_Toc1970"/>
      <w:bookmarkStart w:id="811" w:name="_Toc32588"/>
      <w:bookmarkStart w:id="812" w:name="_Toc31699"/>
      <w:bookmarkStart w:id="813" w:name="_Toc7404"/>
      <w:r>
        <w:rPr>
          <w:rFonts w:hint="eastAsia" w:ascii="Times New Roman" w:cs="Times New Roman"/>
          <w:color w:val="auto"/>
          <w:highlight w:val="none"/>
          <w:lang w:eastAsia="zh-CN"/>
        </w:rPr>
        <w:t>通用要求</w:t>
      </w:r>
      <w:bookmarkEnd w:id="806"/>
      <w:bookmarkEnd w:id="807"/>
      <w:bookmarkEnd w:id="808"/>
      <w:bookmarkEnd w:id="809"/>
      <w:bookmarkEnd w:id="810"/>
      <w:bookmarkEnd w:id="811"/>
    </w:p>
    <w:p w14:paraId="72A79DA7">
      <w:pPr>
        <w:pStyle w:val="261"/>
        <w:spacing w:before="0" w:beforeLines="0" w:after="0" w:afterLines="0"/>
        <w:outlineLvl w:val="9"/>
        <w:rPr>
          <w:rFonts w:hint="eastAsia" w:ascii="宋体" w:hAnsi="宋体" w:eastAsia="宋体" w:cs="宋体"/>
          <w:color w:val="auto"/>
          <w:highlight w:val="none"/>
        </w:rPr>
      </w:pPr>
      <w:bookmarkStart w:id="814" w:name="_Toc28584"/>
      <w:bookmarkStart w:id="815" w:name="_Toc4710"/>
      <w:bookmarkStart w:id="816" w:name="_Toc9598"/>
      <w:r>
        <w:rPr>
          <w:rFonts w:hint="eastAsia" w:ascii="宋体" w:hAnsi="宋体" w:eastAsia="宋体" w:cs="宋体"/>
          <w:color w:val="auto"/>
          <w:highlight w:val="none"/>
          <w:lang w:val="en-US" w:eastAsia="zh-CN"/>
        </w:rPr>
        <w:t>油气生产工艺应满足GB 46766的要求。</w:t>
      </w:r>
      <w:bookmarkEnd w:id="814"/>
    </w:p>
    <w:p w14:paraId="01D6285E">
      <w:pPr>
        <w:pStyle w:val="261"/>
        <w:spacing w:before="0" w:beforeLines="0" w:after="0" w:afterLines="0"/>
        <w:outlineLvl w:val="9"/>
        <w:rPr>
          <w:rFonts w:hint="eastAsia" w:ascii="宋体" w:hAnsi="宋体" w:eastAsia="宋体" w:cs="宋体"/>
          <w:color w:val="auto"/>
          <w:highlight w:val="none"/>
        </w:rPr>
      </w:pPr>
      <w:bookmarkStart w:id="817" w:name="_Toc7157"/>
      <w:r>
        <w:rPr>
          <w:rFonts w:hint="eastAsia" w:ascii="宋体" w:hAnsi="宋体" w:eastAsia="宋体" w:cs="宋体"/>
          <w:color w:val="auto"/>
          <w:highlight w:val="none"/>
        </w:rPr>
        <w:t>油气水处理设备</w:t>
      </w:r>
      <w:r>
        <w:rPr>
          <w:rFonts w:hint="eastAsia" w:ascii="宋体" w:hAnsi="宋体" w:eastAsia="宋体" w:cs="宋体"/>
          <w:color w:val="auto"/>
          <w:highlight w:val="none"/>
          <w:lang w:val="en-US" w:eastAsia="zh-CN"/>
        </w:rPr>
        <w:t>性能</w:t>
      </w:r>
      <w:r>
        <w:rPr>
          <w:rFonts w:hint="eastAsia" w:ascii="宋体" w:hAnsi="宋体" w:eastAsia="宋体" w:cs="宋体"/>
          <w:color w:val="auto"/>
          <w:highlight w:val="none"/>
        </w:rPr>
        <w:t>设计时，应</w:t>
      </w:r>
      <w:r>
        <w:rPr>
          <w:rFonts w:hint="eastAsia" w:ascii="宋体" w:hAnsi="宋体" w:eastAsia="宋体" w:cs="宋体"/>
          <w:color w:val="auto"/>
          <w:highlight w:val="none"/>
          <w:lang w:val="en-US" w:eastAsia="zh-CN"/>
        </w:rPr>
        <w:t>包括</w:t>
      </w:r>
      <w:r>
        <w:rPr>
          <w:rFonts w:hint="eastAsia" w:ascii="宋体" w:hAnsi="宋体" w:eastAsia="宋体" w:cs="宋体"/>
          <w:color w:val="auto"/>
          <w:highlight w:val="none"/>
        </w:rPr>
        <w:t>环境条件和浮体运动对油气水处理设备正常工作的影响。</w:t>
      </w:r>
      <w:bookmarkEnd w:id="815"/>
      <w:bookmarkEnd w:id="816"/>
      <w:bookmarkEnd w:id="817"/>
    </w:p>
    <w:p w14:paraId="2CC36203">
      <w:pPr>
        <w:pStyle w:val="261"/>
        <w:spacing w:before="0" w:beforeLines="0" w:after="0" w:afterLines="0"/>
        <w:outlineLvl w:val="9"/>
        <w:rPr>
          <w:rFonts w:hint="eastAsia" w:ascii="宋体" w:hAnsi="宋体" w:eastAsia="宋体" w:cs="宋体"/>
          <w:color w:val="auto"/>
          <w:highlight w:val="none"/>
        </w:rPr>
      </w:pPr>
      <w:bookmarkStart w:id="818" w:name="_Toc21555"/>
      <w:r>
        <w:rPr>
          <w:rFonts w:hint="eastAsia" w:ascii="宋体" w:hAnsi="宋体" w:eastAsia="宋体" w:cs="宋体"/>
          <w:color w:val="auto"/>
          <w:highlight w:val="none"/>
        </w:rPr>
        <w:t>FPSO工艺/公用系统的安全设计，应确保油气生产、处理、储存和外输过程密闭、安全，防止可燃、有毒</w:t>
      </w:r>
      <w:r>
        <w:rPr>
          <w:rFonts w:hint="eastAsia" w:ascii="宋体" w:hAnsi="宋体" w:eastAsia="宋体" w:cs="宋体"/>
          <w:color w:val="auto"/>
          <w:highlight w:val="none"/>
          <w:lang w:val="en-US" w:eastAsia="zh-CN"/>
        </w:rPr>
        <w:t>和</w:t>
      </w:r>
      <w:r>
        <w:rPr>
          <w:rFonts w:hint="eastAsia" w:ascii="宋体" w:hAnsi="宋体" w:eastAsia="宋体" w:cs="宋体"/>
          <w:color w:val="auto"/>
          <w:highlight w:val="none"/>
        </w:rPr>
        <w:t>有害</w:t>
      </w:r>
      <w:r>
        <w:rPr>
          <w:rFonts w:hint="eastAsia" w:ascii="宋体" w:hAnsi="宋体" w:eastAsia="宋体" w:cs="宋体"/>
          <w:color w:val="auto"/>
          <w:highlight w:val="none"/>
          <w:lang w:val="en-US" w:eastAsia="zh-CN"/>
        </w:rPr>
        <w:t>物质</w:t>
      </w:r>
      <w:r>
        <w:rPr>
          <w:rFonts w:hint="eastAsia" w:ascii="宋体" w:hAnsi="宋体" w:eastAsia="宋体" w:cs="宋体"/>
          <w:color w:val="auto"/>
          <w:highlight w:val="none"/>
        </w:rPr>
        <w:t>的意外泄漏、扩散和排放</w:t>
      </w:r>
      <w:r>
        <w:rPr>
          <w:rFonts w:hint="eastAsia" w:ascii="宋体" w:hAnsi="宋体" w:eastAsia="宋体" w:cs="宋体"/>
          <w:color w:val="auto"/>
          <w:highlight w:val="none"/>
          <w:lang w:eastAsia="zh-CN"/>
        </w:rPr>
        <w:t>。</w:t>
      </w:r>
      <w:bookmarkEnd w:id="818"/>
    </w:p>
    <w:p w14:paraId="6AED63B4">
      <w:pPr>
        <w:pStyle w:val="260"/>
        <w:numPr>
          <w:ilvl w:val="1"/>
          <w:numId w:val="50"/>
        </w:numPr>
        <w:outlineLvl w:val="1"/>
        <w:rPr>
          <w:rFonts w:hint="default" w:ascii="Times New Roman" w:hAnsi="Times New Roman" w:cs="Times New Roman"/>
          <w:color w:val="auto"/>
          <w:highlight w:val="none"/>
        </w:rPr>
      </w:pPr>
      <w:bookmarkStart w:id="819" w:name="_Toc183727688"/>
      <w:bookmarkStart w:id="820" w:name="_Toc31176"/>
      <w:bookmarkStart w:id="821" w:name="_Toc13431"/>
      <w:bookmarkStart w:id="822" w:name="_Toc24206"/>
      <w:bookmarkStart w:id="823" w:name="_Toc11168"/>
      <w:bookmarkStart w:id="824" w:name="_Toc5599"/>
      <w:bookmarkStart w:id="825" w:name="_Toc2958"/>
      <w:bookmarkStart w:id="826" w:name="_Toc824"/>
      <w:bookmarkStart w:id="827" w:name="_Toc30461"/>
      <w:bookmarkStart w:id="828" w:name="_Toc2704"/>
      <w:bookmarkStart w:id="829" w:name="_Toc29661"/>
      <w:r>
        <w:rPr>
          <w:rFonts w:hint="default" w:ascii="Times New Roman" w:hAnsi="Times New Roman" w:cs="Times New Roman"/>
          <w:color w:val="auto"/>
          <w:highlight w:val="none"/>
        </w:rPr>
        <w:t>油气输入系统</w:t>
      </w:r>
      <w:bookmarkEnd w:id="819"/>
      <w:bookmarkEnd w:id="820"/>
      <w:bookmarkEnd w:id="821"/>
      <w:bookmarkEnd w:id="822"/>
      <w:bookmarkEnd w:id="823"/>
      <w:bookmarkEnd w:id="824"/>
      <w:bookmarkEnd w:id="825"/>
      <w:bookmarkEnd w:id="826"/>
      <w:bookmarkEnd w:id="827"/>
      <w:bookmarkEnd w:id="828"/>
      <w:bookmarkEnd w:id="829"/>
    </w:p>
    <w:p w14:paraId="504C0F1C">
      <w:pPr>
        <w:pStyle w:val="261"/>
        <w:spacing w:before="0" w:beforeLines="0" w:after="0" w:afterLines="0"/>
        <w:outlineLvl w:val="9"/>
        <w:rPr>
          <w:rFonts w:hint="eastAsia" w:ascii="宋体" w:hAnsi="宋体" w:eastAsia="宋体" w:cs="宋体"/>
          <w:color w:val="auto"/>
          <w:highlight w:val="none"/>
        </w:rPr>
      </w:pPr>
      <w:bookmarkStart w:id="830" w:name="_Toc17477"/>
      <w:bookmarkStart w:id="831" w:name="_Toc17062"/>
      <w:bookmarkStart w:id="832" w:name="_Toc25411"/>
      <w:bookmarkStart w:id="833" w:name="_Toc10023"/>
      <w:r>
        <w:rPr>
          <w:rFonts w:hint="eastAsia" w:ascii="宋体" w:hAnsi="宋体" w:eastAsia="宋体" w:cs="宋体"/>
          <w:color w:val="auto"/>
          <w:highlight w:val="none"/>
        </w:rPr>
        <w:t>FPSO油气输入</w:t>
      </w:r>
      <w:r>
        <w:rPr>
          <w:rFonts w:hint="eastAsia" w:ascii="宋体" w:hAnsi="宋体" w:eastAsia="宋体" w:cs="宋体"/>
          <w:color w:val="auto"/>
          <w:highlight w:val="none"/>
          <w:lang w:eastAsia="zh-CN"/>
        </w:rPr>
        <w:t>管道</w:t>
      </w:r>
      <w:r>
        <w:rPr>
          <w:rFonts w:hint="eastAsia" w:ascii="宋体" w:hAnsi="宋体" w:eastAsia="宋体" w:cs="宋体"/>
          <w:color w:val="auto"/>
          <w:highlight w:val="none"/>
        </w:rPr>
        <w:t>上应设置关断阀。</w:t>
      </w:r>
      <w:bookmarkEnd w:id="830"/>
      <w:bookmarkEnd w:id="831"/>
      <w:bookmarkEnd w:id="832"/>
      <w:bookmarkEnd w:id="833"/>
    </w:p>
    <w:p w14:paraId="31C97302">
      <w:pPr>
        <w:pStyle w:val="261"/>
        <w:spacing w:before="0" w:beforeLines="0" w:after="0" w:afterLines="0"/>
        <w:outlineLvl w:val="9"/>
        <w:rPr>
          <w:rFonts w:hint="eastAsia" w:ascii="宋体" w:hAnsi="宋体" w:eastAsia="宋体" w:cs="宋体"/>
          <w:color w:val="auto"/>
          <w:highlight w:val="none"/>
        </w:rPr>
      </w:pPr>
      <w:bookmarkStart w:id="834" w:name="_Toc10475"/>
      <w:bookmarkStart w:id="835" w:name="_Toc6162"/>
      <w:bookmarkStart w:id="836" w:name="_Toc19256"/>
      <w:bookmarkStart w:id="837" w:name="_Toc15092"/>
      <w:bookmarkStart w:id="838" w:name="_Toc183727689"/>
      <w:bookmarkStart w:id="839" w:name="_Toc21917"/>
      <w:bookmarkStart w:id="840" w:name="_Toc32448"/>
      <w:r>
        <w:rPr>
          <w:rFonts w:hint="eastAsia" w:ascii="宋体" w:hAnsi="宋体" w:eastAsia="宋体" w:cs="宋体"/>
          <w:color w:val="auto"/>
          <w:highlight w:val="none"/>
        </w:rPr>
        <w:t>外转塔单点到FPSO的油气输入软管两端</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设置关断阀。</w:t>
      </w:r>
      <w:bookmarkEnd w:id="834"/>
      <w:bookmarkEnd w:id="835"/>
      <w:bookmarkEnd w:id="836"/>
      <w:bookmarkEnd w:id="837"/>
    </w:p>
    <w:p w14:paraId="7D64C676">
      <w:pPr>
        <w:pStyle w:val="261"/>
        <w:spacing w:before="0" w:beforeLines="0" w:after="0" w:afterLines="0"/>
        <w:outlineLvl w:val="9"/>
        <w:rPr>
          <w:rFonts w:hint="eastAsia" w:ascii="宋体" w:hAnsi="宋体" w:eastAsia="宋体" w:cs="宋体"/>
          <w:color w:val="auto"/>
          <w:highlight w:val="none"/>
        </w:rPr>
      </w:pPr>
      <w:bookmarkStart w:id="841" w:name="_Toc13354"/>
      <w:bookmarkStart w:id="842" w:name="_Toc20229"/>
      <w:r>
        <w:rPr>
          <w:rFonts w:hint="eastAsia" w:ascii="宋体" w:hAnsi="宋体" w:eastAsia="宋体" w:cs="宋体"/>
          <w:color w:val="auto"/>
          <w:highlight w:val="none"/>
        </w:rPr>
        <w:t>内转塔单点到FPSO</w:t>
      </w:r>
      <w:r>
        <w:rPr>
          <w:rFonts w:hint="eastAsia" w:ascii="宋体" w:hAnsi="宋体" w:eastAsia="宋体" w:cs="宋体"/>
          <w:color w:val="auto"/>
          <w:highlight w:val="none"/>
          <w:lang w:val="en-US" w:eastAsia="zh-CN"/>
        </w:rPr>
        <w:t>油气</w:t>
      </w:r>
      <w:r>
        <w:rPr>
          <w:rFonts w:hint="eastAsia" w:ascii="宋体" w:hAnsi="宋体" w:eastAsia="宋体" w:cs="宋体"/>
          <w:color w:val="auto"/>
          <w:highlight w:val="none"/>
          <w:lang w:eastAsia="zh-CN"/>
        </w:rPr>
        <w:t>管道</w:t>
      </w:r>
      <w:r>
        <w:rPr>
          <w:rFonts w:hint="eastAsia" w:ascii="宋体" w:hAnsi="宋体" w:eastAsia="宋体" w:cs="宋体"/>
          <w:color w:val="auto"/>
          <w:highlight w:val="none"/>
        </w:rPr>
        <w:t>上</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设置隔离阀。</w:t>
      </w:r>
      <w:bookmarkEnd w:id="841"/>
      <w:bookmarkEnd w:id="842"/>
    </w:p>
    <w:bookmarkEnd w:id="838"/>
    <w:bookmarkEnd w:id="839"/>
    <w:bookmarkEnd w:id="840"/>
    <w:p w14:paraId="2515FFBE">
      <w:pPr>
        <w:pStyle w:val="260"/>
        <w:numPr>
          <w:ilvl w:val="1"/>
          <w:numId w:val="50"/>
        </w:numPr>
        <w:outlineLvl w:val="1"/>
        <w:rPr>
          <w:rFonts w:hint="default" w:ascii="Times New Roman" w:hAnsi="Times New Roman" w:cs="Times New Roman"/>
          <w:color w:val="auto"/>
          <w:highlight w:val="none"/>
        </w:rPr>
      </w:pPr>
      <w:bookmarkStart w:id="843" w:name="_Toc21410"/>
      <w:bookmarkStart w:id="844" w:name="_Toc27703"/>
      <w:bookmarkStart w:id="845" w:name="_Toc20468"/>
      <w:bookmarkStart w:id="846" w:name="_Toc5184"/>
      <w:bookmarkStart w:id="847" w:name="_Toc12121"/>
      <w:bookmarkStart w:id="848" w:name="_Toc28320"/>
      <w:bookmarkStart w:id="849" w:name="_Toc18228"/>
      <w:bookmarkStart w:id="850" w:name="_Toc8705"/>
      <w:bookmarkStart w:id="851" w:name="_Toc25190"/>
      <w:bookmarkStart w:id="852" w:name="_Toc183727693"/>
      <w:bookmarkStart w:id="853" w:name="_Toc21592"/>
      <w:r>
        <w:rPr>
          <w:rFonts w:hint="default" w:ascii="Times New Roman" w:hAnsi="Times New Roman" w:cs="Times New Roman"/>
          <w:color w:val="auto"/>
          <w:highlight w:val="none"/>
        </w:rPr>
        <w:t>安全保护装置</w:t>
      </w:r>
      <w:bookmarkEnd w:id="843"/>
      <w:bookmarkEnd w:id="844"/>
      <w:bookmarkEnd w:id="845"/>
      <w:bookmarkEnd w:id="846"/>
      <w:bookmarkEnd w:id="847"/>
      <w:bookmarkEnd w:id="848"/>
      <w:bookmarkEnd w:id="849"/>
      <w:bookmarkEnd w:id="850"/>
    </w:p>
    <w:p w14:paraId="144B7350">
      <w:pPr>
        <w:pStyle w:val="39"/>
        <w:numPr>
          <w:ilvl w:val="0"/>
          <w:numId w:val="0"/>
        </w:numPr>
        <w:spacing w:after="0"/>
        <w:ind w:right="220" w:rightChars="0" w:firstLine="420" w:firstLineChars="200"/>
        <w:rPr>
          <w:rFonts w:hint="default" w:ascii="Times New Roman" w:hAnsi="Times New Roman" w:eastAsia="黑体" w:cs="Times New Roman"/>
          <w:color w:val="auto"/>
          <w:highlight w:val="none"/>
        </w:rPr>
      </w:pPr>
      <w:r>
        <w:rPr>
          <w:rFonts w:hint="default" w:ascii="Times New Roman" w:hAnsi="Times New Roman" w:cs="Times New Roman"/>
          <w:color w:val="auto"/>
          <w:highlight w:val="none"/>
          <w:lang w:val="en-US" w:eastAsia="zh-CN"/>
        </w:rPr>
        <w:t>管汇、压力容器、常压容器、受火和废气加</w:t>
      </w:r>
      <w:r>
        <w:rPr>
          <w:rFonts w:hint="eastAsia" w:ascii="宋体" w:hAnsi="宋体" w:eastAsia="宋体" w:cs="宋体"/>
          <w:color w:val="auto"/>
          <w:highlight w:val="none"/>
          <w:lang w:val="en-US" w:eastAsia="zh-CN"/>
        </w:rPr>
        <w:t>热器、泵、压缩机和换热器等工艺设施的安全保护装置应满足GB</w:t>
      </w:r>
      <w:r>
        <w:rPr>
          <w:rFonts w:hint="eastAsia" w:ascii="宋体" w:hAnsi="宋体" w:cs="宋体"/>
          <w:color w:val="auto"/>
          <w:highlight w:val="none"/>
          <w:lang w:val="en-US" w:eastAsia="zh-CN"/>
        </w:rPr>
        <w:t xml:space="preserve"> 46766</w:t>
      </w:r>
      <w:r>
        <w:rPr>
          <w:rFonts w:hint="eastAsia" w:ascii="宋体" w:hAnsi="宋体" w:eastAsia="宋体" w:cs="宋体"/>
          <w:color w:val="auto"/>
          <w:highlight w:val="none"/>
          <w:lang w:val="en-US" w:eastAsia="zh-CN"/>
        </w:rPr>
        <w:t>的要求。</w:t>
      </w:r>
    </w:p>
    <w:p w14:paraId="646BF08B">
      <w:pPr>
        <w:pStyle w:val="260"/>
        <w:numPr>
          <w:ilvl w:val="1"/>
          <w:numId w:val="50"/>
        </w:numPr>
        <w:outlineLvl w:val="1"/>
        <w:rPr>
          <w:rFonts w:hint="default" w:ascii="Times New Roman" w:hAnsi="Times New Roman" w:cs="Times New Roman"/>
          <w:color w:val="auto"/>
          <w:highlight w:val="none"/>
        </w:rPr>
      </w:pPr>
      <w:bookmarkStart w:id="854" w:name="_Toc14870"/>
      <w:bookmarkStart w:id="855" w:name="_Toc8957"/>
      <w:bookmarkStart w:id="856" w:name="_Toc16484"/>
      <w:bookmarkStart w:id="857" w:name="_Toc12030"/>
      <w:bookmarkStart w:id="858" w:name="_Toc21321"/>
      <w:bookmarkStart w:id="859" w:name="_Toc2799"/>
      <w:bookmarkStart w:id="860" w:name="_Toc15534"/>
      <w:bookmarkStart w:id="861" w:name="_Toc12020"/>
      <w:bookmarkStart w:id="862" w:name="_Toc183727690"/>
      <w:bookmarkStart w:id="863" w:name="_Toc27950"/>
      <w:bookmarkStart w:id="864" w:name="_Toc26238"/>
      <w:r>
        <w:rPr>
          <w:rFonts w:hint="default" w:ascii="Times New Roman" w:hAnsi="Times New Roman" w:cs="Times New Roman"/>
          <w:color w:val="auto"/>
          <w:highlight w:val="none"/>
        </w:rPr>
        <w:t>其他安全保护</w:t>
      </w:r>
      <w:bookmarkEnd w:id="854"/>
      <w:bookmarkEnd w:id="855"/>
      <w:bookmarkEnd w:id="856"/>
      <w:bookmarkEnd w:id="857"/>
      <w:bookmarkEnd w:id="858"/>
      <w:bookmarkEnd w:id="859"/>
      <w:bookmarkEnd w:id="860"/>
      <w:bookmarkEnd w:id="861"/>
    </w:p>
    <w:p w14:paraId="6BD8ADB3">
      <w:pPr>
        <w:pStyle w:val="39"/>
        <w:numPr>
          <w:ilvl w:val="0"/>
          <w:numId w:val="0"/>
        </w:numPr>
        <w:spacing w:after="0"/>
        <w:ind w:right="220" w:rightChars="0" w:firstLine="420" w:firstLineChars="200"/>
        <w:rPr>
          <w:rFonts w:hint="eastAsia" w:ascii="宋体" w:hAnsi="宋体" w:eastAsia="宋体" w:cs="宋体"/>
          <w:color w:val="auto"/>
          <w:highlight w:val="none"/>
        </w:rPr>
      </w:pPr>
      <w:r>
        <w:rPr>
          <w:rFonts w:hint="eastAsia" w:cs="Times New Roman"/>
          <w:color w:val="auto"/>
          <w:highlight w:val="none"/>
          <w:lang w:val="en-US" w:eastAsia="zh-CN"/>
        </w:rPr>
        <w:t>火炬及冷放空系统、</w:t>
      </w:r>
      <w:r>
        <w:rPr>
          <w:rFonts w:hint="eastAsia" w:ascii="宋体" w:hAnsi="宋体" w:eastAsia="宋体" w:cs="宋体"/>
          <w:color w:val="auto"/>
          <w:highlight w:val="none"/>
          <w:lang w:val="en-US" w:eastAsia="zh-CN"/>
        </w:rPr>
        <w:t>开式排放系统、闭式排放系统等安全保护的设置应满足GB</w:t>
      </w:r>
      <w:r>
        <w:rPr>
          <w:rFonts w:hint="eastAsia" w:ascii="宋体" w:hAnsi="宋体" w:cs="宋体"/>
          <w:color w:val="auto"/>
          <w:highlight w:val="none"/>
          <w:lang w:val="en-US" w:eastAsia="zh-CN"/>
        </w:rPr>
        <w:t xml:space="preserve"> 46766的</w:t>
      </w:r>
      <w:r>
        <w:rPr>
          <w:rFonts w:hint="eastAsia" w:ascii="宋体" w:hAnsi="宋体" w:eastAsia="宋体" w:cs="宋体"/>
          <w:color w:val="auto"/>
          <w:highlight w:val="none"/>
          <w:lang w:val="en-US" w:eastAsia="zh-CN"/>
        </w:rPr>
        <w:t>要求。</w:t>
      </w:r>
    </w:p>
    <w:bookmarkEnd w:id="862"/>
    <w:bookmarkEnd w:id="863"/>
    <w:bookmarkEnd w:id="864"/>
    <w:p w14:paraId="22ADC7F5">
      <w:pPr>
        <w:pStyle w:val="260"/>
        <w:numPr>
          <w:ilvl w:val="1"/>
          <w:numId w:val="50"/>
        </w:numPr>
        <w:outlineLvl w:val="1"/>
        <w:rPr>
          <w:rFonts w:hint="default" w:ascii="Times New Roman" w:hAnsi="Times New Roman" w:cs="Times New Roman"/>
          <w:color w:val="auto"/>
          <w:highlight w:val="none"/>
        </w:rPr>
      </w:pPr>
      <w:bookmarkStart w:id="865" w:name="_Toc10017"/>
      <w:bookmarkStart w:id="866" w:name="_Toc14188"/>
      <w:bookmarkStart w:id="867" w:name="_Toc30817"/>
      <w:bookmarkStart w:id="868" w:name="_Toc31471"/>
      <w:bookmarkStart w:id="869" w:name="_Toc30142"/>
      <w:bookmarkStart w:id="870" w:name="_Toc28645"/>
      <w:bookmarkStart w:id="871" w:name="_Toc7476"/>
      <w:bookmarkStart w:id="872" w:name="_Toc11211"/>
      <w:r>
        <w:rPr>
          <w:rFonts w:hint="default" w:ascii="Times New Roman" w:hAnsi="Times New Roman" w:cs="Times New Roman"/>
          <w:color w:val="auto"/>
          <w:highlight w:val="none"/>
        </w:rPr>
        <w:t>产品及生产物料储存</w:t>
      </w:r>
      <w:bookmarkEnd w:id="851"/>
      <w:bookmarkEnd w:id="852"/>
      <w:bookmarkEnd w:id="853"/>
      <w:bookmarkEnd w:id="865"/>
      <w:bookmarkEnd w:id="866"/>
      <w:r>
        <w:rPr>
          <w:rFonts w:hint="eastAsia" w:ascii="Times New Roman" w:cs="Times New Roman"/>
          <w:color w:val="auto"/>
          <w:highlight w:val="none"/>
          <w:lang w:val="en-US" w:eastAsia="zh-CN"/>
        </w:rPr>
        <w:t>和外输</w:t>
      </w:r>
      <w:bookmarkEnd w:id="867"/>
      <w:bookmarkEnd w:id="868"/>
      <w:bookmarkEnd w:id="869"/>
      <w:bookmarkEnd w:id="870"/>
      <w:bookmarkEnd w:id="871"/>
      <w:bookmarkEnd w:id="872"/>
    </w:p>
    <w:p w14:paraId="43F1622E">
      <w:pPr>
        <w:pStyle w:val="261"/>
        <w:spacing w:before="156" w:after="156"/>
        <w:outlineLvl w:val="2"/>
        <w:rPr>
          <w:rFonts w:hint="default" w:ascii="Times New Roman" w:hAnsi="Times New Roman" w:cs="Times New Roman"/>
          <w:color w:val="auto"/>
          <w:highlight w:val="none"/>
        </w:rPr>
      </w:pPr>
      <w:bookmarkStart w:id="873" w:name="_Toc13389"/>
      <w:bookmarkStart w:id="874" w:name="_Toc19060"/>
      <w:bookmarkStart w:id="875" w:name="_Toc23538"/>
      <w:bookmarkStart w:id="876" w:name="_Toc19523"/>
      <w:bookmarkStart w:id="877" w:name="_Toc27140"/>
      <w:bookmarkStart w:id="878" w:name="_Toc1336"/>
      <w:bookmarkStart w:id="879" w:name="_Toc8564"/>
      <w:bookmarkStart w:id="880" w:name="_Toc28847"/>
      <w:r>
        <w:rPr>
          <w:rFonts w:hint="default" w:ascii="Times New Roman" w:hAnsi="Times New Roman" w:cs="Times New Roman"/>
          <w:color w:val="auto"/>
          <w:highlight w:val="none"/>
        </w:rPr>
        <w:t>原油储存</w:t>
      </w:r>
      <w:bookmarkEnd w:id="873"/>
      <w:r>
        <w:rPr>
          <w:rFonts w:hint="eastAsia" w:ascii="Times New Roman" w:cs="Times New Roman"/>
          <w:color w:val="auto"/>
          <w:highlight w:val="none"/>
          <w:lang w:val="en-US" w:eastAsia="zh-CN"/>
        </w:rPr>
        <w:t>和外输</w:t>
      </w:r>
      <w:bookmarkEnd w:id="874"/>
      <w:bookmarkEnd w:id="875"/>
      <w:bookmarkEnd w:id="876"/>
      <w:bookmarkEnd w:id="877"/>
      <w:bookmarkEnd w:id="878"/>
      <w:bookmarkEnd w:id="879"/>
      <w:bookmarkEnd w:id="880"/>
    </w:p>
    <w:p w14:paraId="0B41A181">
      <w:pPr>
        <w:pStyle w:val="290"/>
        <w:numPr>
          <w:ilvl w:val="3"/>
          <w:numId w:val="51"/>
        </w:numPr>
        <w:spacing w:before="0" w:beforeLines="0" w:after="0" w:afterLines="0"/>
        <w:jc w:val="both"/>
        <w:outlineLvl w:val="9"/>
        <w:rPr>
          <w:rFonts w:hint="eastAsia" w:ascii="宋体" w:hAnsi="宋体" w:eastAsia="宋体" w:cs="宋体"/>
          <w:color w:val="auto"/>
          <w:highlight w:val="none"/>
          <w:lang w:bidi="ar"/>
        </w:rPr>
      </w:pPr>
      <w:r>
        <w:rPr>
          <w:rFonts w:hint="eastAsia" w:ascii="宋体" w:hAnsi="宋体" w:eastAsia="宋体" w:cs="宋体"/>
          <w:color w:val="auto"/>
          <w:highlight w:val="none"/>
          <w:lang w:bidi="ar"/>
        </w:rPr>
        <w:t>经过处理的原油应</w:t>
      </w:r>
      <w:r>
        <w:rPr>
          <w:rFonts w:hint="eastAsia" w:ascii="宋体" w:hAnsi="宋体" w:eastAsia="宋体" w:cs="宋体"/>
          <w:color w:val="auto"/>
          <w:highlight w:val="none"/>
          <w:lang w:val="en-US" w:eastAsia="zh-CN" w:bidi="ar"/>
        </w:rPr>
        <w:t>满足</w:t>
      </w:r>
      <w:r>
        <w:rPr>
          <w:rFonts w:hint="eastAsia" w:ascii="宋体" w:hAnsi="宋体" w:eastAsia="宋体" w:cs="宋体"/>
          <w:color w:val="auto"/>
          <w:highlight w:val="none"/>
          <w:lang w:bidi="ar"/>
        </w:rPr>
        <w:t>运输条件，其雷德蒸气压力应低于大气压力。</w:t>
      </w:r>
    </w:p>
    <w:p w14:paraId="3225FFA4">
      <w:pPr>
        <w:pStyle w:val="290"/>
        <w:numPr>
          <w:ilvl w:val="3"/>
          <w:numId w:val="51"/>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bidi="ar"/>
        </w:rPr>
        <w:t>货油舱、污油水舱</w:t>
      </w:r>
      <w:r>
        <w:rPr>
          <w:rFonts w:hint="eastAsia" w:ascii="宋体" w:hAnsi="宋体" w:eastAsia="宋体" w:cs="宋体"/>
          <w:color w:val="auto"/>
          <w:highlight w:val="none"/>
          <w:lang w:val="en-US" w:eastAsia="zh-CN" w:bidi="ar"/>
        </w:rPr>
        <w:t>及</w:t>
      </w:r>
      <w:r>
        <w:rPr>
          <w:rFonts w:hint="eastAsia" w:ascii="宋体" w:hAnsi="宋体" w:eastAsia="宋体" w:cs="宋体"/>
          <w:color w:val="auto"/>
          <w:highlight w:val="none"/>
          <w:lang w:eastAsia="zh-CN" w:bidi="ar"/>
        </w:rPr>
        <w:t>生产水舱应设</w:t>
      </w:r>
      <w:r>
        <w:rPr>
          <w:rFonts w:hint="eastAsia" w:ascii="宋体" w:hAnsi="宋体" w:eastAsia="宋体" w:cs="宋体"/>
          <w:color w:val="auto"/>
          <w:highlight w:val="none"/>
          <w:lang w:val="en-US" w:eastAsia="zh-CN" w:bidi="ar"/>
        </w:rPr>
        <w:t>置透气系统，并</w:t>
      </w:r>
      <w:r>
        <w:rPr>
          <w:rFonts w:hint="eastAsia" w:ascii="宋体" w:hAnsi="宋体" w:eastAsia="宋体" w:cs="宋体"/>
          <w:color w:val="auto"/>
          <w:highlight w:val="none"/>
          <w:lang w:val="en-US" w:eastAsia="zh-CN"/>
        </w:rPr>
        <w:t>满足以下要求</w:t>
      </w:r>
      <w:r>
        <w:rPr>
          <w:rFonts w:hint="eastAsia" w:ascii="宋体" w:hAnsi="宋体" w:eastAsia="宋体" w:cs="宋体"/>
          <w:color w:val="auto"/>
          <w:highlight w:val="none"/>
        </w:rPr>
        <w:t>：</w:t>
      </w:r>
    </w:p>
    <w:p w14:paraId="0E88F095">
      <w:pPr>
        <w:pStyle w:val="305"/>
        <w:numPr>
          <w:ilvl w:val="0"/>
          <w:numId w:val="5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每一个货油舱、污油水舱及生产水舱应设置透气装置，透气装置应接至货油舱、污油水舱及生产水舱的顶部，并在FPSO处于纵倾和横倾的情况下，应能自行把液体排泄到货油舱、污油水舱及生产水舱；</w:t>
      </w:r>
    </w:p>
    <w:p w14:paraId="6E2E0C5E">
      <w:pPr>
        <w:pStyle w:val="305"/>
        <w:numPr>
          <w:ilvl w:val="0"/>
          <w:numId w:val="52"/>
        </w:numPr>
        <w:ind w:left="839" w:leftChars="0" w:hanging="419" w:firstLineChars="0"/>
        <w:rPr>
          <w:rFonts w:hint="default" w:ascii="宋体" w:hAnsi="宋体" w:cs="宋体"/>
          <w:color w:val="auto"/>
          <w:highlight w:val="none"/>
          <w:lang w:val="en-US" w:eastAsia="zh-CN"/>
        </w:rPr>
      </w:pPr>
      <w:r>
        <w:rPr>
          <w:rFonts w:hint="eastAsia" w:ascii="宋体" w:hAnsi="宋体" w:cs="宋体"/>
          <w:color w:val="auto"/>
          <w:highlight w:val="none"/>
          <w:lang w:val="en-US" w:eastAsia="zh-CN"/>
        </w:rPr>
        <w:t>每个货油舱透气管的截面积，应满足不低于最大设计装油速率1.25倍的要求；</w:t>
      </w:r>
    </w:p>
    <w:p w14:paraId="7696296A">
      <w:pPr>
        <w:pStyle w:val="305"/>
        <w:numPr>
          <w:ilvl w:val="0"/>
          <w:numId w:val="5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大量气体排出时，透气管口的排气速度不应低于30 m/s；</w:t>
      </w:r>
    </w:p>
    <w:p w14:paraId="356870AE">
      <w:pPr>
        <w:pStyle w:val="305"/>
        <w:numPr>
          <w:ilvl w:val="0"/>
          <w:numId w:val="5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透气口应设置注入式二氧化碳灭火装置或其他有效灭火装置。</w:t>
      </w:r>
    </w:p>
    <w:p w14:paraId="6104936D">
      <w:pPr>
        <w:pStyle w:val="290"/>
        <w:numPr>
          <w:ilvl w:val="3"/>
          <w:numId w:val="51"/>
        </w:numPr>
        <w:spacing w:before="0" w:beforeLines="0" w:after="0" w:afterLines="0"/>
        <w:jc w:val="left"/>
        <w:outlineLvl w:val="9"/>
        <w:rPr>
          <w:rFonts w:hint="eastAsia" w:ascii="宋体" w:hAnsi="宋体" w:eastAsia="宋体" w:cs="宋体"/>
          <w:color w:val="auto"/>
          <w:highlight w:val="none"/>
        </w:rPr>
      </w:pPr>
      <w:r>
        <w:rPr>
          <w:rFonts w:hint="eastAsia" w:ascii="宋体" w:hAnsi="宋体" w:eastAsia="宋体" w:cs="宋体"/>
          <w:color w:val="auto"/>
          <w:highlight w:val="none"/>
          <w:lang w:bidi="ar"/>
        </w:rPr>
        <w:t>除温度变化过程中的少量透气所引起舱内的超压和真空外，其他透气所引起的超压和真空应设有两级保护。</w:t>
      </w:r>
    </w:p>
    <w:p w14:paraId="20020B6F">
      <w:pPr>
        <w:pStyle w:val="290"/>
        <w:numPr>
          <w:ilvl w:val="3"/>
          <w:numId w:val="51"/>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bidi="ar"/>
        </w:rPr>
        <w:t>加热原油的管路应从</w:t>
      </w:r>
      <w:r>
        <w:rPr>
          <w:rFonts w:hint="eastAsia" w:ascii="宋体" w:hAnsi="宋体" w:eastAsia="宋体" w:cs="宋体"/>
          <w:color w:val="auto"/>
          <w:highlight w:val="none"/>
          <w:lang w:eastAsia="zh-CN" w:bidi="ar"/>
        </w:rPr>
        <w:t>货油舱</w:t>
      </w:r>
      <w:r>
        <w:rPr>
          <w:rFonts w:hint="eastAsia" w:ascii="宋体" w:hAnsi="宋体" w:eastAsia="宋体" w:cs="宋体"/>
          <w:color w:val="auto"/>
          <w:highlight w:val="none"/>
          <w:lang w:bidi="ar"/>
        </w:rPr>
        <w:t>顶部进入和引出，在进、出口处应设</w:t>
      </w:r>
      <w:r>
        <w:rPr>
          <w:rFonts w:hint="eastAsia" w:ascii="宋体" w:hAnsi="宋体" w:eastAsia="宋体" w:cs="宋体"/>
          <w:color w:val="auto"/>
          <w:highlight w:val="none"/>
          <w:lang w:val="en-US" w:eastAsia="zh-CN" w:bidi="ar"/>
        </w:rPr>
        <w:t>置</w:t>
      </w:r>
      <w:r>
        <w:rPr>
          <w:rFonts w:hint="eastAsia" w:ascii="宋体" w:hAnsi="宋体" w:eastAsia="宋体" w:cs="宋体"/>
          <w:color w:val="auto"/>
          <w:highlight w:val="none"/>
          <w:lang w:bidi="ar"/>
        </w:rPr>
        <w:t>截止阀。</w:t>
      </w:r>
    </w:p>
    <w:p w14:paraId="4A40C650">
      <w:pPr>
        <w:pStyle w:val="261"/>
        <w:spacing w:before="156" w:after="156"/>
        <w:outlineLvl w:val="2"/>
        <w:rPr>
          <w:rFonts w:hint="default" w:ascii="Times New Roman" w:hAnsi="Times New Roman" w:cs="Times New Roman"/>
          <w:color w:val="auto"/>
          <w:highlight w:val="none"/>
        </w:rPr>
      </w:pPr>
      <w:bookmarkStart w:id="881" w:name="_Toc1536"/>
      <w:bookmarkStart w:id="882" w:name="_Toc23056"/>
      <w:bookmarkStart w:id="883" w:name="_Toc19816"/>
      <w:bookmarkStart w:id="884" w:name="_Toc15351"/>
      <w:bookmarkStart w:id="885" w:name="_Toc25862"/>
      <w:bookmarkStart w:id="886" w:name="_Toc8223"/>
      <w:bookmarkStart w:id="887" w:name="_Toc25000"/>
      <w:bookmarkStart w:id="888" w:name="_Toc20720"/>
      <w:r>
        <w:rPr>
          <w:rFonts w:hint="default" w:ascii="Times New Roman" w:hAnsi="Times New Roman" w:cs="Times New Roman"/>
          <w:color w:val="auto"/>
          <w:highlight w:val="none"/>
        </w:rPr>
        <w:t>LPG储存</w:t>
      </w:r>
      <w:bookmarkEnd w:id="881"/>
      <w:r>
        <w:rPr>
          <w:rFonts w:hint="eastAsia" w:ascii="Times New Roman" w:cs="Times New Roman"/>
          <w:color w:val="auto"/>
          <w:highlight w:val="none"/>
          <w:lang w:val="en-US" w:eastAsia="zh-CN"/>
        </w:rPr>
        <w:t>和外输</w:t>
      </w:r>
      <w:bookmarkEnd w:id="882"/>
      <w:bookmarkEnd w:id="883"/>
      <w:bookmarkEnd w:id="884"/>
      <w:bookmarkEnd w:id="885"/>
      <w:bookmarkEnd w:id="886"/>
      <w:bookmarkEnd w:id="887"/>
      <w:bookmarkEnd w:id="888"/>
    </w:p>
    <w:p w14:paraId="5EE4C469">
      <w:pPr>
        <w:pStyle w:val="290"/>
        <w:numPr>
          <w:ilvl w:val="3"/>
          <w:numId w:val="53"/>
        </w:numPr>
        <w:spacing w:before="0" w:beforeLines="0" w:after="0" w:afterLines="0"/>
        <w:jc w:val="both"/>
        <w:outlineLvl w:val="9"/>
        <w:rPr>
          <w:rFonts w:hint="eastAsia" w:ascii="宋体" w:hAnsi="宋体" w:eastAsia="宋体" w:cs="宋体"/>
          <w:color w:val="auto"/>
          <w:highlight w:val="none"/>
        </w:rPr>
      </w:pPr>
      <w:bookmarkStart w:id="889" w:name="_Toc1583"/>
      <w:bookmarkStart w:id="890" w:name="_Toc2165"/>
      <w:bookmarkStart w:id="891" w:name="_Toc23735"/>
      <w:bookmarkStart w:id="892" w:name="_Toc183727694"/>
      <w:bookmarkStart w:id="893" w:name="_Toc31181"/>
      <w:r>
        <w:rPr>
          <w:rFonts w:hint="eastAsia" w:ascii="宋体" w:hAnsi="宋体" w:eastAsia="宋体" w:cs="宋体"/>
          <w:color w:val="auto"/>
          <w:highlight w:val="none"/>
        </w:rPr>
        <w:t>海上LPG回收及储运装置应</w:t>
      </w:r>
      <w:r>
        <w:rPr>
          <w:rFonts w:hint="eastAsia" w:ascii="宋体" w:hAnsi="宋体" w:eastAsia="宋体" w:cs="宋体"/>
          <w:color w:val="auto"/>
          <w:highlight w:val="none"/>
          <w:lang w:val="en-US" w:eastAsia="zh-CN"/>
        </w:rPr>
        <w:t>根据</w:t>
      </w:r>
      <w:r>
        <w:rPr>
          <w:rFonts w:hint="eastAsia" w:ascii="宋体" w:hAnsi="宋体" w:eastAsia="宋体" w:cs="宋体"/>
          <w:color w:val="auto"/>
          <w:highlight w:val="none"/>
        </w:rPr>
        <w:t>定量风险评价及火灾爆炸影响分析结果采取相应措施进行保护。</w:t>
      </w:r>
      <w:bookmarkEnd w:id="889"/>
      <w:bookmarkEnd w:id="890"/>
      <w:bookmarkStart w:id="894" w:name="_Toc1047"/>
      <w:bookmarkStart w:id="895" w:name="_Toc31711"/>
    </w:p>
    <w:p w14:paraId="5B94D4CD">
      <w:pPr>
        <w:pStyle w:val="290"/>
        <w:numPr>
          <w:ilvl w:val="3"/>
          <w:numId w:val="5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LPG储存应设置事故罐，事故罐容积</w:t>
      </w:r>
      <w:r>
        <w:rPr>
          <w:rFonts w:hint="eastAsia" w:ascii="宋体" w:hAnsi="宋体" w:eastAsia="宋体" w:cs="宋体"/>
          <w:color w:val="auto"/>
          <w:highlight w:val="none"/>
          <w:lang w:val="en-US" w:eastAsia="zh-CN"/>
        </w:rPr>
        <w:t>不应小于</w:t>
      </w:r>
      <w:r>
        <w:rPr>
          <w:rFonts w:hint="eastAsia" w:ascii="宋体" w:hAnsi="宋体" w:eastAsia="宋体" w:cs="宋体"/>
          <w:color w:val="auto"/>
          <w:highlight w:val="none"/>
        </w:rPr>
        <w:t>储罐容积。</w:t>
      </w:r>
      <w:bookmarkEnd w:id="894"/>
      <w:bookmarkEnd w:id="895"/>
      <w:bookmarkStart w:id="896" w:name="_Toc14796"/>
      <w:bookmarkStart w:id="897" w:name="_Toc13365"/>
    </w:p>
    <w:bookmarkEnd w:id="896"/>
    <w:bookmarkEnd w:id="897"/>
    <w:p w14:paraId="0801E3AB">
      <w:pPr>
        <w:pStyle w:val="290"/>
        <w:numPr>
          <w:ilvl w:val="3"/>
          <w:numId w:val="53"/>
        </w:numPr>
        <w:spacing w:before="0" w:beforeLines="0" w:after="0" w:afterLines="0"/>
        <w:jc w:val="both"/>
        <w:outlineLvl w:val="9"/>
        <w:rPr>
          <w:rFonts w:hint="eastAsia" w:ascii="宋体" w:hAnsi="宋体" w:eastAsia="宋体" w:cs="宋体"/>
          <w:color w:val="auto"/>
          <w:highlight w:val="none"/>
        </w:rPr>
      </w:pPr>
      <w:bookmarkStart w:id="898" w:name="_Toc7078"/>
      <w:bookmarkStart w:id="899" w:name="_Toc2261"/>
      <w:r>
        <w:rPr>
          <w:rFonts w:hint="eastAsia" w:ascii="宋体" w:hAnsi="宋体" w:eastAsia="宋体" w:cs="宋体"/>
          <w:color w:val="auto"/>
          <w:highlight w:val="none"/>
        </w:rPr>
        <w:t>储罐应设置温度高低报警</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液位和压力高低报警及高高、低低</w:t>
      </w:r>
      <w:r>
        <w:rPr>
          <w:rFonts w:hint="eastAsia" w:ascii="宋体" w:hAnsi="宋体" w:eastAsia="宋体" w:cs="宋体"/>
          <w:color w:val="auto"/>
          <w:highlight w:val="none"/>
          <w:lang w:eastAsia="zh-CN"/>
        </w:rPr>
        <w:t>联锁</w:t>
      </w:r>
      <w:r>
        <w:rPr>
          <w:rFonts w:hint="eastAsia" w:ascii="宋体" w:hAnsi="宋体" w:eastAsia="宋体" w:cs="宋体"/>
          <w:color w:val="auto"/>
          <w:highlight w:val="none"/>
        </w:rPr>
        <w:t>关断。</w:t>
      </w:r>
      <w:bookmarkEnd w:id="898"/>
      <w:bookmarkEnd w:id="899"/>
    </w:p>
    <w:p w14:paraId="32D7E332">
      <w:pPr>
        <w:pStyle w:val="290"/>
        <w:numPr>
          <w:ilvl w:val="3"/>
          <w:numId w:val="53"/>
        </w:numPr>
        <w:spacing w:before="0" w:beforeLines="0" w:after="0" w:afterLines="0"/>
        <w:jc w:val="both"/>
        <w:outlineLvl w:val="9"/>
        <w:rPr>
          <w:rFonts w:hint="eastAsia" w:ascii="宋体" w:hAnsi="宋体" w:eastAsia="宋体" w:cs="宋体"/>
          <w:color w:val="auto"/>
          <w:highlight w:val="none"/>
        </w:rPr>
      </w:pPr>
      <w:bookmarkStart w:id="900" w:name="_Toc7017"/>
      <w:bookmarkStart w:id="901" w:name="_Toc4076"/>
      <w:r>
        <w:rPr>
          <w:rFonts w:hint="eastAsia" w:ascii="宋体" w:hAnsi="宋体" w:eastAsia="宋体" w:cs="宋体"/>
          <w:color w:val="auto"/>
          <w:highlight w:val="none"/>
        </w:rPr>
        <w:t>储罐应设置安全泄放阀。</w:t>
      </w:r>
      <w:bookmarkEnd w:id="900"/>
      <w:bookmarkEnd w:id="901"/>
    </w:p>
    <w:p w14:paraId="2365E632">
      <w:pPr>
        <w:pStyle w:val="290"/>
        <w:numPr>
          <w:ilvl w:val="3"/>
          <w:numId w:val="53"/>
        </w:numPr>
        <w:spacing w:before="0" w:beforeLines="0" w:after="0" w:afterLines="0"/>
        <w:jc w:val="both"/>
        <w:outlineLvl w:val="9"/>
        <w:rPr>
          <w:rFonts w:hint="eastAsia" w:ascii="宋体" w:hAnsi="宋体" w:eastAsia="宋体" w:cs="宋体"/>
          <w:color w:val="auto"/>
          <w:highlight w:val="none"/>
        </w:rPr>
      </w:pPr>
      <w:bookmarkStart w:id="902" w:name="_Toc909"/>
      <w:bookmarkStart w:id="903" w:name="_Toc4093"/>
      <w:r>
        <w:rPr>
          <w:rFonts w:hint="eastAsia" w:ascii="宋体" w:hAnsi="宋体" w:eastAsia="宋体" w:cs="宋体"/>
          <w:color w:val="auto"/>
          <w:highlight w:val="none"/>
        </w:rPr>
        <w:t>储罐底部应设置水封流程，当储罐底部发生泄漏时，增压后的水</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通过底部</w:t>
      </w:r>
      <w:r>
        <w:rPr>
          <w:rFonts w:hint="eastAsia" w:ascii="宋体" w:hAnsi="宋体" w:eastAsia="宋体" w:cs="宋体"/>
          <w:color w:val="auto"/>
          <w:highlight w:val="none"/>
          <w:lang w:eastAsia="zh-CN"/>
        </w:rPr>
        <w:t>管道</w:t>
      </w:r>
      <w:r>
        <w:rPr>
          <w:rFonts w:hint="eastAsia" w:ascii="宋体" w:hAnsi="宋体" w:eastAsia="宋体" w:cs="宋体"/>
          <w:color w:val="auto"/>
          <w:highlight w:val="none"/>
        </w:rPr>
        <w:t>向储罐内注</w:t>
      </w:r>
      <w:r>
        <w:rPr>
          <w:rFonts w:hint="eastAsia" w:ascii="宋体" w:hAnsi="宋体" w:eastAsia="宋体" w:cs="宋体"/>
          <w:color w:val="auto"/>
          <w:highlight w:val="none"/>
          <w:lang w:val="en-US" w:eastAsia="zh-CN"/>
        </w:rPr>
        <w:t>入</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注水应满足以下要求：</w:t>
      </w:r>
    </w:p>
    <w:p w14:paraId="380F1DEE">
      <w:pPr>
        <w:pStyle w:val="305"/>
        <w:numPr>
          <w:ilvl w:val="0"/>
          <w:numId w:val="5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注水温度小于LPG储存温度；</w:t>
      </w:r>
    </w:p>
    <w:p w14:paraId="68AE6528">
      <w:pPr>
        <w:pStyle w:val="305"/>
        <w:numPr>
          <w:ilvl w:val="0"/>
          <w:numId w:val="5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注水管道流速不大于2.5 m/s。</w:t>
      </w:r>
      <w:bookmarkEnd w:id="902"/>
      <w:bookmarkEnd w:id="903"/>
    </w:p>
    <w:p w14:paraId="2C0E5E1F">
      <w:pPr>
        <w:pStyle w:val="290"/>
        <w:numPr>
          <w:ilvl w:val="3"/>
          <w:numId w:val="53"/>
        </w:numPr>
        <w:spacing w:before="0" w:beforeLines="0" w:after="0" w:afterLines="0"/>
        <w:jc w:val="both"/>
        <w:outlineLvl w:val="9"/>
        <w:rPr>
          <w:rFonts w:hint="eastAsia" w:ascii="宋体" w:hAnsi="宋体" w:eastAsia="宋体" w:cs="宋体"/>
          <w:color w:val="auto"/>
          <w:highlight w:val="none"/>
        </w:rPr>
      </w:pPr>
      <w:bookmarkStart w:id="904" w:name="_Toc14284"/>
      <w:bookmarkStart w:id="905" w:name="_Toc14845"/>
      <w:r>
        <w:rPr>
          <w:rFonts w:hint="eastAsia" w:ascii="宋体" w:hAnsi="宋体" w:eastAsia="宋体" w:cs="宋体"/>
          <w:color w:val="auto"/>
          <w:highlight w:val="none"/>
        </w:rPr>
        <w:t>储罐顶部应设置氮气密封流程</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注氮压力应大于储罐操作压力。</w:t>
      </w:r>
      <w:bookmarkEnd w:id="904"/>
      <w:bookmarkEnd w:id="905"/>
    </w:p>
    <w:p w14:paraId="47F3AF9A">
      <w:pPr>
        <w:pStyle w:val="290"/>
        <w:numPr>
          <w:ilvl w:val="3"/>
          <w:numId w:val="53"/>
        </w:numPr>
        <w:spacing w:before="0" w:beforeLines="0" w:after="0" w:afterLines="0"/>
        <w:jc w:val="both"/>
        <w:outlineLvl w:val="9"/>
        <w:rPr>
          <w:rFonts w:hint="eastAsia" w:ascii="宋体" w:hAnsi="宋体" w:eastAsia="宋体" w:cs="宋体"/>
          <w:color w:val="auto"/>
          <w:highlight w:val="none"/>
        </w:rPr>
      </w:pPr>
      <w:bookmarkStart w:id="906" w:name="_Toc16086"/>
      <w:bookmarkStart w:id="907" w:name="_Toc11322"/>
      <w:r>
        <w:rPr>
          <w:rFonts w:hint="eastAsia" w:ascii="宋体" w:hAnsi="宋体" w:eastAsia="宋体" w:cs="宋体"/>
          <w:color w:val="auto"/>
          <w:highlight w:val="none"/>
        </w:rPr>
        <w:t>与储罐底部相连接且设计压力大于1.6</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MPa的</w:t>
      </w:r>
      <w:r>
        <w:rPr>
          <w:rFonts w:hint="eastAsia" w:hAnsi="宋体" w:cs="宋体"/>
          <w:color w:val="auto"/>
          <w:sz w:val="10"/>
          <w:szCs w:val="10"/>
          <w:highlight w:val="none"/>
          <w:lang w:val="en-US" w:eastAsia="zh-CN"/>
        </w:rPr>
        <w:t xml:space="preserve"> </w:t>
      </w:r>
      <w:r>
        <w:rPr>
          <w:rFonts w:hint="eastAsia" w:ascii="宋体" w:hAnsi="宋体" w:eastAsia="宋体" w:cs="宋体"/>
          <w:color w:val="auto"/>
          <w:highlight w:val="none"/>
        </w:rPr>
        <w:t>LPG输送</w:t>
      </w:r>
      <w:r>
        <w:rPr>
          <w:rFonts w:hint="eastAsia" w:ascii="宋体" w:hAnsi="宋体" w:eastAsia="宋体" w:cs="宋体"/>
          <w:color w:val="auto"/>
          <w:highlight w:val="none"/>
          <w:lang w:eastAsia="zh-CN"/>
        </w:rPr>
        <w:t>管道</w:t>
      </w:r>
      <w:r>
        <w:rPr>
          <w:rFonts w:hint="eastAsia" w:ascii="宋体" w:hAnsi="宋体" w:eastAsia="宋体" w:cs="宋体"/>
          <w:color w:val="auto"/>
          <w:highlight w:val="none"/>
        </w:rPr>
        <w:t>，上游与储罐、下游与第一道阀门的连接应采用焊接方式。</w:t>
      </w:r>
      <w:bookmarkEnd w:id="906"/>
      <w:bookmarkEnd w:id="907"/>
    </w:p>
    <w:p w14:paraId="3F1022B7">
      <w:pPr>
        <w:pStyle w:val="290"/>
        <w:numPr>
          <w:ilvl w:val="3"/>
          <w:numId w:val="53"/>
        </w:numPr>
        <w:spacing w:before="0" w:beforeLines="0" w:after="0" w:afterLines="0"/>
        <w:jc w:val="both"/>
        <w:outlineLvl w:val="9"/>
        <w:rPr>
          <w:rFonts w:hint="eastAsia" w:ascii="宋体" w:hAnsi="宋体" w:eastAsia="宋体" w:cs="宋体"/>
          <w:color w:val="auto"/>
          <w:highlight w:val="none"/>
        </w:rPr>
      </w:pPr>
      <w:bookmarkStart w:id="908" w:name="_Toc25450"/>
      <w:bookmarkStart w:id="909" w:name="_Toc21980"/>
      <w:r>
        <w:rPr>
          <w:rFonts w:hint="eastAsia" w:ascii="宋体" w:hAnsi="宋体" w:eastAsia="宋体" w:cs="宋体"/>
          <w:color w:val="auto"/>
          <w:highlight w:val="none"/>
        </w:rPr>
        <w:t>LPG储罐进出口应设置</w:t>
      </w:r>
      <w:r>
        <w:rPr>
          <w:rFonts w:hint="eastAsia" w:ascii="宋体" w:hAnsi="宋体" w:eastAsia="宋体" w:cs="宋体"/>
          <w:color w:val="auto"/>
          <w:highlight w:val="none"/>
          <w:lang w:val="en-US" w:eastAsia="zh-CN"/>
        </w:rPr>
        <w:t>应急</w:t>
      </w:r>
      <w:r>
        <w:rPr>
          <w:rFonts w:hint="eastAsia" w:ascii="宋体" w:hAnsi="宋体" w:eastAsia="宋体" w:cs="宋体"/>
          <w:color w:val="auto"/>
          <w:highlight w:val="none"/>
        </w:rPr>
        <w:t>切断阀，其位置应设置在储罐区以外。</w:t>
      </w:r>
      <w:bookmarkEnd w:id="908"/>
      <w:bookmarkEnd w:id="909"/>
    </w:p>
    <w:p w14:paraId="1E1816A2">
      <w:pPr>
        <w:pStyle w:val="290"/>
        <w:numPr>
          <w:ilvl w:val="3"/>
          <w:numId w:val="53"/>
        </w:numPr>
        <w:spacing w:before="0" w:beforeLines="0" w:after="0" w:afterLines="0"/>
        <w:jc w:val="both"/>
        <w:outlineLvl w:val="9"/>
        <w:rPr>
          <w:rFonts w:hint="eastAsia" w:ascii="宋体" w:hAnsi="宋体" w:eastAsia="宋体" w:cs="宋体"/>
          <w:color w:val="auto"/>
          <w:highlight w:val="none"/>
        </w:rPr>
      </w:pPr>
      <w:bookmarkStart w:id="910" w:name="_Toc21729"/>
      <w:bookmarkStart w:id="911" w:name="_Toc26947"/>
      <w:r>
        <w:rPr>
          <w:rFonts w:hint="eastAsia" w:ascii="宋体" w:hAnsi="宋体" w:eastAsia="宋体" w:cs="宋体"/>
          <w:color w:val="auto"/>
          <w:highlight w:val="none"/>
        </w:rPr>
        <w:t>进料</w:t>
      </w:r>
      <w:r>
        <w:rPr>
          <w:rFonts w:hint="eastAsia" w:ascii="宋体" w:hAnsi="宋体" w:eastAsia="宋体" w:cs="宋体"/>
          <w:color w:val="auto"/>
          <w:highlight w:val="none"/>
          <w:lang w:eastAsia="zh-CN"/>
        </w:rPr>
        <w:t>管道</w:t>
      </w:r>
      <w:r>
        <w:rPr>
          <w:rFonts w:hint="eastAsia" w:ascii="宋体" w:hAnsi="宋体" w:eastAsia="宋体" w:cs="宋体"/>
          <w:color w:val="auto"/>
          <w:highlight w:val="none"/>
        </w:rPr>
        <w:t>应从罐体下部接入；若必须从上部接入，应插入罐体底部距罐底200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mm处。</w:t>
      </w:r>
      <w:bookmarkEnd w:id="910"/>
      <w:bookmarkEnd w:id="911"/>
    </w:p>
    <w:p w14:paraId="7815A341">
      <w:pPr>
        <w:pStyle w:val="290"/>
        <w:numPr>
          <w:ilvl w:val="3"/>
          <w:numId w:val="5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LPG外输应满足以下要求：</w:t>
      </w:r>
    </w:p>
    <w:p w14:paraId="1A8F1F98">
      <w:pPr>
        <w:pStyle w:val="305"/>
        <w:numPr>
          <w:ilvl w:val="0"/>
          <w:numId w:val="5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LPG外输管道流速不超过3 m/s；</w:t>
      </w:r>
    </w:p>
    <w:p w14:paraId="1094A32B">
      <w:pPr>
        <w:pStyle w:val="305"/>
        <w:numPr>
          <w:ilvl w:val="0"/>
          <w:numId w:val="5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LPG外输前利用储罐与运输船压力差，对外输管道充压，充压时管道流速不超过1.5 m/s；</w:t>
      </w:r>
    </w:p>
    <w:p w14:paraId="2ED9B129">
      <w:pPr>
        <w:pStyle w:val="305"/>
        <w:numPr>
          <w:ilvl w:val="0"/>
          <w:numId w:val="5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LPG储罐下游设置蒸发器，在LPG外输过程中维持储罐压力略高于正常操作压力。</w:t>
      </w:r>
    </w:p>
    <w:bookmarkEnd w:id="891"/>
    <w:bookmarkEnd w:id="892"/>
    <w:bookmarkEnd w:id="893"/>
    <w:p w14:paraId="7D1252EF">
      <w:pPr>
        <w:pStyle w:val="260"/>
        <w:numPr>
          <w:ilvl w:val="1"/>
          <w:numId w:val="50"/>
        </w:numPr>
        <w:jc w:val="both"/>
        <w:outlineLvl w:val="1"/>
        <w:rPr>
          <w:rFonts w:hint="default" w:ascii="Times New Roman" w:hAnsi="Times New Roman" w:cs="Times New Roman"/>
          <w:color w:val="auto"/>
          <w:highlight w:val="none"/>
        </w:rPr>
      </w:pPr>
      <w:bookmarkStart w:id="912" w:name="_Toc4502"/>
      <w:bookmarkStart w:id="913" w:name="_Toc1576"/>
      <w:bookmarkStart w:id="914" w:name="_Toc14914"/>
      <w:bookmarkStart w:id="915" w:name="_Toc4556"/>
      <w:bookmarkStart w:id="916" w:name="_Toc2012"/>
      <w:bookmarkStart w:id="917" w:name="_Toc27689"/>
      <w:bookmarkStart w:id="918" w:name="_Toc20637"/>
      <w:bookmarkStart w:id="919" w:name="_Toc30215"/>
      <w:bookmarkStart w:id="920" w:name="_Toc183727695"/>
      <w:bookmarkStart w:id="921" w:name="_Toc6144"/>
      <w:bookmarkStart w:id="922" w:name="_Toc17427"/>
      <w:r>
        <w:rPr>
          <w:rFonts w:hint="default" w:ascii="Times New Roman" w:hAnsi="Times New Roman" w:cs="Times New Roman"/>
          <w:color w:val="auto"/>
          <w:highlight w:val="none"/>
        </w:rPr>
        <w:t>保温及伴热</w:t>
      </w:r>
      <w:bookmarkEnd w:id="912"/>
      <w:bookmarkEnd w:id="913"/>
      <w:bookmarkEnd w:id="914"/>
      <w:bookmarkEnd w:id="915"/>
      <w:bookmarkEnd w:id="916"/>
      <w:bookmarkEnd w:id="917"/>
      <w:bookmarkEnd w:id="918"/>
      <w:bookmarkEnd w:id="919"/>
      <w:bookmarkEnd w:id="920"/>
      <w:bookmarkEnd w:id="921"/>
      <w:bookmarkEnd w:id="922"/>
    </w:p>
    <w:p w14:paraId="1E912056">
      <w:pPr>
        <w:pStyle w:val="39"/>
        <w:numPr>
          <w:ilvl w:val="0"/>
          <w:numId w:val="0"/>
        </w:numPr>
        <w:spacing w:after="0"/>
        <w:ind w:right="220" w:rightChars="0" w:firstLine="420" w:firstLineChars="200"/>
        <w:rPr>
          <w:rFonts w:hint="eastAsia" w:ascii="宋体" w:hAnsi="宋体" w:eastAsia="宋体" w:cs="宋体"/>
          <w:color w:val="auto"/>
          <w:highlight w:val="none"/>
        </w:rPr>
      </w:pPr>
      <w:bookmarkStart w:id="923" w:name="_Toc29533"/>
      <w:bookmarkStart w:id="924" w:name="_Toc15491"/>
      <w:bookmarkStart w:id="925" w:name="_Toc183727696"/>
      <w:bookmarkStart w:id="926" w:name="_Toc23640"/>
      <w:bookmarkStart w:id="927" w:name="_Toc24994"/>
      <w:r>
        <w:rPr>
          <w:rFonts w:hint="eastAsia" w:ascii="宋体" w:hAnsi="宋体" w:eastAsia="宋体" w:cs="宋体"/>
          <w:color w:val="auto"/>
          <w:highlight w:val="none"/>
          <w:lang w:val="en-US" w:eastAsia="zh-CN"/>
        </w:rPr>
        <w:t>保温及伴热等安全保护的设置应满足GB</w:t>
      </w:r>
      <w:r>
        <w:rPr>
          <w:rFonts w:hint="eastAsia" w:ascii="宋体" w:hAnsi="宋体" w:cs="宋体"/>
          <w:color w:val="auto"/>
          <w:highlight w:val="none"/>
          <w:lang w:val="en-US" w:eastAsia="zh-CN"/>
        </w:rPr>
        <w:t xml:space="preserve"> 46766的</w:t>
      </w:r>
      <w:r>
        <w:rPr>
          <w:rFonts w:hint="eastAsia" w:ascii="宋体" w:hAnsi="宋体" w:eastAsia="宋体" w:cs="宋体"/>
          <w:color w:val="auto"/>
          <w:highlight w:val="none"/>
          <w:lang w:val="en-US" w:eastAsia="zh-CN"/>
        </w:rPr>
        <w:t>要求。</w:t>
      </w:r>
    </w:p>
    <w:p w14:paraId="24DE9A71">
      <w:pPr>
        <w:pStyle w:val="260"/>
        <w:numPr>
          <w:ilvl w:val="1"/>
          <w:numId w:val="50"/>
        </w:numPr>
        <w:outlineLvl w:val="1"/>
        <w:rPr>
          <w:rFonts w:hint="default" w:ascii="Times New Roman" w:hAnsi="Times New Roman" w:cs="Times New Roman"/>
          <w:color w:val="auto"/>
          <w:highlight w:val="none"/>
        </w:rPr>
      </w:pPr>
      <w:bookmarkStart w:id="928" w:name="_Toc15465"/>
      <w:bookmarkStart w:id="929" w:name="_Toc5226"/>
      <w:bookmarkStart w:id="930" w:name="_Toc17350"/>
      <w:bookmarkStart w:id="931" w:name="_Toc14273"/>
      <w:bookmarkStart w:id="932" w:name="_Toc14931"/>
      <w:bookmarkStart w:id="933" w:name="_Toc19753"/>
      <w:r>
        <w:rPr>
          <w:rFonts w:hint="default" w:ascii="Times New Roman" w:hAnsi="Times New Roman" w:cs="Times New Roman"/>
          <w:color w:val="auto"/>
          <w:highlight w:val="none"/>
        </w:rPr>
        <w:t>工艺安全分析</w:t>
      </w:r>
      <w:bookmarkEnd w:id="923"/>
      <w:bookmarkEnd w:id="924"/>
      <w:bookmarkEnd w:id="925"/>
      <w:bookmarkEnd w:id="926"/>
      <w:bookmarkEnd w:id="927"/>
      <w:bookmarkEnd w:id="928"/>
      <w:bookmarkEnd w:id="929"/>
      <w:bookmarkEnd w:id="930"/>
      <w:bookmarkEnd w:id="931"/>
      <w:bookmarkEnd w:id="932"/>
      <w:bookmarkEnd w:id="933"/>
    </w:p>
    <w:bookmarkEnd w:id="812"/>
    <w:bookmarkEnd w:id="813"/>
    <w:p w14:paraId="71C62023">
      <w:pPr>
        <w:pStyle w:val="39"/>
        <w:numPr>
          <w:ilvl w:val="0"/>
          <w:numId w:val="0"/>
        </w:numPr>
        <w:spacing w:after="0"/>
        <w:ind w:right="220" w:righ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工艺安全分析等安全保护的设置应满足GB</w:t>
      </w:r>
      <w:r>
        <w:rPr>
          <w:rFonts w:hint="eastAsia" w:ascii="宋体" w:hAnsi="宋体" w:cs="宋体"/>
          <w:color w:val="auto"/>
          <w:highlight w:val="none"/>
          <w:lang w:val="en-US" w:eastAsia="zh-CN"/>
        </w:rPr>
        <w:t xml:space="preserve"> 46766的</w:t>
      </w:r>
      <w:r>
        <w:rPr>
          <w:rFonts w:hint="eastAsia" w:ascii="宋体" w:hAnsi="宋体" w:eastAsia="宋体" w:cs="宋体"/>
          <w:color w:val="auto"/>
          <w:highlight w:val="none"/>
          <w:lang w:val="en-US" w:eastAsia="zh-CN"/>
        </w:rPr>
        <w:t>要求。</w:t>
      </w:r>
    </w:p>
    <w:p w14:paraId="3DB9F2AD">
      <w:pPr>
        <w:pStyle w:val="259"/>
        <w:numPr>
          <w:ilvl w:val="0"/>
          <w:numId w:val="33"/>
        </w:numPr>
        <w:outlineLvl w:val="0"/>
        <w:rPr>
          <w:rFonts w:hint="default" w:ascii="Times New Roman" w:hAnsi="Times New Roman" w:cs="Times New Roman"/>
          <w:color w:val="auto"/>
          <w:highlight w:val="none"/>
        </w:rPr>
      </w:pPr>
      <w:bookmarkStart w:id="934" w:name="_Toc24515"/>
      <w:bookmarkStart w:id="935" w:name="_Toc2089"/>
      <w:bookmarkStart w:id="936" w:name="_Toc1615"/>
      <w:bookmarkStart w:id="937" w:name="_Toc15547"/>
      <w:bookmarkStart w:id="938" w:name="_Toc2612"/>
      <w:bookmarkStart w:id="939" w:name="_Toc2344"/>
      <w:bookmarkStart w:id="940" w:name="_Toc1945"/>
      <w:bookmarkStart w:id="941" w:name="_Toc3672"/>
      <w:bookmarkStart w:id="942" w:name="_Toc26678"/>
      <w:bookmarkStart w:id="943" w:name="_Toc183727697"/>
      <w:r>
        <w:rPr>
          <w:rFonts w:hint="default" w:ascii="Times New Roman" w:hAnsi="Times New Roman" w:cs="Times New Roman"/>
          <w:color w:val="auto"/>
          <w:highlight w:val="none"/>
        </w:rPr>
        <w:t>机械设备</w:t>
      </w:r>
      <w:r>
        <w:rPr>
          <w:rFonts w:hint="eastAsia" w:ascii="Times New Roman" w:cs="Times New Roman"/>
          <w:color w:val="auto"/>
          <w:highlight w:val="none"/>
          <w:lang w:val="en-US" w:eastAsia="zh-CN"/>
        </w:rPr>
        <w:t>和</w:t>
      </w:r>
      <w:r>
        <w:rPr>
          <w:rFonts w:hint="default" w:ascii="Times New Roman" w:hAnsi="Times New Roman" w:cs="Times New Roman"/>
          <w:color w:val="auto"/>
          <w:highlight w:val="none"/>
        </w:rPr>
        <w:t>管系</w:t>
      </w:r>
      <w:bookmarkEnd w:id="934"/>
      <w:bookmarkEnd w:id="935"/>
      <w:bookmarkEnd w:id="936"/>
      <w:bookmarkEnd w:id="937"/>
      <w:bookmarkEnd w:id="938"/>
      <w:bookmarkEnd w:id="939"/>
      <w:bookmarkEnd w:id="940"/>
      <w:bookmarkEnd w:id="941"/>
      <w:bookmarkEnd w:id="942"/>
      <w:bookmarkEnd w:id="943"/>
    </w:p>
    <w:bookmarkEnd w:id="805"/>
    <w:p w14:paraId="3211126F">
      <w:pPr>
        <w:pStyle w:val="260"/>
        <w:numPr>
          <w:ilvl w:val="1"/>
          <w:numId w:val="50"/>
        </w:numPr>
        <w:outlineLvl w:val="1"/>
        <w:rPr>
          <w:rFonts w:hint="default" w:ascii="Times New Roman" w:cs="Times New Roman"/>
          <w:strike w:val="0"/>
          <w:color w:val="auto"/>
          <w:highlight w:val="none"/>
          <w:lang w:val="en-US" w:eastAsia="zh-CN"/>
        </w:rPr>
      </w:pPr>
      <w:bookmarkStart w:id="944" w:name="_Toc9234"/>
      <w:bookmarkStart w:id="945" w:name="_Toc19746"/>
      <w:bookmarkStart w:id="946" w:name="_Toc30624"/>
      <w:bookmarkStart w:id="947" w:name="_Toc12647"/>
      <w:bookmarkStart w:id="948" w:name="_Toc6706"/>
      <w:bookmarkStart w:id="949" w:name="_Toc20186"/>
      <w:bookmarkStart w:id="950" w:name="_Toc20604"/>
      <w:bookmarkStart w:id="951" w:name="_Toc20530"/>
      <w:bookmarkStart w:id="952" w:name="_Toc29322"/>
      <w:bookmarkStart w:id="953" w:name="_Toc24773"/>
      <w:bookmarkStart w:id="954" w:name="_Toc14207"/>
      <w:bookmarkStart w:id="955" w:name="_Toc183727701"/>
      <w:bookmarkStart w:id="956" w:name="_Toc2438"/>
      <w:r>
        <w:rPr>
          <w:rFonts w:hint="eastAsia" w:ascii="Times New Roman" w:cs="Times New Roman"/>
          <w:strike w:val="0"/>
          <w:color w:val="auto"/>
          <w:highlight w:val="none"/>
          <w:lang w:val="en-US" w:eastAsia="zh-CN"/>
        </w:rPr>
        <w:t>通用要求</w:t>
      </w:r>
      <w:bookmarkEnd w:id="944"/>
      <w:bookmarkEnd w:id="945"/>
    </w:p>
    <w:p w14:paraId="458378A5">
      <w:pPr>
        <w:pStyle w:val="261"/>
        <w:tabs>
          <w:tab w:val="left" w:pos="0"/>
        </w:tabs>
        <w:spacing w:before="156" w:after="156"/>
        <w:outlineLvl w:val="2"/>
        <w:rPr>
          <w:rFonts w:ascii="Times New Roman"/>
          <w:color w:val="auto"/>
          <w:highlight w:val="none"/>
        </w:rPr>
      </w:pPr>
      <w:bookmarkStart w:id="957" w:name="_Toc23254"/>
      <w:bookmarkStart w:id="958" w:name="_Toc13711"/>
      <w:bookmarkStart w:id="959" w:name="_Toc19083"/>
      <w:bookmarkStart w:id="960" w:name="_Toc2226"/>
      <w:bookmarkStart w:id="961" w:name="_Toc34"/>
      <w:bookmarkStart w:id="962" w:name="_Toc3453"/>
      <w:r>
        <w:rPr>
          <w:rFonts w:ascii="Times New Roman"/>
          <w:color w:val="auto"/>
          <w:highlight w:val="none"/>
        </w:rPr>
        <w:t>燃料要求</w:t>
      </w:r>
      <w:bookmarkEnd w:id="957"/>
      <w:bookmarkEnd w:id="958"/>
      <w:bookmarkEnd w:id="959"/>
      <w:bookmarkEnd w:id="960"/>
      <w:bookmarkEnd w:id="961"/>
      <w:bookmarkEnd w:id="962"/>
    </w:p>
    <w:p w14:paraId="7F55ED60">
      <w:pPr>
        <w:pStyle w:val="327"/>
        <w:ind w:left="0"/>
        <w:rPr>
          <w:rFonts w:hint="eastAsia" w:ascii="宋体" w:hAnsi="宋体" w:eastAsia="宋体" w:cs="宋体"/>
          <w:color w:val="auto"/>
          <w:highlight w:val="none"/>
        </w:rPr>
      </w:pPr>
      <w:bookmarkStart w:id="963" w:name="_Toc32145"/>
      <w:bookmarkStart w:id="964" w:name="_Toc18460"/>
      <w:r>
        <w:rPr>
          <w:rFonts w:hint="eastAsia" w:ascii="宋体" w:hAnsi="宋体" w:eastAsia="宋体" w:cs="宋体"/>
          <w:color w:val="auto"/>
          <w:highlight w:val="none"/>
        </w:rPr>
        <w:t>内燃机</w:t>
      </w:r>
      <w:r>
        <w:rPr>
          <w:rFonts w:hint="eastAsia" w:ascii="宋体" w:hAnsi="宋体" w:eastAsia="宋体" w:cs="宋体"/>
          <w:color w:val="auto"/>
          <w:highlight w:val="none"/>
          <w:lang w:val="en-US" w:eastAsia="zh-CN"/>
        </w:rPr>
        <w:t>应使用</w:t>
      </w:r>
      <w:r>
        <w:rPr>
          <w:rFonts w:hint="eastAsia" w:ascii="宋体" w:hAnsi="宋体" w:eastAsia="宋体" w:cs="宋体"/>
          <w:color w:val="auto"/>
          <w:highlight w:val="none"/>
        </w:rPr>
        <w:t>闪点（闭杯试验）不</w:t>
      </w:r>
      <w:r>
        <w:rPr>
          <w:rFonts w:hint="eastAsia" w:ascii="宋体" w:hAnsi="宋体" w:eastAsia="宋体" w:cs="宋体"/>
          <w:color w:val="auto"/>
          <w:highlight w:val="none"/>
          <w:lang w:val="en-US" w:eastAsia="zh-CN"/>
        </w:rPr>
        <w:t>小</w:t>
      </w:r>
      <w:r>
        <w:rPr>
          <w:rFonts w:hint="eastAsia" w:ascii="宋体" w:hAnsi="宋体" w:eastAsia="宋体" w:cs="宋体"/>
          <w:color w:val="auto"/>
          <w:highlight w:val="none"/>
        </w:rPr>
        <w:t>于60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的柴油</w:t>
      </w:r>
      <w:r>
        <w:rPr>
          <w:rFonts w:hint="eastAsia" w:ascii="宋体" w:hAnsi="宋体" w:eastAsia="宋体" w:cs="宋体"/>
          <w:color w:val="auto"/>
          <w:highlight w:val="none"/>
        </w:rPr>
        <w:t>。</w:t>
      </w:r>
    </w:p>
    <w:p w14:paraId="1E7C526E">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以自产的天然气或原油作为燃料时，应处理</w:t>
      </w:r>
      <w:r>
        <w:rPr>
          <w:rFonts w:hint="eastAsia" w:ascii="宋体" w:hAnsi="宋体" w:eastAsia="宋体" w:cs="宋体"/>
          <w:color w:val="auto"/>
          <w:highlight w:val="none"/>
          <w:lang w:val="en-US" w:eastAsia="zh-CN"/>
        </w:rPr>
        <w:t>至</w:t>
      </w:r>
      <w:r>
        <w:rPr>
          <w:rFonts w:hint="eastAsia" w:ascii="宋体" w:hAnsi="宋体" w:eastAsia="宋体" w:cs="宋体"/>
          <w:color w:val="auto"/>
          <w:highlight w:val="none"/>
        </w:rPr>
        <w:t>满足燃烧设备对燃料的要求，还应采取</w:t>
      </w:r>
      <w:r>
        <w:rPr>
          <w:rFonts w:hint="eastAsia" w:ascii="宋体" w:hAnsi="宋体" w:eastAsia="宋体" w:cs="宋体"/>
          <w:color w:val="auto"/>
          <w:highlight w:val="none"/>
          <w:lang w:val="en-US" w:eastAsia="zh-CN"/>
        </w:rPr>
        <w:t>12.2.10及12.2.11中的</w:t>
      </w:r>
      <w:r>
        <w:rPr>
          <w:rFonts w:hint="eastAsia" w:ascii="宋体" w:hAnsi="宋体" w:eastAsia="宋体" w:cs="宋体"/>
          <w:color w:val="auto"/>
          <w:highlight w:val="none"/>
        </w:rPr>
        <w:t>燃料系统保护措施。</w:t>
      </w:r>
    </w:p>
    <w:p w14:paraId="7CD79781">
      <w:pPr>
        <w:pStyle w:val="261"/>
        <w:tabs>
          <w:tab w:val="left" w:pos="0"/>
        </w:tabs>
        <w:spacing w:before="156" w:after="156"/>
        <w:outlineLvl w:val="2"/>
        <w:rPr>
          <w:rFonts w:ascii="Times New Roman"/>
          <w:color w:val="auto"/>
          <w:highlight w:val="none"/>
        </w:rPr>
      </w:pPr>
      <w:bookmarkStart w:id="965" w:name="_Toc4001"/>
      <w:bookmarkStart w:id="966" w:name="_Toc22154"/>
      <w:bookmarkStart w:id="967" w:name="_Toc2889"/>
      <w:bookmarkStart w:id="968" w:name="_Toc19226"/>
      <w:bookmarkStart w:id="969" w:name="_Toc16164"/>
      <w:r>
        <w:rPr>
          <w:rFonts w:ascii="Times New Roman"/>
          <w:color w:val="auto"/>
          <w:highlight w:val="none"/>
        </w:rPr>
        <w:t>防护设施</w:t>
      </w:r>
      <w:bookmarkEnd w:id="963"/>
      <w:bookmarkEnd w:id="964"/>
      <w:bookmarkEnd w:id="965"/>
      <w:bookmarkEnd w:id="966"/>
      <w:bookmarkEnd w:id="967"/>
      <w:bookmarkEnd w:id="968"/>
      <w:bookmarkEnd w:id="969"/>
    </w:p>
    <w:p w14:paraId="7DA4534C">
      <w:pPr>
        <w:pStyle w:val="327"/>
        <w:rPr>
          <w:rFonts w:ascii="Times New Roman" w:eastAsia="宋体"/>
          <w:color w:val="auto"/>
          <w:highlight w:val="none"/>
        </w:rPr>
      </w:pPr>
      <w:bookmarkStart w:id="970" w:name="_Toc16832"/>
      <w:r>
        <w:rPr>
          <w:rFonts w:hint="eastAsia" w:ascii="Times New Roman" w:eastAsia="宋体"/>
          <w:color w:val="auto"/>
          <w:highlight w:val="none"/>
        </w:rPr>
        <w:t>机器、锅炉、压力容器及其管道附件的设计、安装和防护，应最大限度降低运动部件、高温表面及其他危险对人员的伤害风险。</w:t>
      </w:r>
    </w:p>
    <w:p w14:paraId="6E315E43">
      <w:pPr>
        <w:pStyle w:val="327"/>
        <w:rPr>
          <w:rFonts w:ascii="Times New Roman"/>
          <w:color w:val="auto"/>
          <w:highlight w:val="none"/>
        </w:rPr>
      </w:pPr>
      <w:r>
        <w:rPr>
          <w:rFonts w:ascii="Times New Roman"/>
          <w:color w:val="auto"/>
          <w:highlight w:val="none"/>
        </w:rPr>
        <w:t>应在机械设备和管系</w:t>
      </w:r>
      <w:r>
        <w:rPr>
          <w:rFonts w:hint="eastAsia" w:ascii="Times New Roman"/>
          <w:color w:val="auto"/>
          <w:highlight w:val="none"/>
          <w:lang w:val="en-US" w:eastAsia="zh-CN"/>
        </w:rPr>
        <w:t>的</w:t>
      </w:r>
      <w:r>
        <w:rPr>
          <w:rFonts w:ascii="Times New Roman"/>
          <w:color w:val="auto"/>
          <w:highlight w:val="none"/>
        </w:rPr>
        <w:t>醒目处设</w:t>
      </w:r>
      <w:r>
        <w:rPr>
          <w:rFonts w:hint="eastAsia" w:ascii="Times New Roman"/>
          <w:color w:val="auto"/>
          <w:highlight w:val="none"/>
          <w:lang w:val="en-US" w:eastAsia="zh-CN"/>
        </w:rPr>
        <w:t>置操作须知的标志牌</w:t>
      </w:r>
      <w:r>
        <w:rPr>
          <w:rFonts w:hint="eastAsia" w:ascii="Times New Roman" w:eastAsia="宋体"/>
          <w:color w:val="auto"/>
          <w:highlight w:val="none"/>
        </w:rPr>
        <w:t>。</w:t>
      </w:r>
    </w:p>
    <w:p w14:paraId="1FB48577">
      <w:pPr>
        <w:pStyle w:val="261"/>
        <w:tabs>
          <w:tab w:val="left" w:pos="0"/>
        </w:tabs>
        <w:spacing w:before="156" w:after="156"/>
        <w:outlineLvl w:val="2"/>
        <w:rPr>
          <w:rFonts w:ascii="Times New Roman"/>
          <w:color w:val="auto"/>
          <w:highlight w:val="none"/>
        </w:rPr>
      </w:pPr>
      <w:bookmarkStart w:id="971" w:name="_Toc17369"/>
      <w:bookmarkStart w:id="972" w:name="_Toc29958"/>
      <w:bookmarkStart w:id="973" w:name="_Toc29138"/>
      <w:bookmarkStart w:id="974" w:name="_Toc23778"/>
      <w:bookmarkStart w:id="975" w:name="_Toc19354"/>
      <w:r>
        <w:rPr>
          <w:rFonts w:ascii="Times New Roman"/>
          <w:color w:val="auto"/>
          <w:highlight w:val="none"/>
        </w:rPr>
        <w:t>设备布置</w:t>
      </w:r>
      <w:bookmarkEnd w:id="970"/>
      <w:bookmarkEnd w:id="971"/>
      <w:bookmarkEnd w:id="972"/>
      <w:bookmarkEnd w:id="973"/>
      <w:bookmarkEnd w:id="974"/>
      <w:bookmarkEnd w:id="975"/>
    </w:p>
    <w:p w14:paraId="2561381D">
      <w:pPr>
        <w:pStyle w:val="327"/>
        <w:rPr>
          <w:rFonts w:hint="eastAsia" w:ascii="Times New Roman"/>
          <w:strike w:val="0"/>
          <w:color w:val="auto"/>
          <w:highlight w:val="none"/>
        </w:rPr>
      </w:pPr>
      <w:bookmarkStart w:id="976" w:name="_Toc7935"/>
      <w:r>
        <w:rPr>
          <w:rFonts w:hint="eastAsia" w:ascii="Times New Roman"/>
          <w:strike w:val="0"/>
          <w:color w:val="auto"/>
          <w:highlight w:val="none"/>
          <w:lang w:val="en-US" w:eastAsia="zh-CN"/>
        </w:rPr>
        <w:t>内燃机</w:t>
      </w:r>
      <w:r>
        <w:rPr>
          <w:rFonts w:hint="eastAsia" w:ascii="Times New Roman"/>
          <w:color w:val="auto"/>
          <w:highlight w:val="none"/>
        </w:rPr>
        <w:t>、燃气轮机</w:t>
      </w:r>
      <w:r>
        <w:rPr>
          <w:rFonts w:hint="eastAsia" w:ascii="Times New Roman"/>
          <w:strike w:val="0"/>
          <w:color w:val="auto"/>
          <w:highlight w:val="none"/>
          <w:lang w:val="en-US" w:eastAsia="zh-CN"/>
        </w:rPr>
        <w:t>等</w:t>
      </w:r>
      <w:r>
        <w:rPr>
          <w:rFonts w:hint="eastAsia" w:ascii="Times New Roman"/>
          <w:strike w:val="0"/>
          <w:color w:val="auto"/>
          <w:highlight w:val="none"/>
        </w:rPr>
        <w:t>不适宜</w:t>
      </w:r>
      <w:r>
        <w:rPr>
          <w:rFonts w:hint="eastAsia" w:ascii="Times New Roman"/>
          <w:strike w:val="0"/>
          <w:color w:val="auto"/>
          <w:highlight w:val="none"/>
          <w:lang w:val="en-US" w:eastAsia="zh-CN"/>
        </w:rPr>
        <w:t>布置在</w:t>
      </w:r>
      <w:r>
        <w:rPr>
          <w:rFonts w:hint="eastAsia" w:ascii="Times New Roman"/>
          <w:strike w:val="0"/>
          <w:color w:val="auto"/>
          <w:highlight w:val="none"/>
        </w:rPr>
        <w:t>露天环境的设备应</w:t>
      </w:r>
      <w:r>
        <w:rPr>
          <w:rFonts w:hint="eastAsia" w:ascii="宋体" w:hAnsi="宋体" w:eastAsia="宋体" w:cs="宋体"/>
          <w:color w:val="auto"/>
          <w:highlight w:val="none"/>
        </w:rPr>
        <w:t>设在罩壳或机房内，燃烧设备的排气不应直接吹向有人工作和居住的处所</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w:t>
      </w:r>
      <w:r>
        <w:rPr>
          <w:rFonts w:hint="eastAsia" w:ascii="宋体" w:hAnsi="宋体" w:eastAsia="宋体" w:cs="宋体"/>
          <w:color w:val="auto"/>
          <w:highlight w:val="none"/>
        </w:rPr>
        <w:t>应设有火星消除</w:t>
      </w:r>
      <w:r>
        <w:rPr>
          <w:rFonts w:hint="eastAsia" w:ascii="宋体" w:hAnsi="宋体" w:eastAsia="宋体" w:cs="宋体"/>
          <w:color w:val="auto"/>
          <w:highlight w:val="none"/>
          <w:lang w:val="en-US" w:eastAsia="zh-CN"/>
        </w:rPr>
        <w:t>装置</w:t>
      </w:r>
      <w:r>
        <w:rPr>
          <w:rFonts w:hint="eastAsia" w:ascii="宋体" w:hAnsi="宋体" w:eastAsia="宋体" w:cs="宋体"/>
          <w:color w:val="auto"/>
          <w:highlight w:val="none"/>
        </w:rPr>
        <w:t>。</w:t>
      </w:r>
    </w:p>
    <w:p w14:paraId="2F95533C">
      <w:pPr>
        <w:pStyle w:val="327"/>
        <w:rPr>
          <w:rFonts w:hint="eastAsia" w:ascii="宋体" w:hAnsi="宋体" w:eastAsia="宋体" w:cs="宋体"/>
          <w:color w:val="auto"/>
          <w:highlight w:val="none"/>
        </w:rPr>
      </w:pPr>
      <w:r>
        <w:rPr>
          <w:rFonts w:hint="eastAsia" w:ascii="Times New Roman"/>
          <w:color w:val="auto"/>
          <w:highlight w:val="none"/>
        </w:rPr>
        <w:t>内燃机、燃气轮机</w:t>
      </w:r>
      <w:r>
        <w:rPr>
          <w:rFonts w:hint="eastAsia" w:ascii="宋体" w:hAnsi="宋体" w:eastAsia="宋体" w:cs="宋体"/>
          <w:color w:val="auto"/>
          <w:highlight w:val="none"/>
        </w:rPr>
        <w:t>及其他燃油设备的助燃空气入口及排气口应位于非危险区内。排气口的布置应防止排出的烟气进入助燃空气入口、通风系统进风口。</w:t>
      </w:r>
    </w:p>
    <w:p w14:paraId="2C311FF8">
      <w:pPr>
        <w:pStyle w:val="327"/>
        <w:rPr>
          <w:rFonts w:hint="eastAsia" w:ascii="宋体" w:hAnsi="宋体" w:eastAsia="宋体" w:cs="宋体"/>
          <w:color w:val="auto"/>
          <w:highlight w:val="none"/>
        </w:rPr>
      </w:pPr>
      <w:r>
        <w:rPr>
          <w:rFonts w:hint="eastAsia" w:ascii="宋体" w:hAnsi="宋体" w:eastAsia="宋体" w:cs="宋体"/>
          <w:color w:val="auto"/>
          <w:highlight w:val="none"/>
        </w:rPr>
        <w:t>应对危险区内的机械设备采取</w:t>
      </w:r>
      <w:r>
        <w:rPr>
          <w:rFonts w:hint="eastAsia" w:ascii="宋体" w:hAnsi="宋体" w:eastAsia="宋体" w:cs="宋体"/>
          <w:color w:val="auto"/>
          <w:highlight w:val="none"/>
          <w:lang w:val="en-US" w:eastAsia="zh-CN"/>
        </w:rPr>
        <w:t>防护</w:t>
      </w:r>
      <w:r>
        <w:rPr>
          <w:rFonts w:hint="eastAsia" w:ascii="宋体" w:hAnsi="宋体" w:eastAsia="宋体" w:cs="宋体"/>
          <w:color w:val="auto"/>
          <w:highlight w:val="none"/>
        </w:rPr>
        <w:t>措施，以防止裸露部件</w:t>
      </w:r>
      <w:r>
        <w:rPr>
          <w:rFonts w:hint="eastAsia" w:ascii="宋体" w:hAnsi="宋体" w:eastAsia="宋体" w:cs="宋体"/>
          <w:color w:val="auto"/>
          <w:highlight w:val="none"/>
          <w:lang w:val="en-US" w:eastAsia="zh-CN"/>
        </w:rPr>
        <w:t>表面</w:t>
      </w:r>
      <w:r>
        <w:rPr>
          <w:rFonts w:hint="eastAsia" w:ascii="宋体" w:hAnsi="宋体" w:eastAsia="宋体" w:cs="宋体"/>
          <w:color w:val="auto"/>
          <w:highlight w:val="none"/>
        </w:rPr>
        <w:t>过热、静电</w:t>
      </w:r>
      <w:r>
        <w:rPr>
          <w:rFonts w:hint="eastAsia" w:ascii="宋体" w:hAnsi="宋体" w:eastAsia="宋体" w:cs="宋体"/>
          <w:color w:val="auto"/>
          <w:highlight w:val="none"/>
          <w:lang w:val="en-US" w:eastAsia="zh-CN"/>
        </w:rPr>
        <w:t>积累</w:t>
      </w:r>
      <w:r>
        <w:rPr>
          <w:rFonts w:hint="eastAsia" w:ascii="宋体" w:hAnsi="宋体" w:eastAsia="宋体" w:cs="宋体"/>
          <w:color w:val="auto"/>
          <w:highlight w:val="none"/>
        </w:rPr>
        <w:t>或运动</w:t>
      </w:r>
      <w:r>
        <w:rPr>
          <w:rFonts w:hint="eastAsia" w:ascii="宋体" w:hAnsi="宋体" w:eastAsia="宋体" w:cs="宋体"/>
          <w:color w:val="auto"/>
          <w:highlight w:val="none"/>
          <w:lang w:val="en-US" w:eastAsia="zh-CN"/>
        </w:rPr>
        <w:t>部件</w:t>
      </w:r>
      <w:r>
        <w:rPr>
          <w:rFonts w:hint="eastAsia" w:ascii="宋体" w:hAnsi="宋体" w:eastAsia="宋体" w:cs="宋体"/>
          <w:color w:val="auto"/>
          <w:highlight w:val="none"/>
        </w:rPr>
        <w:t>摩擦</w:t>
      </w:r>
      <w:r>
        <w:rPr>
          <w:rFonts w:hint="eastAsia" w:ascii="宋体" w:hAnsi="宋体" w:eastAsia="宋体" w:cs="宋体"/>
          <w:color w:val="auto"/>
          <w:highlight w:val="none"/>
          <w:lang w:val="en-US" w:eastAsia="zh-CN"/>
        </w:rPr>
        <w:t>等原因</w:t>
      </w:r>
      <w:r>
        <w:rPr>
          <w:rFonts w:hint="eastAsia" w:ascii="宋体" w:hAnsi="宋体" w:eastAsia="宋体" w:cs="宋体"/>
          <w:color w:val="auto"/>
          <w:highlight w:val="none"/>
        </w:rPr>
        <w:t>产生</w:t>
      </w:r>
      <w:r>
        <w:rPr>
          <w:rFonts w:hint="eastAsia" w:ascii="宋体" w:hAnsi="宋体" w:eastAsia="宋体" w:cs="宋体"/>
          <w:color w:val="auto"/>
          <w:highlight w:val="none"/>
          <w:lang w:val="en-US" w:eastAsia="zh-CN"/>
        </w:rPr>
        <w:t>点火源</w:t>
      </w:r>
      <w:r>
        <w:rPr>
          <w:rFonts w:hint="eastAsia" w:ascii="宋体" w:hAnsi="宋体" w:eastAsia="宋体" w:cs="宋体"/>
          <w:color w:val="auto"/>
          <w:highlight w:val="none"/>
        </w:rPr>
        <w:t>。</w:t>
      </w:r>
    </w:p>
    <w:p w14:paraId="4A99C768">
      <w:pPr>
        <w:pStyle w:val="261"/>
        <w:tabs>
          <w:tab w:val="left" w:pos="0"/>
        </w:tabs>
        <w:spacing w:before="156" w:after="156"/>
        <w:outlineLvl w:val="2"/>
        <w:rPr>
          <w:rFonts w:ascii="Times New Roman"/>
          <w:color w:val="auto"/>
          <w:highlight w:val="none"/>
        </w:rPr>
      </w:pPr>
      <w:bookmarkStart w:id="977" w:name="_Toc29320"/>
      <w:bookmarkStart w:id="978" w:name="_Toc27869"/>
      <w:bookmarkStart w:id="979" w:name="_Toc16524"/>
      <w:bookmarkStart w:id="980" w:name="_Toc15458"/>
      <w:bookmarkStart w:id="981" w:name="_Toc5520"/>
      <w:r>
        <w:rPr>
          <w:rFonts w:ascii="Times New Roman"/>
          <w:color w:val="auto"/>
          <w:highlight w:val="none"/>
        </w:rPr>
        <w:t>设备的可使用性</w:t>
      </w:r>
      <w:bookmarkEnd w:id="976"/>
      <w:bookmarkEnd w:id="977"/>
      <w:bookmarkEnd w:id="978"/>
      <w:bookmarkEnd w:id="979"/>
      <w:bookmarkEnd w:id="980"/>
      <w:bookmarkEnd w:id="981"/>
    </w:p>
    <w:p w14:paraId="14B21151">
      <w:pPr>
        <w:pStyle w:val="327"/>
        <w:rPr>
          <w:rFonts w:hint="eastAsia" w:ascii="宋体" w:hAnsi="宋体" w:eastAsia="宋体" w:cs="宋体"/>
          <w:color w:val="auto"/>
          <w:highlight w:val="none"/>
        </w:rPr>
      </w:pPr>
      <w:r>
        <w:rPr>
          <w:rFonts w:ascii="Times New Roman"/>
          <w:color w:val="auto"/>
          <w:highlight w:val="none"/>
        </w:rPr>
        <w:t>应急发电机组应在</w:t>
      </w:r>
      <w:r>
        <w:rPr>
          <w:rFonts w:hint="eastAsia" w:ascii="宋体" w:hAnsi="宋体" w:eastAsia="宋体" w:cs="宋体"/>
          <w:color w:val="auto"/>
          <w:highlight w:val="none"/>
        </w:rPr>
        <w:t>不依靠外部帮助的情况下正常启动、控制并保持正常运行。</w:t>
      </w:r>
    </w:p>
    <w:p w14:paraId="51BA33B1">
      <w:pPr>
        <w:pStyle w:val="327"/>
        <w:rPr>
          <w:rFonts w:hint="eastAsia" w:ascii="宋体" w:hAnsi="宋体" w:eastAsia="宋体" w:cs="宋体"/>
          <w:color w:val="auto"/>
          <w:highlight w:val="none"/>
        </w:rPr>
      </w:pPr>
      <w:r>
        <w:rPr>
          <w:rFonts w:hint="eastAsia" w:ascii="宋体" w:hAnsi="宋体" w:eastAsia="宋体" w:cs="宋体"/>
          <w:color w:val="auto"/>
          <w:highlight w:val="none"/>
        </w:rPr>
        <w:t>以自产的天然气或原油作为燃料的主电站原动机，如在</w:t>
      </w: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停产时需要运行，应能以柴油作为燃料并保持正常工作。</w:t>
      </w:r>
    </w:p>
    <w:p w14:paraId="0D5B6C1A">
      <w:pPr>
        <w:pStyle w:val="261"/>
        <w:tabs>
          <w:tab w:val="left" w:pos="0"/>
        </w:tabs>
        <w:spacing w:before="156" w:after="156"/>
        <w:outlineLvl w:val="2"/>
        <w:rPr>
          <w:rFonts w:ascii="Times New Roman"/>
          <w:color w:val="auto"/>
          <w:highlight w:val="none"/>
        </w:rPr>
      </w:pPr>
      <w:bookmarkStart w:id="982" w:name="_Toc24505"/>
      <w:bookmarkStart w:id="983" w:name="_Toc7614"/>
      <w:bookmarkStart w:id="984" w:name="_Toc32619"/>
      <w:bookmarkStart w:id="985" w:name="_Toc23587"/>
      <w:bookmarkStart w:id="986" w:name="_Toc31205"/>
      <w:bookmarkStart w:id="987" w:name="_Toc1325"/>
      <w:r>
        <w:rPr>
          <w:rFonts w:ascii="Times New Roman"/>
          <w:color w:val="auto"/>
          <w:highlight w:val="none"/>
        </w:rPr>
        <w:t>操控</w:t>
      </w:r>
      <w:r>
        <w:rPr>
          <w:rFonts w:hint="eastAsia" w:ascii="Times New Roman"/>
          <w:color w:val="auto"/>
          <w:highlight w:val="none"/>
          <w:lang w:val="en-US" w:eastAsia="zh-CN"/>
        </w:rPr>
        <w:t>停机</w:t>
      </w:r>
      <w:r>
        <w:rPr>
          <w:rFonts w:ascii="Times New Roman"/>
          <w:color w:val="auto"/>
          <w:highlight w:val="none"/>
        </w:rPr>
        <w:t>位置</w:t>
      </w:r>
      <w:bookmarkEnd w:id="982"/>
      <w:bookmarkEnd w:id="983"/>
      <w:bookmarkEnd w:id="984"/>
      <w:bookmarkEnd w:id="985"/>
      <w:bookmarkEnd w:id="986"/>
      <w:bookmarkEnd w:id="987"/>
    </w:p>
    <w:p w14:paraId="1600CE55">
      <w:pPr>
        <w:pStyle w:val="521"/>
        <w:ind w:firstLine="420" w:firstLineChars="200"/>
        <w:rPr>
          <w:rFonts w:ascii="Times New Roman"/>
          <w:color w:val="auto"/>
          <w:highlight w:val="none"/>
        </w:rPr>
      </w:pPr>
      <w:r>
        <w:rPr>
          <w:rFonts w:ascii="Times New Roman"/>
          <w:color w:val="auto"/>
          <w:highlight w:val="none"/>
        </w:rPr>
        <w:t>内燃机、燃气轮机</w:t>
      </w:r>
      <w:r>
        <w:rPr>
          <w:rFonts w:hint="eastAsia" w:ascii="Times New Roman"/>
          <w:color w:val="auto"/>
          <w:highlight w:val="none"/>
          <w:lang w:val="en-US" w:eastAsia="zh-CN"/>
        </w:rPr>
        <w:t>除能</w:t>
      </w:r>
      <w:r>
        <w:rPr>
          <w:rFonts w:ascii="Times New Roman"/>
          <w:color w:val="auto"/>
          <w:highlight w:val="none"/>
        </w:rPr>
        <w:t>就地操纵停机</w:t>
      </w:r>
      <w:r>
        <w:rPr>
          <w:rFonts w:hint="eastAsia" w:ascii="Times New Roman"/>
          <w:color w:val="auto"/>
          <w:highlight w:val="none"/>
          <w:lang w:val="en-US" w:eastAsia="zh-CN"/>
        </w:rPr>
        <w:t>外</w:t>
      </w:r>
      <w:r>
        <w:rPr>
          <w:rFonts w:ascii="Times New Roman"/>
          <w:color w:val="auto"/>
          <w:highlight w:val="none"/>
        </w:rPr>
        <w:t>，还应在安装处所外易于到达</w:t>
      </w:r>
      <w:r>
        <w:rPr>
          <w:rFonts w:hint="eastAsia" w:ascii="Times New Roman"/>
          <w:color w:val="auto"/>
          <w:highlight w:val="none"/>
        </w:rPr>
        <w:t>且</w:t>
      </w:r>
      <w:r>
        <w:rPr>
          <w:rFonts w:ascii="Times New Roman"/>
          <w:color w:val="auto"/>
          <w:highlight w:val="none"/>
        </w:rPr>
        <w:t>失火时不致被隔断的地点</w:t>
      </w:r>
      <w:r>
        <w:rPr>
          <w:rFonts w:hint="eastAsia"/>
          <w:color w:val="auto"/>
          <w:highlight w:val="none"/>
          <w:lang w:val="en-US" w:eastAsia="zh-CN"/>
        </w:rPr>
        <w:t>设置</w:t>
      </w:r>
      <w:r>
        <w:rPr>
          <w:rFonts w:ascii="Times New Roman"/>
          <w:color w:val="auto"/>
          <w:highlight w:val="none"/>
        </w:rPr>
        <w:t>停机</w:t>
      </w:r>
      <w:r>
        <w:rPr>
          <w:rFonts w:hint="eastAsia"/>
          <w:color w:val="auto"/>
          <w:highlight w:val="none"/>
          <w:lang w:val="en-US" w:eastAsia="zh-CN"/>
        </w:rPr>
        <w:t>装置</w:t>
      </w:r>
      <w:r>
        <w:rPr>
          <w:rFonts w:ascii="Times New Roman"/>
          <w:color w:val="auto"/>
          <w:highlight w:val="none"/>
        </w:rPr>
        <w:t>。</w:t>
      </w:r>
    </w:p>
    <w:p w14:paraId="43F2BF32">
      <w:pPr>
        <w:pStyle w:val="260"/>
        <w:outlineLvl w:val="1"/>
        <w:rPr>
          <w:rFonts w:hint="default" w:ascii="Times New Roman" w:hAnsi="Times New Roman" w:cs="Times New Roman"/>
          <w:color w:val="auto"/>
          <w:highlight w:val="none"/>
        </w:rPr>
      </w:pPr>
      <w:bookmarkStart w:id="988" w:name="_Toc21449"/>
      <w:bookmarkStart w:id="989" w:name="_Toc25500"/>
      <w:bookmarkStart w:id="990" w:name="_Toc12878"/>
      <w:bookmarkStart w:id="991" w:name="_Toc13556"/>
      <w:bookmarkStart w:id="992" w:name="_Toc19437"/>
      <w:bookmarkStart w:id="993" w:name="_Toc15640"/>
      <w:bookmarkStart w:id="994" w:name="_Toc1593"/>
      <w:bookmarkStart w:id="995" w:name="_Toc17560"/>
      <w:bookmarkStart w:id="996" w:name="_Toc15277"/>
      <w:r>
        <w:rPr>
          <w:rFonts w:hint="eastAsia" w:ascii="Times New Roman" w:cs="Times New Roman"/>
          <w:color w:val="auto"/>
          <w:highlight w:val="none"/>
          <w:lang w:val="en-US" w:eastAsia="zh-CN"/>
        </w:rPr>
        <w:t>机械</w:t>
      </w:r>
      <w:r>
        <w:rPr>
          <w:rFonts w:hint="default" w:ascii="Times New Roman" w:hAnsi="Times New Roman" w:cs="Times New Roman"/>
          <w:color w:val="auto"/>
          <w:highlight w:val="none"/>
        </w:rPr>
        <w:t>设备</w:t>
      </w:r>
      <w:bookmarkEnd w:id="988"/>
      <w:bookmarkEnd w:id="989"/>
      <w:bookmarkEnd w:id="990"/>
      <w:bookmarkEnd w:id="991"/>
      <w:bookmarkEnd w:id="992"/>
      <w:bookmarkEnd w:id="993"/>
      <w:bookmarkEnd w:id="994"/>
      <w:bookmarkEnd w:id="995"/>
      <w:bookmarkEnd w:id="996"/>
    </w:p>
    <w:p w14:paraId="1682C3CA">
      <w:pPr>
        <w:pStyle w:val="261"/>
        <w:tabs>
          <w:tab w:val="left" w:pos="0"/>
        </w:tabs>
        <w:spacing w:before="156" w:after="156"/>
        <w:outlineLvl w:val="2"/>
        <w:rPr>
          <w:rFonts w:ascii="Times New Roman"/>
          <w:color w:val="auto"/>
          <w:highlight w:val="none"/>
        </w:rPr>
      </w:pPr>
      <w:bookmarkStart w:id="997" w:name="_Toc13400"/>
      <w:bookmarkStart w:id="998" w:name="_Toc22365"/>
      <w:r>
        <w:rPr>
          <w:rFonts w:hint="eastAsia" w:ascii="Times New Roman"/>
          <w:color w:val="auto"/>
          <w:highlight w:val="none"/>
          <w:lang w:val="en-US" w:eastAsia="zh-CN"/>
        </w:rPr>
        <w:t>通用设备</w:t>
      </w:r>
      <w:bookmarkEnd w:id="997"/>
      <w:bookmarkEnd w:id="998"/>
    </w:p>
    <w:p w14:paraId="6AC731D3">
      <w:pPr>
        <w:pStyle w:val="521"/>
        <w:ind w:firstLine="420" w:firstLineChars="200"/>
        <w:rPr>
          <w:rFonts w:hint="eastAsia" w:ascii="宋体" w:hAnsi="宋体" w:eastAsia="宋体" w:cs="宋体"/>
          <w:color w:val="auto"/>
          <w:highlight w:val="none"/>
          <w:lang w:eastAsia="zh-CN"/>
        </w:rPr>
      </w:pPr>
      <w:bookmarkStart w:id="999" w:name="_Toc22875"/>
      <w:bookmarkStart w:id="1000" w:name="_Toc30566"/>
      <w:r>
        <w:rPr>
          <w:rFonts w:hint="eastAsia" w:ascii="宋体" w:hAnsi="宋体" w:eastAsia="宋体" w:cs="宋体"/>
          <w:color w:val="auto"/>
          <w:highlight w:val="none"/>
          <w:lang w:eastAsia="zh-CN"/>
        </w:rPr>
        <w:t>内燃机、燃气轮机、压缩机、泵、锅炉、压力容器应满足</w:t>
      </w:r>
      <w:r>
        <w:rPr>
          <w:rFonts w:hint="eastAsia" w:ascii="宋体" w:hAnsi="宋体" w:eastAsia="宋体" w:cs="宋体"/>
          <w:color w:val="auto"/>
          <w:highlight w:val="none"/>
          <w:lang w:val="en-US" w:eastAsia="zh-CN"/>
        </w:rPr>
        <w:t>GB</w:t>
      </w:r>
      <w:r>
        <w:rPr>
          <w:rFonts w:hint="eastAsia" w:hAnsi="宋体" w:cs="宋体"/>
          <w:color w:val="auto"/>
          <w:highlight w:val="none"/>
          <w:lang w:val="en-US" w:eastAsia="zh-CN"/>
        </w:rPr>
        <w:t xml:space="preserve"> </w:t>
      </w:r>
      <w:r>
        <w:rPr>
          <w:rFonts w:hint="eastAsia" w:ascii="宋体" w:hAnsi="宋体" w:cs="宋体"/>
          <w:color w:val="auto"/>
          <w:highlight w:val="none"/>
          <w:lang w:val="en-US" w:eastAsia="zh-CN"/>
        </w:rPr>
        <w:t>46766</w:t>
      </w:r>
      <w:r>
        <w:rPr>
          <w:rFonts w:hint="eastAsia" w:hAnsi="宋体" w:cs="宋体"/>
          <w:color w:val="auto"/>
          <w:highlight w:val="none"/>
          <w:lang w:val="en-US" w:eastAsia="zh-CN"/>
        </w:rPr>
        <w:t>的</w:t>
      </w:r>
      <w:r>
        <w:rPr>
          <w:rFonts w:hint="eastAsia" w:ascii="宋体" w:hAnsi="宋体" w:eastAsia="宋体" w:cs="宋体"/>
          <w:color w:val="auto"/>
          <w:highlight w:val="none"/>
          <w:lang w:eastAsia="zh-CN"/>
        </w:rPr>
        <w:t>要求</w:t>
      </w:r>
      <w:bookmarkEnd w:id="999"/>
      <w:bookmarkEnd w:id="1000"/>
      <w:r>
        <w:rPr>
          <w:rFonts w:hint="eastAsia" w:hAnsi="宋体" w:cs="宋体"/>
          <w:color w:val="auto"/>
          <w:highlight w:val="none"/>
          <w:lang w:eastAsia="zh-CN"/>
        </w:rPr>
        <w:t>，</w:t>
      </w:r>
      <w:r>
        <w:rPr>
          <w:rFonts w:hint="eastAsia" w:hAnsi="宋体" w:cs="宋体"/>
          <w:color w:val="auto"/>
          <w:highlight w:val="none"/>
          <w:lang w:val="en-US" w:eastAsia="zh-CN"/>
        </w:rPr>
        <w:t>还</w:t>
      </w:r>
      <w:r>
        <w:rPr>
          <w:rFonts w:hint="eastAsia" w:ascii="宋体" w:hAnsi="宋体" w:eastAsia="宋体" w:cs="宋体"/>
          <w:color w:val="auto"/>
          <w:highlight w:val="none"/>
          <w:lang w:val="en-US" w:eastAsia="zh-CN"/>
        </w:rPr>
        <w:t>应适应FPSO</w:t>
      </w:r>
      <w:r>
        <w:rPr>
          <w:rFonts w:hint="eastAsia" w:hAnsi="宋体" w:cs="宋体"/>
          <w:color w:val="auto"/>
          <w:highlight w:val="none"/>
          <w:lang w:val="en-US" w:eastAsia="zh-CN"/>
        </w:rPr>
        <w:t>的</w:t>
      </w:r>
      <w:r>
        <w:rPr>
          <w:rFonts w:hint="eastAsia" w:ascii="宋体" w:hAnsi="宋体" w:eastAsia="宋体" w:cs="宋体"/>
          <w:color w:val="auto"/>
          <w:highlight w:val="none"/>
          <w:lang w:val="en-US" w:eastAsia="zh-CN"/>
        </w:rPr>
        <w:t>运动条件。</w:t>
      </w:r>
    </w:p>
    <w:p w14:paraId="282279A2">
      <w:pPr>
        <w:pStyle w:val="261"/>
        <w:tabs>
          <w:tab w:val="left" w:pos="0"/>
        </w:tabs>
        <w:spacing w:before="156" w:after="156"/>
        <w:outlineLvl w:val="2"/>
        <w:rPr>
          <w:rFonts w:ascii="Times New Roman"/>
          <w:color w:val="auto"/>
          <w:highlight w:val="none"/>
        </w:rPr>
      </w:pPr>
      <w:bookmarkStart w:id="1001" w:name="_Toc15088"/>
      <w:bookmarkStart w:id="1002" w:name="_Toc26096"/>
      <w:r>
        <w:rPr>
          <w:rFonts w:hint="eastAsia" w:ascii="Times New Roman"/>
          <w:color w:val="auto"/>
          <w:highlight w:val="none"/>
          <w:lang w:val="en-US" w:eastAsia="zh-CN"/>
        </w:rPr>
        <w:t>起重机</w:t>
      </w:r>
      <w:bookmarkEnd w:id="1001"/>
      <w:bookmarkEnd w:id="1002"/>
    </w:p>
    <w:p w14:paraId="7D5A7C99">
      <w:pPr>
        <w:pStyle w:val="327"/>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起重机的安装位置、结构设计、工作性能和安全装置</w:t>
      </w:r>
      <w:r>
        <w:rPr>
          <w:rFonts w:hint="eastAsia" w:ascii="宋体" w:hAnsi="宋体" w:eastAsia="宋体" w:cs="宋体"/>
          <w:color w:val="auto"/>
          <w:highlight w:val="none"/>
          <w:lang w:eastAsia="zh-CN"/>
        </w:rPr>
        <w:t>应满足</w:t>
      </w:r>
      <w:r>
        <w:rPr>
          <w:rFonts w:hint="eastAsia" w:ascii="宋体" w:hAnsi="宋体" w:eastAsia="宋体" w:cs="宋体"/>
          <w:color w:val="auto"/>
          <w:highlight w:val="none"/>
          <w:lang w:val="en-US" w:eastAsia="zh-CN"/>
        </w:rPr>
        <w:t xml:space="preserve">GB </w:t>
      </w:r>
      <w:r>
        <w:rPr>
          <w:rFonts w:hint="eastAsia" w:ascii="宋体" w:hAnsi="宋体" w:cs="宋体"/>
          <w:color w:val="auto"/>
          <w:highlight w:val="none"/>
          <w:lang w:val="en-US" w:eastAsia="zh-CN"/>
        </w:rPr>
        <w:t>46766的</w:t>
      </w:r>
      <w:r>
        <w:rPr>
          <w:rFonts w:hint="eastAsia" w:ascii="宋体" w:hAnsi="宋体" w:eastAsia="宋体" w:cs="宋体"/>
          <w:color w:val="auto"/>
          <w:highlight w:val="none"/>
          <w:lang w:eastAsia="zh-CN"/>
        </w:rPr>
        <w:t>要求</w:t>
      </w:r>
      <w:r>
        <w:rPr>
          <w:rFonts w:hint="eastAsia" w:ascii="宋体" w:hAnsi="宋体" w:eastAsia="宋体" w:cs="宋体"/>
          <w:color w:val="auto"/>
          <w:highlight w:val="none"/>
          <w:lang w:val="en-US" w:eastAsia="zh-CN"/>
        </w:rPr>
        <w:t>。</w:t>
      </w:r>
    </w:p>
    <w:p w14:paraId="59849E9D">
      <w:pPr>
        <w:pStyle w:val="327"/>
        <w:rPr>
          <w:rFonts w:hint="eastAsia" w:ascii="宋体" w:hAnsi="宋体" w:eastAsia="宋体" w:cs="宋体"/>
          <w:color w:val="auto"/>
          <w:highlight w:val="none"/>
        </w:rPr>
      </w:pPr>
      <w:r>
        <w:rPr>
          <w:rFonts w:hint="eastAsia" w:ascii="宋体" w:hAnsi="宋体" w:eastAsia="宋体" w:cs="宋体"/>
          <w:color w:val="auto"/>
          <w:highlight w:val="none"/>
        </w:rPr>
        <w:t>起重机的设计</w:t>
      </w:r>
      <w:r>
        <w:rPr>
          <w:rFonts w:hint="eastAsia" w:ascii="宋体" w:hAnsi="宋体" w:eastAsia="宋体" w:cs="宋体"/>
          <w:color w:val="auto"/>
          <w:highlight w:val="none"/>
          <w:lang w:val="en-US" w:eastAsia="zh-CN"/>
        </w:rPr>
        <w:t>载荷</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包括</w:t>
      </w:r>
      <w:r>
        <w:rPr>
          <w:rFonts w:hint="eastAsia" w:ascii="宋体" w:hAnsi="宋体" w:eastAsia="宋体" w:cs="宋体"/>
          <w:color w:val="auto"/>
          <w:highlight w:val="none"/>
        </w:rPr>
        <w:t>自重载荷、起升载荷及非垂直吊运时荷重摆动力、起重机各种运动产生的惯性力、风力及环境影响、通道及平台上的</w:t>
      </w:r>
      <w:r>
        <w:rPr>
          <w:rFonts w:hint="eastAsia" w:ascii="宋体" w:hAnsi="宋体" w:eastAsia="宋体" w:cs="宋体"/>
          <w:color w:val="auto"/>
          <w:highlight w:val="none"/>
          <w:lang w:eastAsia="zh-CN"/>
        </w:rPr>
        <w:t>载荷</w:t>
      </w:r>
      <w:r>
        <w:rPr>
          <w:rFonts w:hint="eastAsia" w:ascii="宋体" w:hAnsi="宋体" w:eastAsia="宋体" w:cs="宋体"/>
          <w:color w:val="auto"/>
          <w:highlight w:val="none"/>
        </w:rPr>
        <w:t>以及</w:t>
      </w: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运动和倾斜所产生的载荷。</w:t>
      </w:r>
    </w:p>
    <w:p w14:paraId="133C5654">
      <w:pPr>
        <w:pStyle w:val="327"/>
        <w:rPr>
          <w:rFonts w:hint="eastAsia" w:ascii="宋体" w:hAnsi="宋体" w:eastAsia="宋体" w:cs="宋体"/>
          <w:color w:val="auto"/>
          <w:highlight w:val="none"/>
        </w:rPr>
      </w:pPr>
      <w:r>
        <w:rPr>
          <w:rFonts w:hint="eastAsia" w:ascii="宋体" w:hAnsi="宋体" w:eastAsia="宋体" w:cs="宋体"/>
          <w:color w:val="auto"/>
          <w:highlight w:val="none"/>
        </w:rPr>
        <w:t>起重机的安全工作</w:t>
      </w:r>
      <w:r>
        <w:rPr>
          <w:rFonts w:hint="eastAsia" w:ascii="宋体" w:hAnsi="宋体" w:eastAsia="宋体" w:cs="宋体"/>
          <w:color w:val="auto"/>
          <w:highlight w:val="none"/>
          <w:lang w:eastAsia="zh-CN"/>
        </w:rPr>
        <w:t>载荷</w:t>
      </w:r>
      <w:r>
        <w:rPr>
          <w:rFonts w:hint="eastAsia" w:ascii="宋体" w:hAnsi="宋体" w:eastAsia="宋体" w:cs="宋体"/>
          <w:color w:val="auto"/>
          <w:highlight w:val="none"/>
        </w:rPr>
        <w:t>除起升冲击与动载效应外，</w:t>
      </w:r>
      <w:r>
        <w:rPr>
          <w:rFonts w:hint="eastAsia" w:ascii="宋体" w:hAnsi="宋体" w:eastAsia="宋体" w:cs="宋体"/>
          <w:color w:val="auto"/>
          <w:highlight w:val="none"/>
          <w:lang w:val="en-US" w:eastAsia="zh-CN"/>
        </w:rPr>
        <w:t>还</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计及FPSO</w:t>
      </w:r>
      <w:r>
        <w:rPr>
          <w:rFonts w:hint="eastAsia" w:ascii="宋体" w:hAnsi="宋体" w:eastAsia="宋体" w:cs="宋体"/>
          <w:color w:val="auto"/>
          <w:highlight w:val="none"/>
        </w:rPr>
        <w:t>运动引起的动力影响。</w:t>
      </w:r>
    </w:p>
    <w:p w14:paraId="3F6D533B">
      <w:pPr>
        <w:pStyle w:val="260"/>
        <w:outlineLvl w:val="1"/>
        <w:rPr>
          <w:rFonts w:hint="default" w:ascii="Times New Roman" w:hAnsi="Times New Roman" w:cs="Times New Roman"/>
          <w:color w:val="auto"/>
          <w:highlight w:val="none"/>
        </w:rPr>
      </w:pPr>
      <w:bookmarkStart w:id="1003" w:name="_Toc9558"/>
      <w:bookmarkStart w:id="1004" w:name="_Toc6674"/>
      <w:bookmarkStart w:id="1005" w:name="_Toc2885"/>
      <w:bookmarkStart w:id="1006" w:name="_Toc21735"/>
      <w:bookmarkStart w:id="1007" w:name="_Toc17764"/>
      <w:bookmarkStart w:id="1008" w:name="_Toc23403"/>
      <w:bookmarkStart w:id="1009" w:name="_Toc183727700"/>
      <w:bookmarkStart w:id="1010" w:name="_Toc12434"/>
      <w:bookmarkStart w:id="1011" w:name="_Toc14389"/>
      <w:r>
        <w:rPr>
          <w:rFonts w:hint="default" w:ascii="Times New Roman" w:hAnsi="Times New Roman" w:cs="Times New Roman"/>
          <w:color w:val="auto"/>
          <w:highlight w:val="none"/>
        </w:rPr>
        <w:t>设备管系</w:t>
      </w:r>
      <w:bookmarkEnd w:id="1003"/>
      <w:bookmarkEnd w:id="1004"/>
      <w:bookmarkEnd w:id="1005"/>
      <w:bookmarkEnd w:id="1006"/>
      <w:bookmarkEnd w:id="1007"/>
      <w:bookmarkEnd w:id="1008"/>
      <w:bookmarkEnd w:id="1009"/>
      <w:bookmarkEnd w:id="1010"/>
      <w:bookmarkEnd w:id="1011"/>
    </w:p>
    <w:bookmarkEnd w:id="946"/>
    <w:bookmarkEnd w:id="947"/>
    <w:bookmarkEnd w:id="948"/>
    <w:p w14:paraId="75A4B0A5">
      <w:pPr>
        <w:pStyle w:val="261"/>
        <w:numPr>
          <w:ilvl w:val="-1"/>
          <w:numId w:val="0"/>
        </w:numPr>
        <w:spacing w:before="0" w:beforeLines="0" w:after="0" w:afterLines="0"/>
        <w:ind w:firstLine="42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船体设备管系应满足12.2的要求。上部模块</w:t>
      </w:r>
      <w:r>
        <w:rPr>
          <w:rFonts w:hint="eastAsia" w:ascii="宋体" w:hAnsi="宋体" w:eastAsia="宋体" w:cs="宋体"/>
          <w:color w:val="auto"/>
          <w:highlight w:val="none"/>
        </w:rPr>
        <w:t>设备管系应满足</w:t>
      </w:r>
      <w:r>
        <w:rPr>
          <w:rFonts w:hint="eastAsia" w:ascii="宋体" w:hAnsi="宋体" w:eastAsia="宋体" w:cs="宋体"/>
          <w:color w:val="auto"/>
          <w:highlight w:val="none"/>
          <w:lang w:val="en-US" w:eastAsia="zh-CN"/>
        </w:rPr>
        <w:t xml:space="preserve">GB </w:t>
      </w:r>
      <w:r>
        <w:rPr>
          <w:rFonts w:hint="eastAsia" w:ascii="宋体" w:hAnsi="宋体" w:cs="宋体"/>
          <w:color w:val="auto"/>
          <w:highlight w:val="none"/>
          <w:lang w:val="en-US" w:eastAsia="zh-CN"/>
        </w:rPr>
        <w:t>46766</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要求。</w:t>
      </w:r>
    </w:p>
    <w:p w14:paraId="04D2D6F6">
      <w:pPr>
        <w:pStyle w:val="259"/>
        <w:numPr>
          <w:ilvl w:val="0"/>
          <w:numId w:val="33"/>
        </w:numPr>
        <w:outlineLvl w:val="0"/>
        <w:rPr>
          <w:rFonts w:hint="default" w:ascii="Times New Roman" w:hAnsi="Times New Roman" w:cs="Times New Roman"/>
          <w:color w:val="auto"/>
          <w:highlight w:val="none"/>
        </w:rPr>
      </w:pPr>
      <w:bookmarkStart w:id="1012" w:name="_Toc1964"/>
      <w:bookmarkStart w:id="1013" w:name="_Toc13850"/>
      <w:r>
        <w:rPr>
          <w:rFonts w:hint="default" w:ascii="Times New Roman" w:hAnsi="Times New Roman" w:cs="Times New Roman"/>
          <w:color w:val="auto"/>
          <w:highlight w:val="none"/>
        </w:rPr>
        <w:t>暖通</w:t>
      </w:r>
      <w:bookmarkEnd w:id="949"/>
      <w:bookmarkEnd w:id="950"/>
      <w:bookmarkEnd w:id="951"/>
      <w:bookmarkEnd w:id="952"/>
      <w:bookmarkEnd w:id="953"/>
      <w:bookmarkEnd w:id="954"/>
      <w:bookmarkEnd w:id="955"/>
      <w:bookmarkEnd w:id="956"/>
      <w:bookmarkEnd w:id="1012"/>
      <w:bookmarkEnd w:id="1013"/>
    </w:p>
    <w:p w14:paraId="4254D585">
      <w:pPr>
        <w:pStyle w:val="260"/>
        <w:numPr>
          <w:ilvl w:val="1"/>
          <w:numId w:val="56"/>
        </w:numPr>
        <w:outlineLvl w:val="1"/>
        <w:rPr>
          <w:rFonts w:ascii="Times New Roman"/>
          <w:color w:val="auto"/>
          <w:highlight w:val="none"/>
        </w:rPr>
      </w:pPr>
      <w:bookmarkStart w:id="1014" w:name="_Toc6708"/>
      <w:bookmarkStart w:id="1015" w:name="_Toc3075"/>
      <w:bookmarkStart w:id="1016" w:name="_Toc22615"/>
      <w:bookmarkStart w:id="1017" w:name="_Toc14667"/>
      <w:bookmarkStart w:id="1018" w:name="_Toc5801"/>
      <w:bookmarkStart w:id="1019" w:name="_Toc17035"/>
      <w:bookmarkStart w:id="1020" w:name="_Toc12423"/>
      <w:bookmarkStart w:id="1021" w:name="_Toc23265"/>
      <w:bookmarkStart w:id="1022" w:name="_Toc8749"/>
      <w:r>
        <w:rPr>
          <w:rFonts w:hint="eastAsia" w:ascii="Times New Roman"/>
          <w:color w:val="auto"/>
          <w:highlight w:val="none"/>
          <w:lang w:val="en-US" w:eastAsia="zh-CN"/>
        </w:rPr>
        <w:t>通用要求</w:t>
      </w:r>
      <w:bookmarkEnd w:id="1014"/>
      <w:bookmarkEnd w:id="1015"/>
      <w:bookmarkEnd w:id="1016"/>
      <w:bookmarkEnd w:id="1017"/>
      <w:bookmarkEnd w:id="1018"/>
      <w:bookmarkEnd w:id="1019"/>
    </w:p>
    <w:p w14:paraId="2E466EEC">
      <w:pPr>
        <w:pStyle w:val="261"/>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b w:val="0"/>
          <w:bCs w:val="0"/>
          <w:color w:val="auto"/>
          <w:highlight w:val="none"/>
        </w:rPr>
      </w:pPr>
      <w:bookmarkStart w:id="1023" w:name="_Toc9544"/>
      <w:r>
        <w:rPr>
          <w:rFonts w:hint="eastAsia" w:ascii="宋体" w:hAnsi="宋体" w:eastAsia="宋体" w:cs="宋体"/>
          <w:b w:val="0"/>
          <w:bCs w:val="0"/>
          <w:color w:val="auto"/>
          <w:highlight w:val="none"/>
          <w:lang w:val="en-US" w:eastAsia="zh-CN"/>
        </w:rPr>
        <w:t>除气锁间外，</w:t>
      </w:r>
      <w:r>
        <w:rPr>
          <w:rFonts w:hint="eastAsia" w:ascii="宋体" w:hAnsi="宋体" w:eastAsia="宋体" w:cs="宋体"/>
          <w:b w:val="0"/>
          <w:bCs w:val="0"/>
          <w:color w:val="auto"/>
          <w:highlight w:val="none"/>
        </w:rPr>
        <w:t>危险区和非危险区的通风系统应</w:t>
      </w:r>
      <w:r>
        <w:rPr>
          <w:rFonts w:hint="eastAsia" w:ascii="宋体" w:hAnsi="宋体" w:eastAsia="宋体" w:cs="宋体"/>
          <w:b w:val="0"/>
          <w:bCs w:val="0"/>
          <w:color w:val="auto"/>
          <w:highlight w:val="none"/>
          <w:lang w:val="en-US" w:eastAsia="zh-CN"/>
        </w:rPr>
        <w:t>相互</w:t>
      </w:r>
      <w:r>
        <w:rPr>
          <w:rFonts w:hint="eastAsia" w:ascii="宋体" w:hAnsi="宋体" w:eastAsia="宋体" w:cs="宋体"/>
          <w:b w:val="0"/>
          <w:bCs w:val="0"/>
          <w:color w:val="auto"/>
          <w:highlight w:val="none"/>
        </w:rPr>
        <w:t>独立。</w:t>
      </w:r>
      <w:bookmarkEnd w:id="1023"/>
    </w:p>
    <w:p w14:paraId="003F3F18">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color w:val="auto"/>
          <w:highlight w:val="none"/>
        </w:rPr>
      </w:pPr>
      <w:r>
        <w:rPr>
          <w:rFonts w:ascii="Times New Roman" w:eastAsiaTheme="minorEastAsia"/>
          <w:color w:val="auto"/>
          <w:highlight w:val="none"/>
        </w:rPr>
        <w:t>气锁间应进行机械通风，并应对相邻的危险区域保持正压。</w:t>
      </w:r>
    </w:p>
    <w:p w14:paraId="3510CAE1">
      <w:pPr>
        <w:pStyle w:val="261"/>
        <w:keepNext w:val="0"/>
        <w:keepLines w:val="0"/>
        <w:pageBreakBefore w:val="0"/>
        <w:widowControl/>
        <w:kinsoku/>
        <w:wordWrap/>
        <w:overflowPunct/>
        <w:topLinePunct w:val="0"/>
        <w:autoSpaceDE/>
        <w:autoSpaceDN/>
        <w:bidi w:val="0"/>
        <w:adjustRightInd/>
        <w:snapToGrid/>
        <w:spacing w:beforeLines="0" w:afterLines="0"/>
        <w:textAlignment w:val="auto"/>
        <w:outlineLvl w:val="9"/>
        <w:rPr>
          <w:rFonts w:hint="default" w:ascii="Times New Roman" w:hAnsi="Times New Roman" w:cs="Times New Roman" w:eastAsiaTheme="minorEastAsia"/>
          <w:b w:val="0"/>
          <w:bCs w:val="0"/>
          <w:color w:val="auto"/>
          <w:highlight w:val="none"/>
        </w:rPr>
      </w:pPr>
      <w:r>
        <w:rPr>
          <w:rFonts w:hint="default" w:ascii="Times New Roman" w:hAnsi="Times New Roman" w:cs="Times New Roman" w:eastAsiaTheme="minorEastAsia"/>
          <w:b w:val="0"/>
          <w:bCs w:val="0"/>
          <w:color w:val="auto"/>
          <w:highlight w:val="none"/>
        </w:rPr>
        <w:t>通风系统的进</w:t>
      </w:r>
      <w:r>
        <w:rPr>
          <w:rFonts w:hint="default" w:ascii="Times New Roman" w:hAnsi="Times New Roman" w:cs="Times New Roman" w:eastAsiaTheme="minorEastAsia"/>
          <w:b w:val="0"/>
          <w:bCs w:val="0"/>
          <w:color w:val="auto"/>
          <w:highlight w:val="none"/>
          <w:lang w:val="en-US" w:eastAsia="zh-CN"/>
        </w:rPr>
        <w:t>气</w:t>
      </w:r>
      <w:r>
        <w:rPr>
          <w:rFonts w:hint="default" w:ascii="Times New Roman" w:hAnsi="Times New Roman" w:cs="Times New Roman" w:eastAsiaTheme="minorEastAsia"/>
          <w:b w:val="0"/>
          <w:bCs w:val="0"/>
          <w:color w:val="auto"/>
          <w:highlight w:val="none"/>
        </w:rPr>
        <w:t>口应位于非危险区</w:t>
      </w:r>
      <w:r>
        <w:rPr>
          <w:rFonts w:hint="default" w:ascii="Times New Roman" w:hAnsi="Times New Roman" w:cs="Times New Roman" w:eastAsiaTheme="minorEastAsia"/>
          <w:b w:val="0"/>
          <w:bCs w:val="0"/>
          <w:color w:val="auto"/>
          <w:highlight w:val="none"/>
          <w:lang w:eastAsia="zh-CN"/>
        </w:rPr>
        <w:t>，</w:t>
      </w:r>
      <w:r>
        <w:rPr>
          <w:rFonts w:hint="default" w:ascii="Times New Roman" w:hAnsi="Times New Roman" w:cs="Times New Roman" w:eastAsiaTheme="minorEastAsia"/>
          <w:b w:val="0"/>
          <w:bCs w:val="0"/>
          <w:color w:val="auto"/>
          <w:highlight w:val="none"/>
          <w:lang w:val="en-US" w:eastAsia="zh-CN"/>
        </w:rPr>
        <w:t>封闭的</w:t>
      </w:r>
      <w:r>
        <w:rPr>
          <w:rFonts w:hint="default" w:ascii="Times New Roman" w:hAnsi="Times New Roman" w:cs="Times New Roman" w:eastAsiaTheme="minorEastAsia"/>
          <w:b w:val="0"/>
          <w:bCs w:val="0"/>
          <w:color w:val="auto"/>
          <w:highlight w:val="none"/>
        </w:rPr>
        <w:t>非危险区进</w:t>
      </w:r>
      <w:r>
        <w:rPr>
          <w:rFonts w:hint="default" w:ascii="Times New Roman" w:hAnsi="Times New Roman" w:cs="Times New Roman" w:eastAsiaTheme="minorEastAsia"/>
          <w:b w:val="0"/>
          <w:bCs w:val="0"/>
          <w:color w:val="auto"/>
          <w:highlight w:val="none"/>
          <w:lang w:val="en-US" w:eastAsia="zh-CN"/>
        </w:rPr>
        <w:t>气</w:t>
      </w:r>
      <w:r>
        <w:rPr>
          <w:rFonts w:hint="default" w:ascii="Times New Roman" w:hAnsi="Times New Roman" w:cs="Times New Roman" w:eastAsiaTheme="minorEastAsia"/>
          <w:b w:val="0"/>
          <w:bCs w:val="0"/>
          <w:color w:val="auto"/>
          <w:highlight w:val="none"/>
        </w:rPr>
        <w:t>口距离危险区不应小于3</w:t>
      </w:r>
      <w:r>
        <w:rPr>
          <w:rFonts w:hint="default" w:ascii="Times New Roman" w:hAnsi="Times New Roman" w:cs="Times New Roman" w:eastAsiaTheme="minorEastAsia"/>
          <w:color w:val="auto"/>
          <w:sz w:val="21"/>
          <w:szCs w:val="21"/>
          <w:highlight w:val="none"/>
          <w:lang w:val="en-US" w:eastAsia="zh-CN"/>
        </w:rPr>
        <w:t xml:space="preserve"> </w:t>
      </w:r>
      <w:r>
        <w:rPr>
          <w:rFonts w:hint="default" w:ascii="Times New Roman" w:hAnsi="Times New Roman" w:cs="Times New Roman" w:eastAsiaTheme="minorEastAsia"/>
          <w:b w:val="0"/>
          <w:bCs w:val="0"/>
          <w:color w:val="auto"/>
          <w:highlight w:val="none"/>
        </w:rPr>
        <w:t>m</w:t>
      </w:r>
      <w:r>
        <w:rPr>
          <w:rFonts w:hint="default" w:ascii="Times New Roman" w:hAnsi="Times New Roman" w:cs="Times New Roman" w:eastAsiaTheme="minorEastAsia"/>
          <w:b w:val="0"/>
          <w:bCs w:val="0"/>
          <w:color w:val="auto"/>
          <w:highlight w:val="none"/>
          <w:lang w:eastAsia="zh-CN"/>
        </w:rPr>
        <w:t>。</w:t>
      </w:r>
    </w:p>
    <w:p w14:paraId="35F954BB">
      <w:pPr>
        <w:pStyle w:val="261"/>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b w:val="0"/>
          <w:bCs w:val="0"/>
          <w:color w:val="auto"/>
          <w:highlight w:val="none"/>
        </w:rPr>
      </w:pPr>
      <w:bookmarkStart w:id="1024" w:name="_Toc30180"/>
      <w:r>
        <w:rPr>
          <w:rFonts w:hint="eastAsia" w:ascii="宋体" w:hAnsi="宋体" w:eastAsia="宋体" w:cs="宋体"/>
          <w:b w:val="0"/>
          <w:bCs w:val="0"/>
          <w:color w:val="auto"/>
          <w:highlight w:val="none"/>
        </w:rPr>
        <w:t>通风系统的排</w:t>
      </w:r>
      <w:r>
        <w:rPr>
          <w:rFonts w:hint="eastAsia" w:ascii="宋体" w:hAnsi="宋体" w:eastAsia="宋体" w:cs="宋体"/>
          <w:b w:val="0"/>
          <w:bCs w:val="0"/>
          <w:color w:val="auto"/>
          <w:highlight w:val="none"/>
          <w:lang w:val="en-US" w:eastAsia="zh-CN"/>
        </w:rPr>
        <w:t>气</w:t>
      </w:r>
      <w:r>
        <w:rPr>
          <w:rFonts w:hint="eastAsia" w:ascii="宋体" w:hAnsi="宋体" w:eastAsia="宋体" w:cs="宋体"/>
          <w:b w:val="0"/>
          <w:bCs w:val="0"/>
          <w:color w:val="auto"/>
          <w:highlight w:val="none"/>
        </w:rPr>
        <w:t>口应位于危险</w:t>
      </w:r>
      <w:r>
        <w:rPr>
          <w:rFonts w:hint="eastAsia" w:ascii="宋体" w:hAnsi="宋体" w:eastAsia="宋体" w:cs="宋体"/>
          <w:b w:val="0"/>
          <w:bCs w:val="0"/>
          <w:color w:val="auto"/>
          <w:highlight w:val="none"/>
          <w:lang w:val="en-US" w:eastAsia="zh-CN"/>
        </w:rPr>
        <w:t>等级不高</w:t>
      </w:r>
      <w:r>
        <w:rPr>
          <w:rFonts w:hint="eastAsia" w:ascii="宋体" w:hAnsi="宋体" w:eastAsia="宋体" w:cs="宋体"/>
          <w:b w:val="0"/>
          <w:bCs w:val="0"/>
          <w:color w:val="auto"/>
          <w:highlight w:val="none"/>
        </w:rPr>
        <w:t>于该通风区域的开敞空间。</w:t>
      </w:r>
      <w:bookmarkEnd w:id="1024"/>
    </w:p>
    <w:p w14:paraId="6C119231">
      <w:pPr>
        <w:pStyle w:val="326"/>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通风机应在其处所外易于到达的</w:t>
      </w:r>
      <w:r>
        <w:rPr>
          <w:rFonts w:hint="eastAsia" w:ascii="宋体" w:hAnsi="宋体" w:eastAsia="宋体" w:cs="宋体"/>
          <w:b w:val="0"/>
          <w:bCs w:val="0"/>
          <w:color w:val="auto"/>
          <w:highlight w:val="none"/>
          <w:lang w:val="en-US" w:eastAsia="zh-CN"/>
        </w:rPr>
        <w:t>位置设置</w:t>
      </w:r>
      <w:r>
        <w:rPr>
          <w:rFonts w:hint="eastAsia" w:ascii="宋体" w:hAnsi="宋体" w:eastAsia="宋体" w:cs="宋体"/>
          <w:b w:val="0"/>
          <w:bCs w:val="0"/>
          <w:color w:val="auto"/>
          <w:highlight w:val="none"/>
        </w:rPr>
        <w:t>应急关断设施</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厨房、机器处所及原油泵舱的</w:t>
      </w:r>
      <w:r>
        <w:rPr>
          <w:rFonts w:hint="eastAsia" w:ascii="宋体" w:hAnsi="宋体" w:eastAsia="宋体" w:cs="宋体"/>
          <w:b w:val="0"/>
          <w:bCs w:val="0"/>
          <w:color w:val="auto"/>
          <w:highlight w:val="none"/>
          <w:lang w:val="en-US" w:eastAsia="zh-CN"/>
        </w:rPr>
        <w:t>通风机</w:t>
      </w:r>
      <w:r>
        <w:rPr>
          <w:rFonts w:hint="eastAsia" w:ascii="宋体" w:hAnsi="宋体" w:eastAsia="宋体" w:cs="宋体"/>
          <w:b w:val="0"/>
          <w:bCs w:val="0"/>
          <w:color w:val="auto"/>
          <w:highlight w:val="none"/>
        </w:rPr>
        <w:t>应急关断设施应分别独立设置</w:t>
      </w:r>
      <w:r>
        <w:rPr>
          <w:rFonts w:hint="eastAsia" w:ascii="宋体" w:hAnsi="宋体" w:eastAsia="宋体" w:cs="宋体"/>
          <w:b w:val="0"/>
          <w:bCs w:val="0"/>
          <w:color w:val="auto"/>
          <w:highlight w:val="none"/>
          <w:lang w:eastAsia="zh-CN"/>
        </w:rPr>
        <w:t>。</w:t>
      </w:r>
    </w:p>
    <w:p w14:paraId="684DE425">
      <w:pPr>
        <w:pStyle w:val="326"/>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防火风闸应</w:t>
      </w:r>
      <w:r>
        <w:rPr>
          <w:rFonts w:hint="eastAsia" w:ascii="宋体" w:hAnsi="宋体" w:eastAsia="宋体" w:cs="宋体"/>
          <w:b w:val="0"/>
          <w:bCs w:val="0"/>
          <w:color w:val="auto"/>
          <w:highlight w:val="none"/>
          <w:lang w:val="en-US" w:eastAsia="zh-CN"/>
        </w:rPr>
        <w:t>能</w:t>
      </w:r>
      <w:r>
        <w:rPr>
          <w:rFonts w:hint="eastAsia" w:ascii="宋体" w:hAnsi="宋体" w:eastAsia="宋体" w:cs="宋体"/>
          <w:b w:val="0"/>
          <w:bCs w:val="0"/>
          <w:color w:val="auto"/>
          <w:highlight w:val="none"/>
        </w:rPr>
        <w:t>在该通风</w:t>
      </w:r>
      <w:r>
        <w:rPr>
          <w:rFonts w:hint="eastAsia" w:ascii="宋体" w:hAnsi="宋体" w:eastAsia="宋体" w:cs="宋体"/>
          <w:b w:val="0"/>
          <w:bCs w:val="0"/>
          <w:color w:val="auto"/>
          <w:highlight w:val="none"/>
          <w:lang w:val="en-US" w:eastAsia="zh-CN"/>
        </w:rPr>
        <w:t>区域</w:t>
      </w:r>
      <w:r>
        <w:rPr>
          <w:rFonts w:hint="eastAsia" w:ascii="宋体" w:hAnsi="宋体" w:eastAsia="宋体" w:cs="宋体"/>
          <w:b w:val="0"/>
          <w:bCs w:val="0"/>
          <w:color w:val="auto"/>
          <w:highlight w:val="none"/>
        </w:rPr>
        <w:t>的内</w:t>
      </w: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rPr>
        <w:t>外部关闭。</w:t>
      </w:r>
    </w:p>
    <w:p w14:paraId="734F947D">
      <w:pPr>
        <w:pStyle w:val="326"/>
        <w:keepNext w:val="0"/>
        <w:keepLines w:val="0"/>
        <w:pageBreakBefore w:val="0"/>
        <w:widowControl/>
        <w:kinsoku/>
        <w:wordWrap/>
        <w:overflowPunct/>
        <w:topLinePunct w:val="0"/>
        <w:autoSpaceDE/>
        <w:autoSpaceDN/>
        <w:bidi w:val="0"/>
        <w:adjustRightInd/>
        <w:snapToGrid/>
        <w:spacing w:before="0" w:beforeLines="0" w:after="0" w:afterLines="0"/>
        <w:jc w:val="both"/>
        <w:textAlignment w:val="auto"/>
        <w:outlineLvl w:val="9"/>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lang w:val="en-US" w:eastAsia="zh-CN"/>
        </w:rPr>
        <w:t>采用全淹没式气体灭火系统保护的区域，在灭火剂释放之前，应确保该区域所有通风系统进气口和排气口均关闭。</w:t>
      </w:r>
    </w:p>
    <w:p w14:paraId="61F8CAE2">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b w:val="0"/>
          <w:bCs w:val="0"/>
          <w:color w:val="auto"/>
          <w:highlight w:val="none"/>
        </w:rPr>
      </w:pPr>
      <w:bookmarkStart w:id="1025" w:name="_Toc28369"/>
      <w:r>
        <w:rPr>
          <w:rFonts w:hint="eastAsia" w:ascii="宋体" w:hAnsi="宋体" w:eastAsia="宋体" w:cs="宋体"/>
          <w:color w:val="auto"/>
          <w:highlight w:val="none"/>
        </w:rPr>
        <w:t>可能积聚</w:t>
      </w:r>
      <w:r>
        <w:rPr>
          <w:rFonts w:hint="eastAsia" w:ascii="宋体" w:hAnsi="宋体" w:eastAsia="宋体" w:cs="宋体"/>
          <w:color w:val="auto"/>
          <w:highlight w:val="none"/>
          <w:lang w:val="en-US" w:eastAsia="zh-CN"/>
        </w:rPr>
        <w:t>六氟化硫</w:t>
      </w:r>
      <w:r>
        <w:rPr>
          <w:rFonts w:hint="eastAsia" w:ascii="宋体" w:hAnsi="宋体" w:eastAsia="宋体" w:cs="宋体"/>
          <w:color w:val="auto"/>
          <w:highlight w:val="none"/>
        </w:rPr>
        <w:t>气体的</w:t>
      </w:r>
      <w:r>
        <w:rPr>
          <w:rFonts w:hint="eastAsia" w:ascii="宋体" w:hAnsi="宋体" w:eastAsia="宋体" w:cs="宋体"/>
          <w:color w:val="auto"/>
          <w:highlight w:val="none"/>
          <w:lang w:val="en-US" w:eastAsia="zh-CN"/>
        </w:rPr>
        <w:t>封闭处所</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应设置换气次数不小于</w:t>
      </w:r>
      <w:r>
        <w:rPr>
          <w:rFonts w:hint="eastAsia" w:ascii="宋体" w:hAnsi="宋体" w:eastAsia="宋体" w:cs="宋体"/>
          <w:color w:val="auto"/>
          <w:highlight w:val="none"/>
        </w:rPr>
        <w:t>每小时12次的排风系统</w:t>
      </w:r>
      <w:r>
        <w:rPr>
          <w:rFonts w:hint="eastAsia" w:ascii="宋体" w:hAnsi="宋体" w:eastAsia="宋体" w:cs="宋体"/>
          <w:color w:val="auto"/>
          <w:highlight w:val="none"/>
          <w:lang w:val="en-US" w:eastAsia="zh-CN"/>
        </w:rPr>
        <w:t>。</w:t>
      </w:r>
      <w:bookmarkEnd w:id="1025"/>
    </w:p>
    <w:p w14:paraId="7D3BB0C4">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color w:val="auto"/>
          <w:highlight w:val="none"/>
        </w:rPr>
      </w:pPr>
      <w:r>
        <w:rPr>
          <w:rFonts w:hint="eastAsia" w:ascii="宋体" w:hAnsi="宋体" w:eastAsia="宋体" w:cs="宋体"/>
          <w:color w:val="auto"/>
          <w:highlight w:val="none"/>
          <w:lang w:val="en-US" w:eastAsia="zh-CN"/>
        </w:rPr>
        <w:t>实验室应设置换气次数不小于每小时12次的</w:t>
      </w:r>
      <w:r>
        <w:rPr>
          <w:rFonts w:hint="eastAsia" w:ascii="宋体" w:hAnsi="宋体" w:eastAsia="宋体" w:cs="宋体"/>
          <w:color w:val="auto"/>
          <w:highlight w:val="none"/>
        </w:rPr>
        <w:t>排风系统</w:t>
      </w:r>
      <w:r>
        <w:rPr>
          <w:rFonts w:hint="eastAsia" w:ascii="宋体" w:hAnsi="宋体" w:eastAsia="宋体" w:cs="宋体"/>
          <w:color w:val="auto"/>
          <w:highlight w:val="none"/>
          <w:lang w:val="en-US" w:eastAsia="zh-CN"/>
        </w:rPr>
        <w:t>。</w:t>
      </w:r>
    </w:p>
    <w:p w14:paraId="21D6A0AD">
      <w:pPr>
        <w:pStyle w:val="261"/>
        <w:keepNext w:val="0"/>
        <w:keepLines w:val="0"/>
        <w:pageBreakBefore w:val="0"/>
        <w:widowControl/>
        <w:kinsoku/>
        <w:wordWrap/>
        <w:overflowPunct/>
        <w:topLinePunct w:val="0"/>
        <w:autoSpaceDE/>
        <w:autoSpaceDN/>
        <w:bidi w:val="0"/>
        <w:adjustRightInd/>
        <w:snapToGrid/>
        <w:spacing w:beforeLines="0" w:afterLines="0"/>
        <w:textAlignment w:val="auto"/>
        <w:outlineLvl w:val="9"/>
        <w:rPr>
          <w:rFonts w:hint="eastAsia"/>
        </w:rPr>
      </w:pPr>
      <w:r>
        <w:rPr>
          <w:rFonts w:hint="eastAsia" w:ascii="宋体" w:hAnsi="宋体" w:eastAsia="宋体" w:cs="宋体"/>
          <w:color w:val="auto"/>
          <w:highlight w:val="none"/>
        </w:rPr>
        <w:t>施焊的</w:t>
      </w:r>
      <w:r>
        <w:rPr>
          <w:rFonts w:hint="eastAsia" w:ascii="宋体" w:hAnsi="宋体" w:eastAsia="宋体" w:cs="宋体"/>
          <w:color w:val="auto"/>
          <w:highlight w:val="none"/>
          <w:lang w:val="en-US" w:eastAsia="zh-CN"/>
        </w:rPr>
        <w:t>封闭</w:t>
      </w:r>
      <w:r>
        <w:rPr>
          <w:rFonts w:hint="eastAsia" w:ascii="宋体" w:hAnsi="宋体" w:eastAsia="宋体" w:cs="宋体"/>
          <w:color w:val="auto"/>
          <w:highlight w:val="none"/>
        </w:rPr>
        <w:t>处所</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换气次数应</w:t>
      </w:r>
      <w:r>
        <w:rPr>
          <w:rFonts w:hint="eastAsia" w:ascii="宋体" w:hAnsi="宋体" w:eastAsia="宋体" w:cs="宋体"/>
          <w:color w:val="auto"/>
          <w:highlight w:val="none"/>
          <w:lang w:val="en-US" w:eastAsia="zh-CN"/>
        </w:rPr>
        <w:t>不小于</w:t>
      </w:r>
      <w:r>
        <w:rPr>
          <w:rFonts w:hint="eastAsia" w:ascii="宋体" w:hAnsi="宋体" w:eastAsia="宋体" w:cs="宋体"/>
          <w:color w:val="auto"/>
          <w:highlight w:val="none"/>
        </w:rPr>
        <w:t>每小时8次。</w:t>
      </w:r>
    </w:p>
    <w:p w14:paraId="1494D88D">
      <w:pPr>
        <w:pStyle w:val="326"/>
        <w:keepNext w:val="0"/>
        <w:keepLines w:val="0"/>
        <w:pageBreakBefore w:val="0"/>
        <w:widowControl/>
        <w:kinsoku/>
        <w:wordWrap/>
        <w:overflowPunct/>
        <w:topLinePunct w:val="0"/>
        <w:autoSpaceDE/>
        <w:autoSpaceDN/>
        <w:bidi w:val="0"/>
        <w:adjustRightInd/>
        <w:snapToGrid/>
        <w:textAlignment w:val="auto"/>
        <w:rPr>
          <w:rFonts w:hint="eastAsia" w:ascii="宋体" w:hAnsi="宋体" w:eastAsia="宋体" w:cs="宋体"/>
          <w:b w:val="0"/>
          <w:bCs w:val="0"/>
          <w:color w:val="auto"/>
          <w:highlight w:val="none"/>
        </w:rPr>
      </w:pPr>
      <w:r>
        <w:rPr>
          <w:rFonts w:hint="eastAsia" w:ascii="宋体" w:hAnsi="宋体" w:eastAsia="宋体" w:cs="宋体"/>
          <w:b w:val="0"/>
          <w:bCs w:val="0"/>
          <w:color w:val="auto"/>
          <w:highlight w:val="none"/>
        </w:rPr>
        <w:t>暖通空调系统</w:t>
      </w:r>
      <w:r>
        <w:rPr>
          <w:rFonts w:hint="eastAsia" w:ascii="宋体" w:hAnsi="宋体" w:eastAsia="宋体" w:cs="宋体"/>
          <w:b w:val="0"/>
          <w:bCs w:val="0"/>
          <w:color w:val="auto"/>
          <w:highlight w:val="none"/>
          <w:lang w:val="en-US" w:eastAsia="zh-CN"/>
        </w:rPr>
        <w:t>的</w:t>
      </w:r>
      <w:r>
        <w:rPr>
          <w:rFonts w:hint="eastAsia" w:ascii="宋体" w:hAnsi="宋体" w:eastAsia="宋体" w:cs="宋体"/>
          <w:b w:val="0"/>
          <w:bCs w:val="0"/>
          <w:color w:val="auto"/>
          <w:highlight w:val="none"/>
        </w:rPr>
        <w:t>电加热器控制</w:t>
      </w:r>
      <w:r>
        <w:rPr>
          <w:rFonts w:hint="eastAsia" w:ascii="宋体" w:hAnsi="宋体" w:eastAsia="宋体" w:cs="宋体"/>
          <w:b w:val="0"/>
          <w:bCs w:val="0"/>
          <w:color w:val="auto"/>
          <w:highlight w:val="none"/>
          <w:lang w:val="en-US" w:eastAsia="zh-CN"/>
        </w:rPr>
        <w:t>应满足以下要求</w:t>
      </w:r>
      <w:r>
        <w:rPr>
          <w:rFonts w:hint="eastAsia" w:ascii="宋体" w:hAnsi="宋体" w:eastAsia="宋体" w:cs="宋体"/>
          <w:b w:val="0"/>
          <w:bCs w:val="0"/>
          <w:color w:val="auto"/>
          <w:highlight w:val="none"/>
        </w:rPr>
        <w:t>：</w:t>
      </w:r>
    </w:p>
    <w:p w14:paraId="529E5A7F">
      <w:pPr>
        <w:pStyle w:val="305"/>
        <w:numPr>
          <w:ilvl w:val="0"/>
          <w:numId w:val="57"/>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与风机联锁，风机不开时，电加热器不开；电加热器关闭后，风机关闭；</w:t>
      </w:r>
    </w:p>
    <w:p w14:paraId="1FCA081B">
      <w:pPr>
        <w:pStyle w:val="305"/>
        <w:numPr>
          <w:ilvl w:val="0"/>
          <w:numId w:val="57"/>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设置风量开关，无风时保持电加热器关闭；</w:t>
      </w:r>
    </w:p>
    <w:p w14:paraId="17EE7626">
      <w:pPr>
        <w:pStyle w:val="305"/>
        <w:numPr>
          <w:ilvl w:val="0"/>
          <w:numId w:val="57"/>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设置超温开关，温度超过设定值时切断加热器电源。</w:t>
      </w:r>
    </w:p>
    <w:p w14:paraId="65C0EDBA">
      <w:pPr>
        <w:pStyle w:val="261"/>
        <w:spacing w:before="0" w:beforeLines="0" w:after="0" w:afterLines="0"/>
        <w:jc w:val="both"/>
        <w:outlineLvl w:val="9"/>
        <w:rPr>
          <w:rFonts w:hint="eastAsia" w:ascii="宋体" w:hAnsi="宋体" w:eastAsia="宋体" w:cs="宋体"/>
          <w:b w:val="0"/>
          <w:bCs w:val="0"/>
          <w:color w:val="auto"/>
          <w:highlight w:val="none"/>
        </w:rPr>
      </w:pPr>
      <w:bookmarkStart w:id="1026" w:name="_Toc25400"/>
      <w:bookmarkStart w:id="1027" w:name="_Toc6155"/>
      <w:bookmarkStart w:id="1028" w:name="_Toc6207"/>
      <w:r>
        <w:rPr>
          <w:rFonts w:hint="eastAsia" w:ascii="宋体" w:hAnsi="宋体" w:eastAsia="宋体" w:cs="宋体"/>
          <w:b w:val="0"/>
          <w:bCs w:val="0"/>
          <w:color w:val="auto"/>
          <w:highlight w:val="none"/>
        </w:rPr>
        <w:t>通风管道及防火风闸应</w:t>
      </w:r>
      <w:r>
        <w:rPr>
          <w:rFonts w:hint="eastAsia" w:ascii="宋体" w:hAnsi="宋体" w:eastAsia="宋体" w:cs="宋体"/>
          <w:b w:val="0"/>
          <w:bCs w:val="0"/>
          <w:color w:val="auto"/>
          <w:highlight w:val="none"/>
          <w:lang w:eastAsia="zh-CN"/>
        </w:rPr>
        <w:t>满足</w:t>
      </w:r>
      <w:r>
        <w:rPr>
          <w:rFonts w:hint="eastAsia" w:ascii="宋体" w:hAnsi="宋体" w:eastAsia="宋体" w:cs="宋体"/>
          <w:b w:val="0"/>
          <w:bCs w:val="0"/>
          <w:color w:val="auto"/>
          <w:highlight w:val="none"/>
          <w:lang w:val="en-US" w:eastAsia="zh-CN"/>
        </w:rPr>
        <w:t>GB 46766的要求</w:t>
      </w:r>
      <w:r>
        <w:rPr>
          <w:rFonts w:hint="eastAsia" w:ascii="宋体" w:hAnsi="宋体" w:eastAsia="宋体" w:cs="宋体"/>
          <w:b w:val="0"/>
          <w:bCs w:val="0"/>
          <w:color w:val="auto"/>
          <w:highlight w:val="none"/>
        </w:rPr>
        <w:t>。</w:t>
      </w:r>
      <w:bookmarkEnd w:id="1026"/>
      <w:bookmarkEnd w:id="1027"/>
      <w:bookmarkEnd w:id="1028"/>
    </w:p>
    <w:p w14:paraId="4E7CF18D">
      <w:pPr>
        <w:pStyle w:val="260"/>
        <w:numPr>
          <w:ilvl w:val="1"/>
          <w:numId w:val="11"/>
        </w:numPr>
        <w:outlineLvl w:val="1"/>
        <w:rPr>
          <w:rFonts w:hint="eastAsia" w:ascii="Times New Roman" w:hAnsi="Times New Roman" w:cs="Times New Roman"/>
          <w:color w:val="auto"/>
          <w:highlight w:val="none"/>
          <w:lang w:eastAsia="zh-CN"/>
        </w:rPr>
      </w:pPr>
      <w:bookmarkStart w:id="1029" w:name="_Toc17657"/>
      <w:bookmarkStart w:id="1030" w:name="_Toc13848"/>
      <w:bookmarkStart w:id="1031" w:name="_Toc30333"/>
      <w:bookmarkStart w:id="1032" w:name="_Toc10880"/>
      <w:r>
        <w:rPr>
          <w:rFonts w:hint="eastAsia" w:ascii="Times New Roman" w:hAnsi="Times New Roman" w:cs="Times New Roman"/>
          <w:color w:val="auto"/>
          <w:highlight w:val="none"/>
          <w:lang w:val="en-US" w:eastAsia="zh-CN"/>
        </w:rPr>
        <w:t>起居处所</w:t>
      </w:r>
      <w:bookmarkEnd w:id="1029"/>
      <w:bookmarkEnd w:id="1030"/>
      <w:bookmarkEnd w:id="1031"/>
      <w:bookmarkEnd w:id="1032"/>
    </w:p>
    <w:p w14:paraId="1D0AA72F">
      <w:pPr>
        <w:pStyle w:val="261"/>
        <w:spacing w:before="0" w:beforeLines="0" w:after="0" w:afterLines="0"/>
        <w:outlineLvl w:val="9"/>
        <w:rPr>
          <w:rFonts w:ascii="Times New Roman" w:eastAsiaTheme="minorEastAsia"/>
          <w:color w:val="auto"/>
          <w:highlight w:val="none"/>
        </w:rPr>
      </w:pPr>
      <w:r>
        <w:rPr>
          <w:rFonts w:hint="eastAsia" w:ascii="Times New Roman" w:eastAsiaTheme="minorEastAsia"/>
          <w:color w:val="auto"/>
          <w:highlight w:val="none"/>
          <w:lang w:val="en-US" w:eastAsia="zh-CN"/>
        </w:rPr>
        <w:t>起居处所</w:t>
      </w:r>
      <w:r>
        <w:rPr>
          <w:rFonts w:ascii="Times New Roman" w:eastAsiaTheme="minorEastAsia"/>
          <w:color w:val="auto"/>
          <w:highlight w:val="none"/>
        </w:rPr>
        <w:t>相对外部环境应保持正压。</w:t>
      </w:r>
    </w:p>
    <w:p w14:paraId="323E3D3C">
      <w:pPr>
        <w:pStyle w:val="261"/>
        <w:spacing w:before="0" w:beforeLines="0" w:after="0" w:afterLines="0"/>
        <w:outlineLvl w:val="9"/>
        <w:rPr>
          <w:rFonts w:ascii="Times New Roman" w:eastAsiaTheme="minorEastAsia"/>
          <w:color w:val="auto"/>
          <w:highlight w:val="none"/>
        </w:rPr>
      </w:pPr>
      <w:r>
        <w:rPr>
          <w:rFonts w:ascii="Times New Roman" w:eastAsiaTheme="minorEastAsia"/>
          <w:color w:val="auto"/>
          <w:highlight w:val="none"/>
        </w:rPr>
        <w:t>卫生处所、淋浴间、医务室及厨房的排风管道应独立设置，其排风管应直接引至开敞</w:t>
      </w:r>
      <w:r>
        <w:rPr>
          <w:rFonts w:hint="eastAsia" w:ascii="Times New Roman" w:eastAsiaTheme="minorEastAsia"/>
          <w:color w:val="auto"/>
          <w:highlight w:val="none"/>
          <w:lang w:val="en-US" w:eastAsia="zh-CN"/>
        </w:rPr>
        <w:t>空间</w:t>
      </w:r>
      <w:r>
        <w:rPr>
          <w:rFonts w:ascii="Times New Roman" w:eastAsiaTheme="minorEastAsia"/>
          <w:color w:val="auto"/>
          <w:highlight w:val="none"/>
        </w:rPr>
        <w:t>。</w:t>
      </w:r>
    </w:p>
    <w:p w14:paraId="257AFE12">
      <w:pPr>
        <w:pStyle w:val="261"/>
        <w:spacing w:before="0" w:beforeLines="0" w:after="0" w:afterLines="0"/>
        <w:outlineLvl w:val="9"/>
        <w:rPr>
          <w:rFonts w:ascii="Times New Roman" w:eastAsiaTheme="minorEastAsia"/>
          <w:color w:val="auto"/>
          <w:highlight w:val="none"/>
        </w:rPr>
      </w:pPr>
      <w:r>
        <w:rPr>
          <w:rFonts w:ascii="Times New Roman" w:eastAsiaTheme="minorEastAsia"/>
          <w:color w:val="auto"/>
          <w:highlight w:val="none"/>
        </w:rPr>
        <w:t>卫生处所、医务室及厨房相对于</w:t>
      </w:r>
      <w:r>
        <w:rPr>
          <w:rFonts w:hint="eastAsia" w:ascii="Times New Roman" w:eastAsiaTheme="minorEastAsia"/>
          <w:color w:val="auto"/>
          <w:highlight w:val="none"/>
          <w:lang w:val="en-US" w:eastAsia="zh-CN"/>
        </w:rPr>
        <w:t>邻</w:t>
      </w:r>
      <w:r>
        <w:rPr>
          <w:rFonts w:ascii="Times New Roman" w:eastAsiaTheme="minorEastAsia"/>
          <w:color w:val="auto"/>
          <w:highlight w:val="none"/>
        </w:rPr>
        <w:t>近舱室应保持负压。</w:t>
      </w:r>
    </w:p>
    <w:p w14:paraId="17D01774">
      <w:pPr>
        <w:pStyle w:val="260"/>
        <w:numPr>
          <w:ilvl w:val="1"/>
          <w:numId w:val="11"/>
        </w:numPr>
        <w:outlineLvl w:val="1"/>
        <w:rPr>
          <w:rFonts w:hint="eastAsia" w:ascii="Times New Roman" w:hAnsi="Times New Roman" w:cs="Times New Roman"/>
          <w:color w:val="auto"/>
          <w:highlight w:val="none"/>
          <w:lang w:val="en-US" w:eastAsia="zh-CN"/>
        </w:rPr>
      </w:pPr>
      <w:bookmarkStart w:id="1033" w:name="_Toc1919"/>
      <w:bookmarkStart w:id="1034" w:name="_Toc24925"/>
      <w:bookmarkStart w:id="1035" w:name="_Toc2684"/>
      <w:bookmarkStart w:id="1036" w:name="_Toc254"/>
      <w:r>
        <w:rPr>
          <w:rFonts w:hint="eastAsia" w:ascii="Times New Roman" w:hAnsi="Times New Roman" w:cs="Times New Roman"/>
          <w:color w:val="auto"/>
          <w:highlight w:val="none"/>
          <w:lang w:val="en-US" w:eastAsia="zh-CN"/>
        </w:rPr>
        <w:t>船体舱室</w:t>
      </w:r>
      <w:bookmarkEnd w:id="1033"/>
      <w:bookmarkEnd w:id="1034"/>
      <w:bookmarkEnd w:id="1035"/>
      <w:bookmarkEnd w:id="1036"/>
    </w:p>
    <w:p w14:paraId="23C27FB6">
      <w:pPr>
        <w:pStyle w:val="261"/>
        <w:spacing w:before="0" w:beforeLines="0" w:after="0" w:afterLines="0"/>
        <w:outlineLvl w:val="9"/>
        <w:rPr>
          <w:rFonts w:ascii="Times New Roman" w:eastAsiaTheme="minorEastAsia"/>
          <w:color w:val="auto"/>
          <w:highlight w:val="none"/>
        </w:rPr>
      </w:pPr>
      <w:r>
        <w:rPr>
          <w:rFonts w:ascii="Times New Roman" w:eastAsiaTheme="minorEastAsia"/>
          <w:color w:val="auto"/>
          <w:highlight w:val="none"/>
        </w:rPr>
        <w:t>船体通风系统的外部进</w:t>
      </w:r>
      <w:r>
        <w:rPr>
          <w:rFonts w:hint="eastAsia" w:ascii="Times New Roman" w:eastAsiaTheme="minorEastAsia"/>
          <w:color w:val="auto"/>
          <w:highlight w:val="none"/>
          <w:lang w:val="en-US" w:eastAsia="zh-CN"/>
        </w:rPr>
        <w:t>气</w:t>
      </w:r>
      <w:r>
        <w:rPr>
          <w:rFonts w:ascii="Times New Roman" w:eastAsiaTheme="minorEastAsia"/>
          <w:color w:val="auto"/>
          <w:highlight w:val="none"/>
        </w:rPr>
        <w:t>口和排</w:t>
      </w:r>
      <w:r>
        <w:rPr>
          <w:rFonts w:hint="eastAsia" w:ascii="Times New Roman" w:eastAsiaTheme="minorEastAsia"/>
          <w:color w:val="auto"/>
          <w:highlight w:val="none"/>
          <w:lang w:val="en-US" w:eastAsia="zh-CN"/>
        </w:rPr>
        <w:t>气</w:t>
      </w:r>
      <w:r>
        <w:rPr>
          <w:rFonts w:ascii="Times New Roman" w:eastAsiaTheme="minorEastAsia"/>
          <w:color w:val="auto"/>
          <w:highlight w:val="none"/>
        </w:rPr>
        <w:t>口应设</w:t>
      </w:r>
      <w:r>
        <w:rPr>
          <w:rFonts w:hint="eastAsia" w:ascii="Times New Roman" w:eastAsiaTheme="minorEastAsia"/>
          <w:color w:val="auto"/>
          <w:highlight w:val="none"/>
          <w:lang w:val="en-US" w:eastAsia="zh-CN"/>
        </w:rPr>
        <w:t>置</w:t>
      </w:r>
      <w:r>
        <w:rPr>
          <w:rFonts w:ascii="Times New Roman" w:eastAsiaTheme="minorEastAsia"/>
          <w:color w:val="auto"/>
          <w:highlight w:val="none"/>
        </w:rPr>
        <w:t>风雨密关闭装置。</w:t>
      </w:r>
    </w:p>
    <w:p w14:paraId="1AEA9783">
      <w:pPr>
        <w:pStyle w:val="261"/>
        <w:spacing w:before="0" w:beforeLines="0" w:after="0" w:afterLines="0"/>
        <w:outlineLvl w:val="9"/>
        <w:rPr>
          <w:rFonts w:ascii="Times New Roman" w:eastAsiaTheme="minorEastAsia"/>
          <w:color w:val="auto"/>
          <w:highlight w:val="none"/>
        </w:rPr>
      </w:pPr>
      <w:r>
        <w:rPr>
          <w:rFonts w:ascii="Times New Roman" w:eastAsiaTheme="minorEastAsia"/>
          <w:color w:val="auto"/>
          <w:highlight w:val="none"/>
        </w:rPr>
        <w:t>船体通风风管在水密甲板和舱壁上开口时，应在</w:t>
      </w:r>
      <w:r>
        <w:rPr>
          <w:rFonts w:hint="eastAsia" w:ascii="Times New Roman" w:eastAsiaTheme="minorEastAsia"/>
          <w:color w:val="auto"/>
          <w:highlight w:val="none"/>
          <w:lang w:val="en-US" w:eastAsia="zh-CN"/>
        </w:rPr>
        <w:t>开口处</w:t>
      </w:r>
      <w:r>
        <w:rPr>
          <w:rFonts w:ascii="Times New Roman" w:eastAsiaTheme="minorEastAsia"/>
          <w:color w:val="auto"/>
          <w:highlight w:val="none"/>
        </w:rPr>
        <w:t>设置水密风阀</w:t>
      </w:r>
      <w:r>
        <w:rPr>
          <w:rFonts w:hint="eastAsia" w:ascii="Times New Roman" w:eastAsiaTheme="minorEastAsia"/>
          <w:color w:val="auto"/>
          <w:highlight w:val="none"/>
          <w:lang w:val="en-US" w:eastAsia="zh-CN"/>
        </w:rPr>
        <w:t>以保持封闭舱室的水密完整性</w:t>
      </w:r>
      <w:r>
        <w:rPr>
          <w:rFonts w:ascii="Times New Roman" w:eastAsiaTheme="minorEastAsia"/>
          <w:color w:val="auto"/>
          <w:highlight w:val="none"/>
        </w:rPr>
        <w:t>。</w:t>
      </w:r>
    </w:p>
    <w:p w14:paraId="5CBC8D0E">
      <w:pPr>
        <w:pStyle w:val="261"/>
        <w:spacing w:before="0" w:beforeLines="0" w:after="0" w:afterLines="0"/>
        <w:outlineLvl w:val="9"/>
        <w:rPr>
          <w:color w:val="auto"/>
          <w:highlight w:val="none"/>
        </w:rPr>
      </w:pPr>
      <w:r>
        <w:rPr>
          <w:rFonts w:hint="eastAsia" w:ascii="Times New Roman" w:eastAsiaTheme="minorEastAsia"/>
          <w:color w:val="auto"/>
          <w:highlight w:val="none"/>
          <w:lang w:val="en-US" w:eastAsia="zh-CN"/>
        </w:rPr>
        <w:t>当人员进入</w:t>
      </w:r>
      <w:r>
        <w:rPr>
          <w:rFonts w:ascii="Times New Roman" w:eastAsiaTheme="minorEastAsia"/>
          <w:color w:val="auto"/>
          <w:highlight w:val="none"/>
        </w:rPr>
        <w:t>船体空舱、双层底舱、管隧等不常进</w:t>
      </w:r>
      <w:r>
        <w:rPr>
          <w:rFonts w:hint="eastAsia" w:ascii="Times New Roman" w:eastAsiaTheme="minorEastAsia"/>
          <w:color w:val="auto"/>
          <w:highlight w:val="none"/>
          <w:lang w:val="en-US" w:eastAsia="zh-CN"/>
        </w:rPr>
        <w:t>入</w:t>
      </w:r>
      <w:r>
        <w:rPr>
          <w:rFonts w:ascii="Times New Roman" w:eastAsiaTheme="minorEastAsia"/>
          <w:color w:val="auto"/>
          <w:highlight w:val="none"/>
        </w:rPr>
        <w:t>的处所时，应进行机械通风。</w:t>
      </w:r>
    </w:p>
    <w:p w14:paraId="2CE11A1B">
      <w:pPr>
        <w:pStyle w:val="260"/>
        <w:numPr>
          <w:ilvl w:val="1"/>
          <w:numId w:val="11"/>
        </w:numPr>
        <w:outlineLvl w:val="1"/>
        <w:rPr>
          <w:rFonts w:ascii="Times New Roman"/>
          <w:color w:val="auto"/>
          <w:highlight w:val="none"/>
        </w:rPr>
      </w:pPr>
      <w:bookmarkStart w:id="1037" w:name="_Toc20592"/>
      <w:bookmarkStart w:id="1038" w:name="_Toc27411"/>
      <w:bookmarkStart w:id="1039" w:name="_Toc21345"/>
      <w:bookmarkStart w:id="1040" w:name="_Toc3777"/>
      <w:bookmarkStart w:id="1041" w:name="_Toc22620"/>
      <w:bookmarkStart w:id="1042" w:name="_Toc7174"/>
      <w:bookmarkStart w:id="1043" w:name="_Toc14662"/>
      <w:bookmarkStart w:id="1044" w:name="_Toc22083"/>
      <w:bookmarkStart w:id="1045" w:name="_Toc183727703"/>
      <w:bookmarkStart w:id="1046" w:name="_Toc25534"/>
      <w:r>
        <w:rPr>
          <w:rFonts w:hint="eastAsia" w:ascii="Times New Roman"/>
          <w:color w:val="auto"/>
          <w:highlight w:val="none"/>
          <w:lang w:eastAsia="zh-CN"/>
        </w:rPr>
        <w:t>危险</w:t>
      </w:r>
      <w:r>
        <w:rPr>
          <w:rFonts w:hint="eastAsia" w:ascii="Times New Roman"/>
          <w:color w:val="auto"/>
          <w:highlight w:val="none"/>
          <w:lang w:val="en-US" w:eastAsia="zh-CN"/>
        </w:rPr>
        <w:t>处</w:t>
      </w:r>
      <w:r>
        <w:rPr>
          <w:rFonts w:hint="eastAsia" w:ascii="Times New Roman"/>
          <w:color w:val="auto"/>
          <w:highlight w:val="none"/>
          <w:lang w:eastAsia="zh-CN"/>
        </w:rPr>
        <w:t>所</w:t>
      </w:r>
      <w:bookmarkEnd w:id="1037"/>
      <w:bookmarkEnd w:id="1038"/>
      <w:bookmarkEnd w:id="1039"/>
      <w:bookmarkEnd w:id="1040"/>
      <w:bookmarkEnd w:id="1041"/>
      <w:bookmarkEnd w:id="1042"/>
      <w:bookmarkEnd w:id="1043"/>
      <w:bookmarkEnd w:id="1044"/>
      <w:bookmarkEnd w:id="1045"/>
      <w:bookmarkEnd w:id="1046"/>
    </w:p>
    <w:p w14:paraId="0E0325AE">
      <w:pPr>
        <w:pStyle w:val="261"/>
        <w:spacing w:before="0" w:beforeLines="0" w:after="0" w:afterLines="0"/>
        <w:outlineLvl w:val="9"/>
        <w:rPr>
          <w:rFonts w:hint="eastAsia" w:ascii="宋体" w:hAnsi="宋体" w:eastAsia="宋体" w:cs="宋体"/>
          <w:color w:val="auto"/>
          <w:highlight w:val="none"/>
        </w:rPr>
      </w:pPr>
      <w:bookmarkStart w:id="1047" w:name="_Toc20998"/>
      <w:bookmarkStart w:id="1048" w:name="_Toc6888"/>
      <w:bookmarkStart w:id="1049" w:name="_Toc1811"/>
      <w:bookmarkStart w:id="1050" w:name="_Toc11177"/>
      <w:r>
        <w:rPr>
          <w:rFonts w:hint="eastAsia" w:ascii="宋体" w:hAnsi="宋体" w:eastAsia="宋体" w:cs="宋体"/>
          <w:color w:val="auto"/>
          <w:highlight w:val="none"/>
          <w:lang w:eastAsia="zh-CN"/>
        </w:rPr>
        <w:t>危险处所</w:t>
      </w:r>
      <w:r>
        <w:rPr>
          <w:rFonts w:hint="eastAsia" w:ascii="宋体" w:hAnsi="宋体" w:eastAsia="宋体" w:cs="宋体"/>
          <w:color w:val="auto"/>
          <w:highlight w:val="none"/>
        </w:rPr>
        <w:t>的通风设备</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满足该类危险区防爆等级的要求。</w:t>
      </w:r>
      <w:bookmarkEnd w:id="1047"/>
      <w:bookmarkEnd w:id="1048"/>
      <w:bookmarkEnd w:id="1049"/>
    </w:p>
    <w:p w14:paraId="14B3CB3A">
      <w:pPr>
        <w:pStyle w:val="261"/>
        <w:spacing w:before="0" w:beforeLines="0" w:after="0" w:afterLines="0"/>
        <w:outlineLvl w:val="9"/>
        <w:rPr>
          <w:rFonts w:hint="eastAsia" w:ascii="宋体" w:hAnsi="宋体" w:eastAsia="宋体" w:cs="宋体"/>
          <w:color w:val="auto"/>
          <w:highlight w:val="none"/>
        </w:rPr>
      </w:pPr>
      <w:bookmarkStart w:id="1051" w:name="_Toc23629"/>
      <w:r>
        <w:rPr>
          <w:rFonts w:hint="eastAsia" w:ascii="宋体" w:hAnsi="宋体" w:eastAsia="宋体" w:cs="宋体"/>
          <w:color w:val="auto"/>
          <w:highlight w:val="none"/>
          <w:lang w:eastAsia="zh-CN"/>
        </w:rPr>
        <w:t>危险处所</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设置</w:t>
      </w:r>
      <w:r>
        <w:rPr>
          <w:rFonts w:hint="eastAsia" w:ascii="宋体" w:hAnsi="宋体" w:eastAsia="宋体" w:cs="宋体"/>
          <w:color w:val="auto"/>
          <w:highlight w:val="none"/>
        </w:rPr>
        <w:t>备用通风机</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在运行风机故障时，备用风机</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自动启动</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w:t>
      </w:r>
      <w:r>
        <w:rPr>
          <w:rFonts w:hint="eastAsia" w:ascii="宋体" w:hAnsi="宋体" w:eastAsia="宋体" w:cs="宋体"/>
          <w:color w:val="auto"/>
          <w:highlight w:val="none"/>
        </w:rPr>
        <w:t>在中控室报警。</w:t>
      </w:r>
      <w:bookmarkEnd w:id="1051"/>
    </w:p>
    <w:p w14:paraId="6EDF63F0">
      <w:pPr>
        <w:pStyle w:val="261"/>
        <w:spacing w:before="0" w:beforeLines="0" w:after="0" w:afterLines="0"/>
        <w:outlineLvl w:val="9"/>
        <w:rPr>
          <w:rFonts w:hint="eastAsia" w:ascii="宋体" w:hAnsi="宋体" w:eastAsia="宋体" w:cs="宋体"/>
          <w:color w:val="auto"/>
          <w:highlight w:val="none"/>
        </w:rPr>
      </w:pPr>
      <w:bookmarkStart w:id="1052" w:name="_Toc19493"/>
      <w:r>
        <w:rPr>
          <w:rFonts w:hint="eastAsia" w:ascii="宋体" w:hAnsi="宋体" w:eastAsia="宋体" w:cs="宋体"/>
          <w:color w:val="auto"/>
          <w:highlight w:val="none"/>
        </w:rPr>
        <w:t>封闭的</w:t>
      </w:r>
      <w:r>
        <w:rPr>
          <w:rFonts w:hint="eastAsia" w:ascii="宋体" w:hAnsi="宋体" w:eastAsia="宋体" w:cs="宋体"/>
          <w:color w:val="auto"/>
          <w:highlight w:val="none"/>
          <w:lang w:eastAsia="zh-CN"/>
        </w:rPr>
        <w:t>危险处所</w:t>
      </w:r>
      <w:r>
        <w:rPr>
          <w:rFonts w:hint="eastAsia" w:ascii="宋体" w:hAnsi="宋体" w:eastAsia="宋体" w:cs="宋体"/>
          <w:color w:val="auto"/>
          <w:highlight w:val="none"/>
        </w:rPr>
        <w:t>的气压应低于相邻但危险</w:t>
      </w:r>
      <w:r>
        <w:rPr>
          <w:rFonts w:hint="eastAsia" w:ascii="宋体" w:hAnsi="宋体" w:eastAsia="宋体" w:cs="宋体"/>
          <w:color w:val="auto"/>
          <w:highlight w:val="none"/>
          <w:lang w:val="en-US" w:eastAsia="zh-CN"/>
        </w:rPr>
        <w:t>等级</w:t>
      </w:r>
      <w:r>
        <w:rPr>
          <w:rFonts w:hint="eastAsia" w:ascii="宋体" w:hAnsi="宋体" w:eastAsia="宋体" w:cs="宋体"/>
          <w:color w:val="auto"/>
          <w:highlight w:val="none"/>
        </w:rPr>
        <w:t>较小区域气压；封闭的非</w:t>
      </w:r>
      <w:r>
        <w:rPr>
          <w:rFonts w:hint="eastAsia" w:ascii="宋体" w:hAnsi="宋体" w:eastAsia="宋体" w:cs="宋体"/>
          <w:color w:val="auto"/>
          <w:highlight w:val="none"/>
          <w:lang w:eastAsia="zh-CN"/>
        </w:rPr>
        <w:t>危险处所</w:t>
      </w:r>
      <w:r>
        <w:rPr>
          <w:rFonts w:hint="eastAsia" w:ascii="宋体" w:hAnsi="宋体" w:eastAsia="宋体" w:cs="宋体"/>
          <w:color w:val="auto"/>
          <w:highlight w:val="none"/>
        </w:rPr>
        <w:t>的气压应高于相邻</w:t>
      </w:r>
      <w:r>
        <w:rPr>
          <w:rFonts w:hint="eastAsia" w:ascii="宋体" w:hAnsi="宋体" w:eastAsia="宋体" w:cs="宋体"/>
          <w:color w:val="auto"/>
          <w:highlight w:val="none"/>
          <w:lang w:val="en-US" w:eastAsia="zh-CN"/>
        </w:rPr>
        <w:t>接</w:t>
      </w:r>
      <w:r>
        <w:rPr>
          <w:rFonts w:hint="eastAsia" w:ascii="宋体" w:hAnsi="宋体" w:eastAsia="宋体" w:cs="宋体"/>
          <w:color w:val="auto"/>
          <w:highlight w:val="none"/>
        </w:rPr>
        <w:t>危险区的气压。</w:t>
      </w:r>
      <w:bookmarkEnd w:id="1052"/>
    </w:p>
    <w:p w14:paraId="2BD93E41">
      <w:pPr>
        <w:pStyle w:val="261"/>
        <w:spacing w:before="0" w:beforeLines="0" w:after="0" w:afterLines="0"/>
        <w:outlineLvl w:val="9"/>
        <w:rPr>
          <w:rFonts w:hint="eastAsia" w:ascii="宋体" w:hAnsi="宋体" w:eastAsia="宋体" w:cs="宋体"/>
          <w:color w:val="auto"/>
          <w:highlight w:val="none"/>
        </w:rPr>
      </w:pPr>
      <w:bookmarkStart w:id="1053" w:name="_Toc26227"/>
      <w:r>
        <w:rPr>
          <w:rFonts w:hint="eastAsia" w:ascii="宋体" w:hAnsi="宋体" w:eastAsia="宋体" w:cs="宋体"/>
          <w:color w:val="auto"/>
          <w:highlight w:val="none"/>
        </w:rPr>
        <w:t>封闭的</w:t>
      </w:r>
      <w:r>
        <w:rPr>
          <w:rFonts w:hint="eastAsia" w:ascii="宋体" w:hAnsi="宋体" w:eastAsia="宋体" w:cs="宋体"/>
          <w:color w:val="auto"/>
          <w:highlight w:val="none"/>
          <w:lang w:eastAsia="zh-CN"/>
        </w:rPr>
        <w:t>危险处所</w:t>
      </w:r>
      <w:r>
        <w:rPr>
          <w:rFonts w:hint="eastAsia" w:ascii="宋体" w:hAnsi="宋体" w:eastAsia="宋体" w:cs="宋体"/>
          <w:color w:val="auto"/>
          <w:highlight w:val="none"/>
        </w:rPr>
        <w:t>应设置使其可燃气体浓度降至安全范围之内</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通风设备。对于1区、2区的</w:t>
      </w:r>
      <w:r>
        <w:rPr>
          <w:rFonts w:hint="eastAsia" w:ascii="宋体" w:hAnsi="宋体" w:eastAsia="宋体" w:cs="宋体"/>
          <w:color w:val="auto"/>
          <w:highlight w:val="none"/>
          <w:lang w:val="en-US" w:eastAsia="zh-CN"/>
        </w:rPr>
        <w:t>封闭</w:t>
      </w:r>
      <w:r>
        <w:rPr>
          <w:rFonts w:hint="eastAsia" w:ascii="宋体" w:hAnsi="宋体" w:eastAsia="宋体" w:cs="宋体"/>
          <w:color w:val="auto"/>
          <w:highlight w:val="none"/>
        </w:rPr>
        <w:t>处所，其换气次数应分别大于每小时20次、12次。</w:t>
      </w:r>
      <w:bookmarkEnd w:id="1053"/>
    </w:p>
    <w:p w14:paraId="06FE8469">
      <w:pPr>
        <w:pStyle w:val="326"/>
        <w:tabs>
          <w:tab w:val="left" w:pos="840"/>
        </w:tabs>
        <w:bidi w:val="0"/>
        <w:rPr>
          <w:rFonts w:hint="eastAsia" w:ascii="宋体" w:hAnsi="宋体" w:eastAsia="宋体" w:cs="宋体"/>
          <w:color w:val="auto"/>
          <w:highlight w:val="none"/>
        </w:rPr>
      </w:pPr>
      <w:r>
        <w:rPr>
          <w:rFonts w:hint="eastAsia" w:ascii="宋体" w:hAnsi="宋体" w:eastAsia="宋体" w:cs="宋体"/>
          <w:color w:val="auto"/>
          <w:highlight w:val="none"/>
        </w:rPr>
        <w:t>如通风管道</w:t>
      </w:r>
      <w:r>
        <w:rPr>
          <w:rFonts w:hint="eastAsia" w:ascii="宋体" w:hAnsi="宋体" w:eastAsia="宋体" w:cs="宋体"/>
          <w:color w:val="auto"/>
          <w:highlight w:val="none"/>
          <w:lang w:val="en-US" w:eastAsia="zh-CN"/>
        </w:rPr>
        <w:t>穿</w:t>
      </w:r>
      <w:r>
        <w:rPr>
          <w:rFonts w:hint="eastAsia" w:ascii="宋体" w:hAnsi="宋体" w:eastAsia="宋体" w:cs="宋体"/>
          <w:color w:val="auto"/>
          <w:highlight w:val="none"/>
        </w:rPr>
        <w:t>过一个危险</w:t>
      </w:r>
      <w:r>
        <w:rPr>
          <w:rFonts w:hint="eastAsia" w:ascii="宋体" w:hAnsi="宋体" w:eastAsia="宋体" w:cs="宋体"/>
          <w:color w:val="auto"/>
          <w:highlight w:val="none"/>
          <w:lang w:val="en-US" w:eastAsia="zh-CN"/>
        </w:rPr>
        <w:t>等级</w:t>
      </w:r>
      <w:r>
        <w:rPr>
          <w:rFonts w:hint="eastAsia" w:ascii="宋体" w:hAnsi="宋体" w:eastAsia="宋体" w:cs="宋体"/>
          <w:color w:val="auto"/>
          <w:highlight w:val="none"/>
        </w:rPr>
        <w:t>较高的</w:t>
      </w:r>
      <w:r>
        <w:rPr>
          <w:rFonts w:hint="eastAsia" w:ascii="宋体" w:hAnsi="宋体" w:eastAsia="宋体" w:cs="宋体"/>
          <w:color w:val="auto"/>
          <w:highlight w:val="none"/>
          <w:lang w:val="en-US" w:eastAsia="zh-CN"/>
        </w:rPr>
        <w:t>处所</w:t>
      </w:r>
      <w:r>
        <w:rPr>
          <w:rFonts w:hint="eastAsia" w:ascii="宋体" w:hAnsi="宋体" w:eastAsia="宋体" w:cs="宋体"/>
          <w:color w:val="auto"/>
          <w:highlight w:val="none"/>
        </w:rPr>
        <w:t>，管道内压力</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高于该</w:t>
      </w:r>
      <w:r>
        <w:rPr>
          <w:rFonts w:hint="eastAsia" w:ascii="宋体" w:hAnsi="宋体" w:eastAsia="宋体" w:cs="宋体"/>
          <w:color w:val="auto"/>
          <w:highlight w:val="none"/>
          <w:lang w:val="en-US" w:eastAsia="zh-CN"/>
        </w:rPr>
        <w:t>处所</w:t>
      </w:r>
      <w:r>
        <w:rPr>
          <w:rFonts w:hint="eastAsia" w:ascii="宋体" w:hAnsi="宋体" w:eastAsia="宋体" w:cs="宋体"/>
          <w:color w:val="auto"/>
          <w:highlight w:val="none"/>
        </w:rPr>
        <w:t>压力</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如通风管道</w:t>
      </w:r>
      <w:r>
        <w:rPr>
          <w:rFonts w:hint="eastAsia" w:ascii="宋体" w:hAnsi="宋体" w:eastAsia="宋体" w:cs="宋体"/>
          <w:color w:val="auto"/>
          <w:highlight w:val="none"/>
          <w:lang w:val="en-US" w:eastAsia="zh-CN"/>
        </w:rPr>
        <w:t>穿</w:t>
      </w:r>
      <w:r>
        <w:rPr>
          <w:rFonts w:hint="eastAsia" w:ascii="宋体" w:hAnsi="宋体" w:eastAsia="宋体" w:cs="宋体"/>
          <w:color w:val="auto"/>
          <w:highlight w:val="none"/>
        </w:rPr>
        <w:t>过一个危险</w:t>
      </w:r>
      <w:r>
        <w:rPr>
          <w:rFonts w:hint="eastAsia" w:ascii="宋体" w:hAnsi="宋体" w:eastAsia="宋体" w:cs="宋体"/>
          <w:color w:val="auto"/>
          <w:highlight w:val="none"/>
          <w:lang w:val="en-US" w:eastAsia="zh-CN"/>
        </w:rPr>
        <w:t>等级</w:t>
      </w:r>
      <w:r>
        <w:rPr>
          <w:rFonts w:hint="eastAsia" w:ascii="宋体" w:hAnsi="宋体" w:eastAsia="宋体" w:cs="宋体"/>
          <w:color w:val="auto"/>
          <w:highlight w:val="none"/>
        </w:rPr>
        <w:t>较低的</w:t>
      </w:r>
      <w:r>
        <w:rPr>
          <w:rFonts w:hint="eastAsia" w:ascii="宋体" w:hAnsi="宋体" w:eastAsia="宋体" w:cs="宋体"/>
          <w:color w:val="auto"/>
          <w:highlight w:val="none"/>
          <w:lang w:val="en-US" w:eastAsia="zh-CN"/>
        </w:rPr>
        <w:t>处所</w:t>
      </w:r>
      <w:r>
        <w:rPr>
          <w:rFonts w:hint="eastAsia" w:ascii="宋体" w:hAnsi="宋体" w:eastAsia="宋体" w:cs="宋体"/>
          <w:color w:val="auto"/>
          <w:highlight w:val="none"/>
        </w:rPr>
        <w:t>，管道内压力</w:t>
      </w:r>
      <w:r>
        <w:rPr>
          <w:rFonts w:hint="eastAsia" w:ascii="宋体" w:hAnsi="宋体" w:eastAsia="宋体" w:cs="宋体"/>
          <w:color w:val="auto"/>
          <w:highlight w:val="none"/>
          <w:lang w:val="en-US" w:eastAsia="zh-CN"/>
        </w:rPr>
        <w:t>应低</w:t>
      </w:r>
      <w:r>
        <w:rPr>
          <w:rFonts w:hint="eastAsia" w:ascii="宋体" w:hAnsi="宋体" w:eastAsia="宋体" w:cs="宋体"/>
          <w:color w:val="auto"/>
          <w:highlight w:val="none"/>
        </w:rPr>
        <w:t>于该</w:t>
      </w:r>
      <w:r>
        <w:rPr>
          <w:rFonts w:hint="eastAsia" w:ascii="宋体" w:hAnsi="宋体" w:eastAsia="宋体" w:cs="宋体"/>
          <w:color w:val="auto"/>
          <w:highlight w:val="none"/>
          <w:lang w:val="en-US" w:eastAsia="zh-CN"/>
        </w:rPr>
        <w:t>处所</w:t>
      </w:r>
      <w:r>
        <w:rPr>
          <w:rFonts w:hint="eastAsia" w:ascii="宋体" w:hAnsi="宋体" w:eastAsia="宋体" w:cs="宋体"/>
          <w:color w:val="auto"/>
          <w:highlight w:val="none"/>
        </w:rPr>
        <w:t>压力。</w:t>
      </w:r>
    </w:p>
    <w:p w14:paraId="6911E7E9">
      <w:pPr>
        <w:pStyle w:val="261"/>
        <w:spacing w:before="0" w:beforeLines="0" w:after="0" w:afterLines="0"/>
        <w:outlineLvl w:val="9"/>
        <w:rPr>
          <w:rFonts w:hint="eastAsia" w:ascii="宋体" w:hAnsi="宋体" w:eastAsia="宋体" w:cs="宋体"/>
          <w:color w:val="auto"/>
          <w:highlight w:val="none"/>
        </w:rPr>
      </w:pPr>
      <w:bookmarkStart w:id="1054" w:name="_Toc2104"/>
      <w:r>
        <w:rPr>
          <w:rFonts w:hint="eastAsia" w:ascii="宋体" w:hAnsi="宋体" w:eastAsia="宋体" w:cs="宋体"/>
          <w:color w:val="auto"/>
          <w:highlight w:val="none"/>
        </w:rPr>
        <w:t>天然气发电机</w:t>
      </w:r>
      <w:r>
        <w:rPr>
          <w:rFonts w:hint="eastAsia" w:ascii="宋体" w:hAnsi="宋体" w:eastAsia="宋体" w:cs="宋体"/>
          <w:color w:val="auto"/>
          <w:highlight w:val="none"/>
          <w:lang w:val="en-US" w:eastAsia="zh-CN"/>
        </w:rPr>
        <w:t>间和</w:t>
      </w:r>
      <w:r>
        <w:rPr>
          <w:rFonts w:hint="eastAsia" w:ascii="宋体" w:hAnsi="宋体" w:eastAsia="宋体" w:cs="宋体"/>
          <w:color w:val="auto"/>
          <w:highlight w:val="none"/>
        </w:rPr>
        <w:t>电池间</w:t>
      </w:r>
      <w:r>
        <w:rPr>
          <w:rFonts w:hint="eastAsia" w:ascii="宋体" w:hAnsi="宋体" w:eastAsia="宋体" w:cs="宋体"/>
          <w:color w:val="auto"/>
          <w:highlight w:val="none"/>
          <w:lang w:val="en-US" w:eastAsia="zh-CN"/>
        </w:rPr>
        <w:t>的通风量应</w:t>
      </w:r>
      <w:r>
        <w:rPr>
          <w:rFonts w:hint="eastAsia" w:ascii="宋体" w:hAnsi="宋体" w:eastAsia="宋体" w:cs="宋体"/>
          <w:color w:val="auto"/>
          <w:highlight w:val="none"/>
        </w:rPr>
        <w:t>根据爆炸性气体释放量及其爆炸下限、换气次数和排出余热</w:t>
      </w:r>
      <w:r>
        <w:rPr>
          <w:rFonts w:hint="eastAsia" w:ascii="宋体" w:hAnsi="宋体" w:eastAsia="宋体" w:cs="宋体"/>
          <w:color w:val="auto"/>
          <w:highlight w:val="none"/>
          <w:lang w:val="en-US" w:eastAsia="zh-CN"/>
        </w:rPr>
        <w:t>3种方式分别计算，并</w:t>
      </w:r>
      <w:r>
        <w:rPr>
          <w:rFonts w:hint="eastAsia" w:ascii="宋体" w:hAnsi="宋体" w:eastAsia="宋体" w:cs="宋体"/>
          <w:color w:val="auto"/>
          <w:highlight w:val="none"/>
        </w:rPr>
        <w:t>取</w:t>
      </w:r>
      <w:r>
        <w:rPr>
          <w:rFonts w:hint="eastAsia" w:ascii="宋体" w:hAnsi="宋体" w:eastAsia="宋体" w:cs="宋体"/>
          <w:color w:val="auto"/>
          <w:highlight w:val="none"/>
          <w:lang w:val="en-US" w:eastAsia="zh-CN"/>
        </w:rPr>
        <w:t>最</w:t>
      </w:r>
      <w:r>
        <w:rPr>
          <w:rFonts w:hint="eastAsia" w:ascii="宋体" w:hAnsi="宋体" w:eastAsia="宋体" w:cs="宋体"/>
          <w:color w:val="auto"/>
          <w:highlight w:val="none"/>
        </w:rPr>
        <w:t>大值。</w:t>
      </w:r>
      <w:bookmarkEnd w:id="1054"/>
    </w:p>
    <w:p w14:paraId="4ECEA799">
      <w:pPr>
        <w:pStyle w:val="261"/>
        <w:spacing w:before="0" w:beforeLines="0" w:after="0" w:afterLines="0"/>
        <w:outlineLvl w:val="9"/>
        <w:rPr>
          <w:rFonts w:hint="eastAsia" w:ascii="宋体" w:hAnsi="宋体" w:eastAsia="宋体" w:cs="宋体"/>
          <w:color w:val="auto"/>
          <w:highlight w:val="none"/>
        </w:rPr>
      </w:pPr>
      <w:bookmarkStart w:id="1055" w:name="_Toc28148"/>
      <w:bookmarkStart w:id="1056" w:name="_Toc1612"/>
      <w:bookmarkStart w:id="1057" w:name="_Toc16637"/>
      <w:bookmarkStart w:id="1058" w:name="_Toc6328"/>
      <w:r>
        <w:rPr>
          <w:rFonts w:hint="eastAsia" w:ascii="宋体" w:hAnsi="宋体" w:eastAsia="宋体" w:cs="宋体"/>
          <w:color w:val="auto"/>
          <w:highlight w:val="none"/>
        </w:rPr>
        <w:t>原油泵舱通风</w:t>
      </w:r>
      <w:bookmarkEnd w:id="1055"/>
      <w:bookmarkEnd w:id="1056"/>
      <w:bookmarkEnd w:id="1057"/>
      <w:bookmarkEnd w:id="1058"/>
      <w:r>
        <w:rPr>
          <w:rFonts w:hint="eastAsia" w:ascii="宋体" w:hAnsi="宋体" w:eastAsia="宋体" w:cs="宋体"/>
          <w:color w:val="auto"/>
          <w:highlight w:val="none"/>
          <w:lang w:val="en-US" w:eastAsia="zh-CN"/>
        </w:rPr>
        <w:t>还应满足以下要求：</w:t>
      </w:r>
    </w:p>
    <w:bookmarkEnd w:id="1050"/>
    <w:p w14:paraId="74FD2FE1">
      <w:pPr>
        <w:pStyle w:val="305"/>
        <w:numPr>
          <w:ilvl w:val="0"/>
          <w:numId w:val="5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设置固定的动力抽吸式通风系统，且独立于其他处所的通风系统；</w:t>
      </w:r>
    </w:p>
    <w:p w14:paraId="4034828C">
      <w:pPr>
        <w:pStyle w:val="305"/>
        <w:numPr>
          <w:ilvl w:val="0"/>
          <w:numId w:val="5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排出气体引至开敞甲板上的安全地点；</w:t>
      </w:r>
    </w:p>
    <w:p w14:paraId="3E9B3B9F">
      <w:pPr>
        <w:pStyle w:val="305"/>
        <w:numPr>
          <w:ilvl w:val="0"/>
          <w:numId w:val="5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采用自然通风从上部引入空气时，其进气口与排气口的布置，使排出的可燃气体发生再循环的可能性减至最小；</w:t>
      </w:r>
    </w:p>
    <w:p w14:paraId="08F3DC5E">
      <w:pPr>
        <w:pStyle w:val="305"/>
        <w:numPr>
          <w:ilvl w:val="0"/>
          <w:numId w:val="5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通风换气次数不小于每小时20次；</w:t>
      </w:r>
    </w:p>
    <w:p w14:paraId="7787CAD3">
      <w:pPr>
        <w:pStyle w:val="305"/>
        <w:numPr>
          <w:ilvl w:val="0"/>
          <w:numId w:val="5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通风管的进气口贴近舱底并高出肋板或船底纵骨，在泵舱地板上方通风管上设一个带风闸的应急进气口，并能从泵舱内外两侧进行开闭；</w:t>
      </w:r>
    </w:p>
    <w:p w14:paraId="0BED06C0">
      <w:pPr>
        <w:pStyle w:val="305"/>
        <w:numPr>
          <w:ilvl w:val="0"/>
          <w:numId w:val="5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当舱底浸水使下进气口被封闭时，通过上部进气口的通风换气次数不小于每小时15次，通风管的出口布置成向上排出；</w:t>
      </w:r>
    </w:p>
    <w:p w14:paraId="3481289C">
      <w:pPr>
        <w:pStyle w:val="305"/>
        <w:numPr>
          <w:ilvl w:val="0"/>
          <w:numId w:val="5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设置底部为格栅板的地板，或其他有利于泵舱底部空气流通的等效措施；</w:t>
      </w:r>
    </w:p>
    <w:p w14:paraId="7A7FCFCE">
      <w:pPr>
        <w:pStyle w:val="305"/>
        <w:numPr>
          <w:ilvl w:val="0"/>
          <w:numId w:val="5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原油泵舱气压比相邻的机器处所气压至少低50 Pa，当不低于此压力时在中控室发出警报。</w:t>
      </w:r>
    </w:p>
    <w:p w14:paraId="76EFD674">
      <w:pPr>
        <w:pStyle w:val="261"/>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为防止人员在通风装置不工作时进入原油泵舱，</w:t>
      </w:r>
      <w:r>
        <w:rPr>
          <w:rFonts w:hint="eastAsia" w:ascii="宋体" w:hAnsi="宋体" w:eastAsia="宋体" w:cs="宋体"/>
          <w:color w:val="auto"/>
          <w:highlight w:val="none"/>
          <w:lang w:val="en-US" w:eastAsia="zh-CN"/>
        </w:rPr>
        <w:t>应满足</w:t>
      </w:r>
      <w:r>
        <w:rPr>
          <w:rFonts w:hint="eastAsia" w:ascii="宋体" w:hAnsi="宋体" w:eastAsia="宋体" w:cs="宋体"/>
          <w:color w:val="auto"/>
          <w:highlight w:val="none"/>
        </w:rPr>
        <w:t>以下</w:t>
      </w:r>
      <w:r>
        <w:rPr>
          <w:rFonts w:hint="eastAsia" w:ascii="宋体" w:hAnsi="宋体" w:eastAsia="宋体" w:cs="宋体"/>
          <w:color w:val="auto"/>
          <w:highlight w:val="none"/>
          <w:lang w:val="en-US" w:eastAsia="zh-CN"/>
        </w:rPr>
        <w:t>要求</w:t>
      </w:r>
      <w:r>
        <w:rPr>
          <w:rFonts w:hint="eastAsia" w:ascii="宋体" w:hAnsi="宋体" w:eastAsia="宋体" w:cs="宋体"/>
          <w:color w:val="auto"/>
          <w:highlight w:val="none"/>
        </w:rPr>
        <w:t>：</w:t>
      </w:r>
    </w:p>
    <w:p w14:paraId="6CF8CCFF">
      <w:pPr>
        <w:pStyle w:val="305"/>
        <w:numPr>
          <w:ilvl w:val="0"/>
          <w:numId w:val="59"/>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原油泵舱内通风装置与照明设置启动联锁，通风系统的故障不引起照明的失效；</w:t>
      </w:r>
    </w:p>
    <w:p w14:paraId="181C7DCB">
      <w:pPr>
        <w:pStyle w:val="305"/>
        <w:numPr>
          <w:ilvl w:val="0"/>
          <w:numId w:val="59"/>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当原油泵舱的通风装置不工作，且原油泵舱的门处于开启状态时，在该门处触发声光报警。</w:t>
      </w:r>
    </w:p>
    <w:bookmarkEnd w:id="1020"/>
    <w:bookmarkEnd w:id="1021"/>
    <w:bookmarkEnd w:id="1022"/>
    <w:p w14:paraId="13F83488">
      <w:pPr>
        <w:pStyle w:val="259"/>
        <w:outlineLvl w:val="0"/>
        <w:rPr>
          <w:rFonts w:hint="default" w:ascii="Times New Roman" w:hAnsi="Times New Roman" w:cs="Times New Roman"/>
          <w:color w:val="auto"/>
          <w:highlight w:val="none"/>
        </w:rPr>
      </w:pPr>
      <w:bookmarkStart w:id="1059" w:name="_Toc183727706"/>
      <w:bookmarkStart w:id="1060" w:name="_Toc23197"/>
      <w:bookmarkStart w:id="1061" w:name="_Toc28097"/>
      <w:bookmarkStart w:id="1062" w:name="_Toc4865"/>
      <w:bookmarkStart w:id="1063" w:name="_Toc22562"/>
      <w:bookmarkStart w:id="1064" w:name="_Toc29652"/>
      <w:bookmarkStart w:id="1065" w:name="_Toc28482"/>
      <w:bookmarkStart w:id="1066" w:name="_Toc21684"/>
      <w:bookmarkStart w:id="1067" w:name="_Toc15912"/>
      <w:bookmarkStart w:id="1068" w:name="_Toc5930"/>
      <w:bookmarkStart w:id="1069" w:name="_Toc3603"/>
      <w:r>
        <w:rPr>
          <w:rFonts w:hint="default" w:ascii="Times New Roman" w:hAnsi="Times New Roman" w:cs="Times New Roman"/>
          <w:color w:val="auto"/>
          <w:highlight w:val="none"/>
        </w:rPr>
        <w:t>电气</w:t>
      </w:r>
      <w:bookmarkEnd w:id="1059"/>
      <w:bookmarkEnd w:id="1060"/>
      <w:bookmarkEnd w:id="1061"/>
      <w:bookmarkEnd w:id="1062"/>
      <w:bookmarkEnd w:id="1063"/>
      <w:bookmarkEnd w:id="1064"/>
      <w:bookmarkEnd w:id="1065"/>
      <w:bookmarkEnd w:id="1066"/>
      <w:bookmarkEnd w:id="1067"/>
      <w:bookmarkEnd w:id="1068"/>
      <w:bookmarkEnd w:id="1069"/>
    </w:p>
    <w:p w14:paraId="300B7240">
      <w:pPr>
        <w:pStyle w:val="260"/>
        <w:outlineLvl w:val="1"/>
        <w:rPr>
          <w:rFonts w:hint="default" w:ascii="Times New Roman" w:hAnsi="Times New Roman" w:cs="Times New Roman"/>
          <w:color w:val="auto"/>
          <w:highlight w:val="none"/>
        </w:rPr>
      </w:pPr>
      <w:bookmarkStart w:id="1070" w:name="_Toc8135"/>
      <w:bookmarkStart w:id="1071" w:name="_Toc27054"/>
      <w:bookmarkStart w:id="1072" w:name="_Toc634"/>
      <w:bookmarkStart w:id="1073" w:name="_Toc19067"/>
      <w:bookmarkStart w:id="1074" w:name="_Toc18371"/>
      <w:bookmarkStart w:id="1075" w:name="_Toc4288"/>
      <w:r>
        <w:rPr>
          <w:rFonts w:hint="eastAsia" w:ascii="Times New Roman" w:cs="Times New Roman"/>
          <w:color w:val="auto"/>
          <w:highlight w:val="none"/>
          <w:lang w:val="en-US" w:eastAsia="zh-CN"/>
        </w:rPr>
        <w:t>通用要求</w:t>
      </w:r>
      <w:bookmarkEnd w:id="1070"/>
      <w:bookmarkEnd w:id="1071"/>
      <w:bookmarkEnd w:id="1072"/>
      <w:bookmarkEnd w:id="1073"/>
      <w:bookmarkEnd w:id="1074"/>
      <w:bookmarkEnd w:id="1075"/>
    </w:p>
    <w:p w14:paraId="5F80D5F8">
      <w:pPr>
        <w:pStyle w:val="261"/>
        <w:keepNext w:val="0"/>
        <w:keepLines w:val="0"/>
        <w:pageBreakBefore w:val="0"/>
        <w:widowControl/>
        <w:kinsoku/>
        <w:wordWrap/>
        <w:overflowPunct/>
        <w:topLinePunct w:val="0"/>
        <w:autoSpaceDE/>
        <w:autoSpaceDN/>
        <w:bidi w:val="0"/>
        <w:adjustRightInd/>
        <w:snapToGrid/>
        <w:spacing w:beforeLines="0" w:afterLines="0"/>
        <w:textAlignment w:val="auto"/>
        <w:outlineLvl w:val="9"/>
        <w:rPr>
          <w:rFonts w:hint="eastAsia" w:ascii="宋体" w:hAnsi="宋体" w:eastAsia="宋体" w:cs="宋体"/>
          <w:color w:val="auto"/>
          <w:highlight w:val="none"/>
        </w:rPr>
      </w:pPr>
      <w:bookmarkStart w:id="1076" w:name="_Toc2685"/>
      <w:bookmarkStart w:id="1077" w:name="_Toc16905"/>
      <w:bookmarkStart w:id="1078" w:name="_Toc3696"/>
      <w:r>
        <w:rPr>
          <w:rFonts w:hint="eastAsia" w:ascii="宋体" w:hAnsi="宋体" w:eastAsia="宋体" w:cs="宋体"/>
          <w:color w:val="auto"/>
          <w:highlight w:val="none"/>
          <w:lang w:eastAsia="zh-CN"/>
        </w:rPr>
        <w:t>FPSO</w:t>
      </w:r>
      <w:r>
        <w:rPr>
          <w:rFonts w:hint="eastAsia" w:ascii="宋体" w:hAnsi="宋体" w:eastAsia="宋体" w:cs="宋体"/>
          <w:color w:val="auto"/>
          <w:highlight w:val="none"/>
          <w:lang w:val="en-US" w:eastAsia="zh-CN"/>
        </w:rPr>
        <w:t>的电气设备在下列工作环境中均应能正常工作</w:t>
      </w:r>
      <w:r>
        <w:rPr>
          <w:rFonts w:hint="eastAsia" w:ascii="宋体" w:hAnsi="宋体" w:eastAsia="宋体" w:cs="宋体"/>
          <w:color w:val="auto"/>
          <w:highlight w:val="none"/>
        </w:rPr>
        <w:t>：</w:t>
      </w:r>
      <w:bookmarkEnd w:id="1076"/>
      <w:bookmarkEnd w:id="1077"/>
      <w:bookmarkEnd w:id="1078"/>
    </w:p>
    <w:p w14:paraId="59D2EA97">
      <w:pPr>
        <w:pStyle w:val="305"/>
        <w:numPr>
          <w:ilvl w:val="0"/>
          <w:numId w:val="6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所在地区最高和最低环境温度；</w:t>
      </w:r>
    </w:p>
    <w:p w14:paraId="139CD028">
      <w:pPr>
        <w:pStyle w:val="305"/>
        <w:numPr>
          <w:ilvl w:val="0"/>
          <w:numId w:val="6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正常生产作业中所产生的持续性振动和瞬时冲击；</w:t>
      </w:r>
    </w:p>
    <w:p w14:paraId="17EAE89C">
      <w:pPr>
        <w:pStyle w:val="305"/>
        <w:numPr>
          <w:ilvl w:val="0"/>
          <w:numId w:val="6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海洋潮湿空气和霉菌；</w:t>
      </w:r>
    </w:p>
    <w:p w14:paraId="0648DD55">
      <w:pPr>
        <w:pStyle w:val="305"/>
        <w:numPr>
          <w:ilvl w:val="0"/>
          <w:numId w:val="6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盐雾、油雾及硫化氢等腐蚀性化学环境；</w:t>
      </w:r>
    </w:p>
    <w:p w14:paraId="29D672D8">
      <w:pPr>
        <w:pStyle w:val="305"/>
        <w:numPr>
          <w:ilvl w:val="0"/>
          <w:numId w:val="6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爆炸性气体环境；</w:t>
      </w:r>
    </w:p>
    <w:p w14:paraId="4798244E">
      <w:pPr>
        <w:pStyle w:val="305"/>
        <w:numPr>
          <w:ilvl w:val="0"/>
          <w:numId w:val="6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船型FPSO</w:t>
      </w:r>
      <w:r>
        <w:rPr>
          <w:rFonts w:hint="eastAsia" w:hAnsi="宋体" w:cs="宋体"/>
          <w:color w:val="auto"/>
          <w:highlight w:val="none"/>
          <w:lang w:val="en-US" w:eastAsia="zh-CN"/>
        </w:rPr>
        <w:t>的</w:t>
      </w:r>
      <w:r>
        <w:rPr>
          <w:rFonts w:hint="eastAsia" w:ascii="宋体" w:hAnsi="宋体" w:cs="宋体"/>
          <w:color w:val="auto"/>
          <w:highlight w:val="none"/>
          <w:lang w:val="en-US" w:eastAsia="zh-CN"/>
        </w:rPr>
        <w:t>倾斜和摇摆满足表2</w:t>
      </w:r>
      <w:r>
        <w:rPr>
          <w:rFonts w:hint="eastAsia" w:hAnsi="宋体" w:cs="宋体"/>
          <w:color w:val="auto"/>
          <w:highlight w:val="none"/>
          <w:lang w:val="en-US" w:eastAsia="zh-CN"/>
        </w:rPr>
        <w:t>倾斜角</w:t>
      </w:r>
      <w:r>
        <w:rPr>
          <w:rFonts w:hint="eastAsia" w:ascii="宋体" w:hAnsi="宋体" w:cs="宋体"/>
          <w:color w:val="auto"/>
          <w:highlight w:val="none"/>
          <w:lang w:val="en-US" w:eastAsia="zh-CN"/>
        </w:rPr>
        <w:t>的要求；</w:t>
      </w:r>
    </w:p>
    <w:p w14:paraId="1E5BFC09">
      <w:pPr>
        <w:pStyle w:val="305"/>
        <w:numPr>
          <w:ilvl w:val="0"/>
          <w:numId w:val="6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圆筒型和半潜式（柱稳式）FPSO，与安全有关的设备任何方向的静倾为15°，动倾为22.5°；应急电源在任何方向的静倾为25°，动倾为22.5°。</w:t>
      </w:r>
    </w:p>
    <w:p w14:paraId="43D78251">
      <w:pPr>
        <w:pStyle w:val="301"/>
        <w:rPr>
          <w:rFonts w:hint="default" w:ascii="Times New Roman" w:hAnsi="Times New Roman" w:cs="Times New Roman"/>
          <w:color w:val="auto"/>
          <w:highlight w:val="none"/>
        </w:rPr>
      </w:pPr>
      <w:r>
        <w:rPr>
          <w:rFonts w:hint="default" w:ascii="Times New Roman" w:hAnsi="Times New Roman" w:cs="Times New Roman"/>
          <w:color w:val="auto"/>
          <w:highlight w:val="none"/>
        </w:rPr>
        <w:t>倾斜角</w:t>
      </w:r>
    </w:p>
    <w:tbl>
      <w:tblPr>
        <w:tblStyle w:val="8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74"/>
        <w:gridCol w:w="1080"/>
        <w:gridCol w:w="932"/>
        <w:gridCol w:w="1033"/>
        <w:gridCol w:w="740"/>
      </w:tblGrid>
      <w:tr w14:paraId="0106D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174" w:type="dxa"/>
            <w:vMerge w:val="restart"/>
            <w:vAlign w:val="center"/>
          </w:tcPr>
          <w:p w14:paraId="691353AE">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设备组件</w:t>
            </w:r>
          </w:p>
        </w:tc>
        <w:tc>
          <w:tcPr>
            <w:tcW w:w="3785" w:type="dxa"/>
            <w:gridSpan w:val="4"/>
          </w:tcPr>
          <w:p w14:paraId="677EE5A1">
            <w:pPr>
              <w:pStyle w:val="517"/>
              <w:jc w:val="center"/>
              <w:rPr>
                <w:rFonts w:hint="eastAsia" w:ascii="Times New Roman" w:hAnsi="Times New Roman" w:eastAsia="宋体" w:cs="Times New Roman"/>
                <w:color w:val="auto"/>
                <w:highlight w:val="none"/>
                <w:lang w:eastAsia="zh-CN"/>
              </w:rPr>
            </w:pPr>
            <w:r>
              <w:rPr>
                <w:rFonts w:hint="default" w:ascii="Times New Roman" w:hAnsi="Times New Roman" w:cs="Times New Roman"/>
                <w:color w:val="auto"/>
                <w:highlight w:val="none"/>
              </w:rPr>
              <w:t>倾斜角</w:t>
            </w:r>
            <w:r>
              <w:rPr>
                <w:rFonts w:hint="eastAsia" w:cs="Times New Roman"/>
                <w:color w:val="auto"/>
                <w:highlight w:val="none"/>
                <w:vertAlign w:val="superscript"/>
                <w:lang w:val="en-US" w:eastAsia="zh-CN"/>
              </w:rPr>
              <w:t>a</w:t>
            </w:r>
          </w:p>
          <w:p w14:paraId="720536BD">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w:t>
            </w:r>
          </w:p>
        </w:tc>
      </w:tr>
      <w:tr w14:paraId="7E2BB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4174" w:type="dxa"/>
            <w:vMerge w:val="continue"/>
            <w:tcBorders>
              <w:top w:val="nil"/>
            </w:tcBorders>
          </w:tcPr>
          <w:p w14:paraId="62C5F501">
            <w:pPr>
              <w:pStyle w:val="517"/>
              <w:jc w:val="center"/>
              <w:rPr>
                <w:rFonts w:hint="default" w:ascii="Times New Roman" w:hAnsi="Times New Roman" w:cs="Times New Roman"/>
                <w:color w:val="auto"/>
                <w:highlight w:val="none"/>
              </w:rPr>
            </w:pPr>
          </w:p>
        </w:tc>
        <w:tc>
          <w:tcPr>
            <w:tcW w:w="2012" w:type="dxa"/>
            <w:gridSpan w:val="2"/>
          </w:tcPr>
          <w:p w14:paraId="47426204">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横向</w:t>
            </w:r>
          </w:p>
        </w:tc>
        <w:tc>
          <w:tcPr>
            <w:tcW w:w="1773" w:type="dxa"/>
            <w:gridSpan w:val="2"/>
          </w:tcPr>
          <w:p w14:paraId="14763D36">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纵向</w:t>
            </w:r>
          </w:p>
        </w:tc>
      </w:tr>
      <w:tr w14:paraId="1158A1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4174" w:type="dxa"/>
            <w:vMerge w:val="continue"/>
            <w:tcBorders>
              <w:top w:val="nil"/>
            </w:tcBorders>
          </w:tcPr>
          <w:p w14:paraId="1322E106">
            <w:pPr>
              <w:pStyle w:val="517"/>
              <w:jc w:val="center"/>
              <w:rPr>
                <w:rFonts w:hint="default" w:ascii="Times New Roman" w:hAnsi="Times New Roman" w:cs="Times New Roman"/>
                <w:color w:val="auto"/>
                <w:highlight w:val="none"/>
              </w:rPr>
            </w:pPr>
          </w:p>
        </w:tc>
        <w:tc>
          <w:tcPr>
            <w:tcW w:w="1080" w:type="dxa"/>
          </w:tcPr>
          <w:p w14:paraId="65B58E3B">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横倾</w:t>
            </w:r>
          </w:p>
        </w:tc>
        <w:tc>
          <w:tcPr>
            <w:tcW w:w="932" w:type="dxa"/>
          </w:tcPr>
          <w:p w14:paraId="55B4FBE8">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横摇</w:t>
            </w:r>
          </w:p>
        </w:tc>
        <w:tc>
          <w:tcPr>
            <w:tcW w:w="1033" w:type="dxa"/>
          </w:tcPr>
          <w:p w14:paraId="1CC86D2A">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纵倾</w:t>
            </w:r>
          </w:p>
        </w:tc>
        <w:tc>
          <w:tcPr>
            <w:tcW w:w="740" w:type="dxa"/>
          </w:tcPr>
          <w:p w14:paraId="6C0405A7">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纵摇</w:t>
            </w:r>
          </w:p>
        </w:tc>
      </w:tr>
      <w:tr w14:paraId="40E00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4174" w:type="dxa"/>
          </w:tcPr>
          <w:p w14:paraId="4388A146">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应急设备（电气设备、开关设备、电器和电子设备等）</w:t>
            </w:r>
          </w:p>
        </w:tc>
        <w:tc>
          <w:tcPr>
            <w:tcW w:w="1080" w:type="dxa"/>
          </w:tcPr>
          <w:p w14:paraId="147D4C7F">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22.5</w:t>
            </w:r>
          </w:p>
        </w:tc>
        <w:tc>
          <w:tcPr>
            <w:tcW w:w="932" w:type="dxa"/>
          </w:tcPr>
          <w:p w14:paraId="70FD546B">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22.5</w:t>
            </w:r>
          </w:p>
        </w:tc>
        <w:tc>
          <w:tcPr>
            <w:tcW w:w="1033" w:type="dxa"/>
          </w:tcPr>
          <w:p w14:paraId="6B8639B2">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740" w:type="dxa"/>
          </w:tcPr>
          <w:p w14:paraId="771E9A0A">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r>
      <w:tr w14:paraId="32D1C6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4174" w:type="dxa"/>
          </w:tcPr>
          <w:p w14:paraId="7A063E8F">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上列以外的设备、组件</w:t>
            </w:r>
          </w:p>
        </w:tc>
        <w:tc>
          <w:tcPr>
            <w:tcW w:w="1080" w:type="dxa"/>
          </w:tcPr>
          <w:p w14:paraId="7B8429C9">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932" w:type="dxa"/>
          </w:tcPr>
          <w:p w14:paraId="0CBF44FF">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22.5</w:t>
            </w:r>
          </w:p>
        </w:tc>
        <w:tc>
          <w:tcPr>
            <w:tcW w:w="1033" w:type="dxa"/>
          </w:tcPr>
          <w:p w14:paraId="7E4EB020">
            <w:pPr>
              <w:pStyle w:val="517"/>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5</w:t>
            </w:r>
            <w:r>
              <w:rPr>
                <w:rFonts w:hint="eastAsia" w:ascii="宋体" w:hAnsi="宋体" w:cs="宋体"/>
                <w:color w:val="auto"/>
                <w:highlight w:val="none"/>
                <w:vertAlign w:val="superscript"/>
                <w:lang w:val="en-US" w:eastAsia="zh-CN"/>
              </w:rPr>
              <w:t>b</w:t>
            </w:r>
          </w:p>
        </w:tc>
        <w:tc>
          <w:tcPr>
            <w:tcW w:w="740" w:type="dxa"/>
          </w:tcPr>
          <w:p w14:paraId="085FC3A1">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7.5</w:t>
            </w:r>
          </w:p>
        </w:tc>
      </w:tr>
      <w:tr w14:paraId="7FE31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7959" w:type="dxa"/>
            <w:gridSpan w:val="5"/>
          </w:tcPr>
          <w:p w14:paraId="5B2B9497">
            <w:pPr>
              <w:pStyle w:val="303"/>
              <w:numPr>
                <w:ilvl w:val="-1"/>
                <w:numId w:val="0"/>
              </w:numPr>
              <w:ind w:left="210" w:leftChars="0" w:firstLine="0" w:firstLineChars="0"/>
              <w:rPr>
                <w:rFonts w:hint="default" w:ascii="Times New Roman" w:hAnsi="Times New Roman" w:cs="Times New Roman" w:eastAsiaTheme="minorEastAsia"/>
                <w:color w:val="auto"/>
                <w:sz w:val="18"/>
                <w:szCs w:val="18"/>
                <w:highlight w:val="none"/>
              </w:rPr>
            </w:pPr>
            <w:r>
              <w:rPr>
                <w:rFonts w:hint="eastAsia" w:ascii="Times New Roman" w:cs="Times New Roman"/>
                <w:color w:val="auto"/>
                <w:sz w:val="18"/>
                <w:szCs w:val="18"/>
                <w:highlight w:val="none"/>
                <w:vertAlign w:val="superscript"/>
                <w:lang w:val="en-US" w:eastAsia="zh-CN"/>
              </w:rPr>
              <w:t>a</w:t>
            </w:r>
            <w:r>
              <w:rPr>
                <w:rFonts w:hint="default" w:ascii="Times New Roman" w:hAnsi="Times New Roman" w:cs="Times New Roman" w:eastAsiaTheme="minorEastAsia"/>
                <w:color w:val="auto"/>
                <w:sz w:val="18"/>
                <w:szCs w:val="18"/>
                <w:highlight w:val="none"/>
              </w:rPr>
              <w:t xml:space="preserve"> 可能同时发生横向和首尾向倾斜。</w:t>
            </w:r>
          </w:p>
          <w:p w14:paraId="087B39C7">
            <w:pPr>
              <w:pStyle w:val="303"/>
              <w:numPr>
                <w:ilvl w:val="-1"/>
                <w:numId w:val="0"/>
              </w:numPr>
              <w:ind w:left="210" w:leftChars="0" w:firstLine="0" w:firstLineChars="0"/>
              <w:rPr>
                <w:rFonts w:hint="eastAsia" w:ascii="宋体" w:hAnsi="宋体" w:eastAsia="宋体" w:cs="宋体"/>
                <w:color w:val="auto"/>
                <w:highlight w:val="none"/>
              </w:rPr>
            </w:pPr>
            <w:r>
              <w:rPr>
                <w:rFonts w:hint="eastAsia" w:ascii="Times New Roman" w:cs="Times New Roman" w:eastAsiaTheme="minorEastAsia"/>
                <w:color w:val="auto"/>
                <w:sz w:val="18"/>
                <w:szCs w:val="18"/>
                <w:highlight w:val="none"/>
                <w:vertAlign w:val="superscript"/>
                <w:lang w:val="en-US" w:eastAsia="zh-CN"/>
              </w:rPr>
              <w:t>b</w:t>
            </w:r>
            <w:r>
              <w:rPr>
                <w:rFonts w:hint="eastAsia" w:ascii="Times New Roman" w:cs="Times New Roman" w:eastAsiaTheme="minorEastAsia"/>
                <w:color w:val="auto"/>
                <w:sz w:val="18"/>
                <w:szCs w:val="18"/>
                <w:highlight w:val="none"/>
                <w:lang w:val="en-US" w:eastAsia="zh-CN"/>
              </w:rPr>
              <w:t xml:space="preserve"> </w:t>
            </w:r>
            <w:r>
              <w:rPr>
                <w:rFonts w:hint="default" w:ascii="Times New Roman" w:hAnsi="Times New Roman" w:cs="Times New Roman" w:eastAsiaTheme="minorEastAsia"/>
                <w:color w:val="auto"/>
                <w:sz w:val="18"/>
                <w:szCs w:val="18"/>
                <w:highlight w:val="none"/>
              </w:rPr>
              <w:t>当</w:t>
            </w:r>
            <w:r>
              <w:rPr>
                <w:rFonts w:hint="eastAsia" w:ascii="宋体" w:hAnsi="宋体" w:eastAsia="宋体" w:cs="宋体"/>
                <w:color w:val="auto"/>
                <w:sz w:val="18"/>
                <w:szCs w:val="18"/>
                <w:highlight w:val="none"/>
                <w:lang w:eastAsia="zh-CN"/>
              </w:rPr>
              <w:t>FPSO</w:t>
            </w:r>
            <w:r>
              <w:rPr>
                <w:rFonts w:hint="eastAsia" w:ascii="宋体" w:hAnsi="宋体" w:eastAsia="宋体" w:cs="宋体"/>
                <w:color w:val="auto"/>
                <w:sz w:val="18"/>
                <w:szCs w:val="18"/>
                <w:highlight w:val="none"/>
              </w:rPr>
              <w:t>的长度超过100</w:t>
            </w: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m时，纵倾角度按500/L取值</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L为船式</w:t>
            </w:r>
            <w:r>
              <w:rPr>
                <w:rFonts w:hint="eastAsia" w:ascii="宋体" w:hAnsi="宋体" w:eastAsia="宋体" w:cs="宋体"/>
                <w:color w:val="auto"/>
                <w:sz w:val="18"/>
                <w:szCs w:val="18"/>
                <w:highlight w:val="none"/>
                <w:lang w:eastAsia="zh-CN"/>
              </w:rPr>
              <w:t>FPSO</w:t>
            </w:r>
            <w:r>
              <w:rPr>
                <w:rFonts w:hint="eastAsia" w:ascii="宋体" w:hAnsi="宋体" w:eastAsia="宋体" w:cs="宋体"/>
                <w:color w:val="auto"/>
                <w:sz w:val="18"/>
                <w:szCs w:val="18"/>
                <w:highlight w:val="none"/>
              </w:rPr>
              <w:t>的船长</w:t>
            </w:r>
            <w:r>
              <w:rPr>
                <w:rFonts w:hint="default" w:ascii="Times New Roman" w:hAnsi="Times New Roman" w:cs="Times New Roman" w:eastAsiaTheme="minorEastAsia"/>
                <w:color w:val="auto"/>
                <w:sz w:val="18"/>
                <w:szCs w:val="18"/>
                <w:highlight w:val="none"/>
              </w:rPr>
              <w:t>。</w:t>
            </w:r>
          </w:p>
        </w:tc>
      </w:tr>
    </w:tbl>
    <w:p w14:paraId="3EB8D0B0">
      <w:pPr>
        <w:pStyle w:val="261"/>
        <w:keepNext w:val="0"/>
        <w:keepLines w:val="0"/>
        <w:pageBreakBefore w:val="0"/>
        <w:widowControl/>
        <w:kinsoku/>
        <w:wordWrap/>
        <w:overflowPunct/>
        <w:topLinePunct w:val="0"/>
        <w:autoSpaceDE/>
        <w:autoSpaceDN/>
        <w:bidi w:val="0"/>
        <w:adjustRightInd/>
        <w:snapToGrid/>
        <w:spacing w:beforeLines="0" w:afterLines="0"/>
        <w:textAlignment w:val="auto"/>
        <w:outlineLvl w:val="9"/>
        <w:rPr>
          <w:rFonts w:hint="eastAsia" w:ascii="宋体" w:hAnsi="宋体" w:eastAsia="宋体" w:cs="宋体"/>
          <w:color w:val="auto"/>
          <w:highlight w:val="none"/>
          <w:lang w:eastAsia="zh-CN"/>
        </w:rPr>
      </w:pPr>
      <w:bookmarkStart w:id="1079" w:name="_Toc5866"/>
      <w:bookmarkStart w:id="1080" w:name="_Toc25643"/>
      <w:bookmarkStart w:id="1081" w:name="_Toc15968"/>
      <w:bookmarkStart w:id="1082" w:name="_Toc30576"/>
      <w:bookmarkStart w:id="1083" w:name="_Toc15513"/>
      <w:bookmarkStart w:id="1084" w:name="_Toc29024"/>
      <w:bookmarkStart w:id="1085" w:name="_Toc15497"/>
      <w:bookmarkStart w:id="1086" w:name="_Toc14224"/>
      <w:bookmarkStart w:id="1087" w:name="_Toc8533"/>
      <w:bookmarkStart w:id="1088" w:name="_Toc24979"/>
      <w:bookmarkStart w:id="1089" w:name="_Toc227"/>
      <w:r>
        <w:rPr>
          <w:rFonts w:hint="eastAsia" w:ascii="宋体" w:hAnsi="宋体" w:eastAsia="宋体" w:cs="宋体"/>
          <w:color w:val="auto"/>
          <w:highlight w:val="none"/>
          <w:lang w:eastAsia="zh-CN"/>
        </w:rPr>
        <w:t>电气装置</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lang w:eastAsia="zh-CN"/>
        </w:rPr>
        <w:t>满足</w:t>
      </w:r>
      <w:r>
        <w:rPr>
          <w:rFonts w:hint="eastAsia" w:ascii="宋体" w:hAnsi="宋体" w:eastAsia="宋体" w:cs="宋体"/>
          <w:color w:val="auto"/>
          <w:highlight w:val="none"/>
          <w:lang w:val="en-US" w:eastAsia="zh-CN"/>
        </w:rPr>
        <w:t>以下要求</w:t>
      </w:r>
      <w:r>
        <w:rPr>
          <w:rFonts w:hint="eastAsia" w:ascii="宋体" w:hAnsi="宋体" w:eastAsia="宋体" w:cs="宋体"/>
          <w:color w:val="auto"/>
          <w:highlight w:val="none"/>
          <w:lang w:eastAsia="zh-CN"/>
        </w:rPr>
        <w:t>：</w:t>
      </w:r>
      <w:bookmarkEnd w:id="1079"/>
      <w:bookmarkEnd w:id="1080"/>
      <w:bookmarkEnd w:id="1081"/>
    </w:p>
    <w:p w14:paraId="008C4C74">
      <w:pPr>
        <w:pStyle w:val="305"/>
        <w:numPr>
          <w:ilvl w:val="0"/>
          <w:numId w:val="6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在正常情况下对FPSO生产作业和生活用电设备供电，无需应急电源供电；</w:t>
      </w:r>
    </w:p>
    <w:p w14:paraId="412645E0">
      <w:pPr>
        <w:pStyle w:val="305"/>
        <w:numPr>
          <w:ilvl w:val="0"/>
          <w:numId w:val="6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在主电源失效的情况下，确保向维持设施安全和人员基本生活必需的电气设备供电；</w:t>
      </w:r>
    </w:p>
    <w:p w14:paraId="37FBEB0C">
      <w:pPr>
        <w:pStyle w:val="305"/>
        <w:numPr>
          <w:ilvl w:val="0"/>
          <w:numId w:val="6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保证FPSO上设备及人员的安全，免受电气事故的伤害；</w:t>
      </w:r>
    </w:p>
    <w:p w14:paraId="2ADB23AE">
      <w:pPr>
        <w:pStyle w:val="305"/>
        <w:numPr>
          <w:ilvl w:val="0"/>
          <w:numId w:val="6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设置电气设备监测系统实时监测电气设备的运行状态和健康状况。</w:t>
      </w:r>
    </w:p>
    <w:p w14:paraId="7B7F227F">
      <w:pPr>
        <w:pStyle w:val="260"/>
        <w:outlineLvl w:val="1"/>
        <w:rPr>
          <w:rFonts w:hint="default" w:ascii="Times New Roman" w:hAnsi="Times New Roman" w:cs="Times New Roman"/>
          <w:color w:val="auto"/>
          <w:highlight w:val="none"/>
        </w:rPr>
      </w:pPr>
      <w:bookmarkStart w:id="1090" w:name="_Toc5834"/>
      <w:bookmarkStart w:id="1091" w:name="_Toc27486"/>
      <w:bookmarkStart w:id="1092" w:name="_Toc2722"/>
      <w:bookmarkStart w:id="1093" w:name="_Toc26628"/>
      <w:bookmarkStart w:id="1094" w:name="_Toc26583"/>
      <w:bookmarkStart w:id="1095" w:name="_Toc6021"/>
      <w:r>
        <w:rPr>
          <w:rFonts w:hint="eastAsia" w:ascii="Times New Roman" w:hAnsi="Times New Roman" w:cs="Times New Roman"/>
          <w:color w:val="auto"/>
          <w:highlight w:val="none"/>
          <w:lang w:val="en-US" w:eastAsia="zh-CN"/>
        </w:rPr>
        <w:t>主电源系统</w:t>
      </w:r>
      <w:bookmarkEnd w:id="1090"/>
      <w:bookmarkEnd w:id="1091"/>
      <w:bookmarkEnd w:id="1092"/>
      <w:bookmarkEnd w:id="1093"/>
      <w:bookmarkEnd w:id="1094"/>
      <w:bookmarkEnd w:id="1095"/>
    </w:p>
    <w:p w14:paraId="3081F211">
      <w:pPr>
        <w:pStyle w:val="261"/>
        <w:tabs>
          <w:tab w:val="left" w:pos="0"/>
        </w:tabs>
        <w:spacing w:before="156" w:after="156"/>
        <w:outlineLvl w:val="2"/>
        <w:rPr>
          <w:rFonts w:hint="default" w:ascii="Times New Roman" w:hAnsi="Times New Roman" w:cs="Times New Roman"/>
          <w:color w:val="auto"/>
          <w:highlight w:val="none"/>
        </w:rPr>
      </w:pPr>
      <w:bookmarkStart w:id="1096" w:name="_Toc23930"/>
      <w:bookmarkStart w:id="1097" w:name="_Toc7545"/>
      <w:bookmarkStart w:id="1098" w:name="_Toc3262"/>
      <w:bookmarkStart w:id="1099" w:name="_Toc17128"/>
      <w:r>
        <w:rPr>
          <w:rFonts w:hint="default" w:ascii="Times New Roman" w:hAnsi="Times New Roman" w:cs="Times New Roman"/>
          <w:color w:val="auto"/>
          <w:highlight w:val="none"/>
        </w:rPr>
        <w:t>主电源</w:t>
      </w:r>
      <w:bookmarkEnd w:id="1082"/>
      <w:bookmarkEnd w:id="1083"/>
      <w:bookmarkEnd w:id="1084"/>
      <w:bookmarkEnd w:id="1085"/>
      <w:bookmarkEnd w:id="1096"/>
      <w:bookmarkEnd w:id="1097"/>
      <w:bookmarkEnd w:id="1098"/>
      <w:bookmarkEnd w:id="1099"/>
    </w:p>
    <w:p w14:paraId="4C6A8E42">
      <w:pPr>
        <w:pStyle w:val="290"/>
        <w:numPr>
          <w:ilvl w:val="3"/>
          <w:numId w:val="0"/>
        </w:numPr>
        <w:spacing w:before="0" w:beforeLines="0" w:after="0" w:afterLines="0"/>
        <w:ind w:leftChars="0" w:firstLine="420" w:firstLineChars="200"/>
        <w:jc w:val="both"/>
        <w:outlineLvl w:val="9"/>
        <w:rPr>
          <w:rFonts w:hint="default" w:ascii="Times New Roman" w:hAnsi="Times New Roman" w:eastAsia="宋体" w:cs="Times New Roman"/>
          <w:color w:val="auto"/>
          <w:highlight w:val="none"/>
        </w:rPr>
      </w:pPr>
      <w:r>
        <w:rPr>
          <w:rFonts w:hint="eastAsia" w:ascii="宋体" w:hAnsi="宋体" w:eastAsia="宋体" w:cs="宋体"/>
          <w:color w:val="auto"/>
          <w:highlight w:val="none"/>
        </w:rPr>
        <w:t>采用发电机组作主电源时应设置备用发电机，其</w:t>
      </w:r>
      <w:r>
        <w:rPr>
          <w:rFonts w:hint="eastAsia" w:ascii="宋体" w:hAnsi="宋体" w:eastAsia="宋体" w:cs="宋体"/>
          <w:color w:val="auto"/>
          <w:highlight w:val="none"/>
          <w:lang w:val="en-US" w:eastAsia="zh-CN"/>
        </w:rPr>
        <w:t>数量</w:t>
      </w:r>
      <w:r>
        <w:rPr>
          <w:rFonts w:hint="eastAsia" w:ascii="宋体" w:hAnsi="宋体" w:eastAsia="宋体" w:cs="宋体"/>
          <w:color w:val="auto"/>
          <w:highlight w:val="none"/>
        </w:rPr>
        <w:t>和容量应满足当最大单台发电机组停运时，其余在运发电机组的发电能力应满足</w:t>
      </w: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正常生产和生活的电力需求。</w:t>
      </w:r>
    </w:p>
    <w:p w14:paraId="23AAE7B3">
      <w:pPr>
        <w:pStyle w:val="261"/>
        <w:spacing w:before="156" w:after="156"/>
        <w:outlineLvl w:val="2"/>
        <w:rPr>
          <w:rFonts w:hint="default" w:ascii="Times New Roman" w:hAnsi="Times New Roman" w:cs="Times New Roman"/>
          <w:color w:val="auto"/>
          <w:highlight w:val="none"/>
        </w:rPr>
      </w:pPr>
      <w:bookmarkStart w:id="1100" w:name="_Toc19186"/>
      <w:bookmarkStart w:id="1101" w:name="_Toc7661"/>
      <w:bookmarkStart w:id="1102" w:name="_Toc8425"/>
      <w:bookmarkStart w:id="1103" w:name="_Toc20242"/>
      <w:bookmarkStart w:id="1104" w:name="_Toc21742"/>
      <w:bookmarkStart w:id="1105" w:name="_Toc8958"/>
      <w:bookmarkStart w:id="1106" w:name="_Toc13111"/>
      <w:bookmarkStart w:id="1107" w:name="_Toc5193"/>
      <w:bookmarkStart w:id="1108" w:name="_Toc19943"/>
      <w:r>
        <w:rPr>
          <w:rFonts w:hint="default" w:ascii="Times New Roman" w:hAnsi="Times New Roman" w:cs="Times New Roman"/>
          <w:color w:val="auto"/>
          <w:highlight w:val="none"/>
        </w:rPr>
        <w:t>主配电装置</w:t>
      </w:r>
      <w:bookmarkEnd w:id="1100"/>
      <w:bookmarkEnd w:id="1101"/>
      <w:bookmarkEnd w:id="1102"/>
      <w:bookmarkEnd w:id="1103"/>
      <w:bookmarkEnd w:id="1104"/>
      <w:bookmarkEnd w:id="1105"/>
      <w:bookmarkEnd w:id="1106"/>
      <w:bookmarkEnd w:id="1107"/>
      <w:bookmarkEnd w:id="1108"/>
    </w:p>
    <w:p w14:paraId="4A74AA88">
      <w:pPr>
        <w:pStyle w:val="290"/>
        <w:numPr>
          <w:ilvl w:val="3"/>
          <w:numId w:val="62"/>
        </w:numPr>
        <w:spacing w:before="0" w:beforeLines="0" w:after="0" w:afterLines="0"/>
        <w:jc w:val="both"/>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主配电板的后面和上方不应设有水管、油管、蒸汽管、油柜及其他液体容器。若不可避免</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应</w:t>
      </w:r>
      <w:r>
        <w:rPr>
          <w:rFonts w:hint="default" w:ascii="Times New Roman" w:hAnsi="Times New Roman" w:eastAsia="宋体"/>
          <w:color w:val="auto"/>
          <w:highlight w:val="none"/>
        </w:rPr>
        <w:t>采取防渗漏、防结露及防腐蚀等措施</w:t>
      </w:r>
      <w:r>
        <w:rPr>
          <w:rFonts w:hint="default" w:ascii="Times New Roman" w:hAnsi="Times New Roman" w:eastAsia="宋体" w:cs="Times New Roman"/>
          <w:color w:val="auto"/>
          <w:highlight w:val="none"/>
        </w:rPr>
        <w:t>。使用水冷空调的电气间应将水管布置在房间外。</w:t>
      </w:r>
    </w:p>
    <w:p w14:paraId="5F01B0BB">
      <w:pPr>
        <w:pStyle w:val="290"/>
        <w:numPr>
          <w:ilvl w:val="3"/>
          <w:numId w:val="62"/>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主配电装置的长度超过6</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m时，其柜（屏）后通道应设两个出口。当低压配电装置相邻出口间距大于15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m时应增加出口。长度大于7</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m的配电室应设置两个安全出口。配电室的门应设置向外开启的防火门。</w:t>
      </w:r>
    </w:p>
    <w:p w14:paraId="3010958D">
      <w:pPr>
        <w:pStyle w:val="290"/>
        <w:numPr>
          <w:ilvl w:val="3"/>
          <w:numId w:val="62"/>
        </w:numPr>
        <w:spacing w:before="0" w:beforeLines="0" w:after="0" w:afterLines="0"/>
        <w:jc w:val="both"/>
        <w:outlineLvl w:val="9"/>
        <w:rPr>
          <w:rFonts w:hint="default"/>
          <w:color w:val="auto"/>
          <w:highlight w:val="none"/>
        </w:rPr>
      </w:pPr>
      <w:r>
        <w:rPr>
          <w:rFonts w:hint="default" w:ascii="Times New Roman" w:hAnsi="Times New Roman" w:eastAsia="宋体" w:cs="Times New Roman"/>
          <w:color w:val="auto"/>
          <w:highlight w:val="none"/>
        </w:rPr>
        <w:t>主配电板的前后均应铺有防滑和耐油的绝缘橡胶板或经绝缘处理的木格栅</w:t>
      </w:r>
      <w:r>
        <w:rPr>
          <w:rFonts w:hint="eastAsia" w:ascii="Times New Roman" w:hAnsi="Times New Roman" w:eastAsia="宋体" w:cs="Times New Roman"/>
          <w:color w:val="auto"/>
          <w:highlight w:val="none"/>
          <w:lang w:eastAsia="zh-CN"/>
        </w:rPr>
        <w:t>。</w:t>
      </w:r>
    </w:p>
    <w:bookmarkEnd w:id="1086"/>
    <w:bookmarkEnd w:id="1087"/>
    <w:bookmarkEnd w:id="1088"/>
    <w:bookmarkEnd w:id="1089"/>
    <w:p w14:paraId="5DE58AC9">
      <w:pPr>
        <w:pStyle w:val="260"/>
        <w:outlineLvl w:val="1"/>
        <w:rPr>
          <w:rFonts w:hint="default" w:ascii="Times New Roman" w:hAnsi="Times New Roman" w:cs="Times New Roman"/>
          <w:color w:val="auto"/>
          <w:highlight w:val="none"/>
        </w:rPr>
      </w:pPr>
      <w:bookmarkStart w:id="1109" w:name="_Toc10177"/>
      <w:bookmarkStart w:id="1110" w:name="_Toc20992"/>
      <w:bookmarkStart w:id="1111" w:name="_Toc22044"/>
      <w:bookmarkStart w:id="1112" w:name="_Toc11457"/>
      <w:bookmarkStart w:id="1113" w:name="_Toc16824"/>
      <w:bookmarkStart w:id="1114" w:name="_Toc28806"/>
      <w:bookmarkStart w:id="1115" w:name="_Toc31209"/>
      <w:bookmarkStart w:id="1116" w:name="_Toc29386"/>
      <w:bookmarkStart w:id="1117" w:name="_Toc7431"/>
      <w:bookmarkStart w:id="1118" w:name="_Toc183727710"/>
      <w:bookmarkStart w:id="1119" w:name="_Toc6406"/>
      <w:r>
        <w:rPr>
          <w:rFonts w:hint="default" w:ascii="Times New Roman" w:hAnsi="Times New Roman" w:cs="Times New Roman"/>
          <w:color w:val="auto"/>
          <w:highlight w:val="none"/>
        </w:rPr>
        <w:t>应急电源系统</w:t>
      </w:r>
      <w:bookmarkEnd w:id="1109"/>
      <w:bookmarkEnd w:id="1110"/>
      <w:bookmarkEnd w:id="1111"/>
      <w:bookmarkEnd w:id="1112"/>
      <w:bookmarkEnd w:id="1113"/>
      <w:bookmarkEnd w:id="1114"/>
      <w:bookmarkEnd w:id="1115"/>
      <w:bookmarkEnd w:id="1116"/>
      <w:bookmarkEnd w:id="1117"/>
      <w:bookmarkEnd w:id="1118"/>
      <w:bookmarkEnd w:id="1119"/>
    </w:p>
    <w:p w14:paraId="6581D496">
      <w:pPr>
        <w:pStyle w:val="290"/>
        <w:numPr>
          <w:ilvl w:val="3"/>
          <w:numId w:val="0"/>
        </w:numPr>
        <w:spacing w:before="0" w:beforeLines="0" w:after="0" w:afterLines="0"/>
        <w:ind w:leftChars="0" w:firstLine="420" w:firstLineChars="200"/>
        <w:jc w:val="both"/>
        <w:outlineLvl w:val="9"/>
        <w:rPr>
          <w:rFonts w:hint="default" w:ascii="Times New Roman" w:hAnsi="Times New Roman" w:eastAsia="宋体" w:cs="Times New Roman"/>
          <w:color w:val="auto"/>
          <w:highlight w:val="none"/>
          <w:lang w:val="en-US" w:eastAsia="zh-CN"/>
        </w:rPr>
      </w:pPr>
      <w:bookmarkStart w:id="1120" w:name="_Toc7280"/>
      <w:bookmarkStart w:id="1121" w:name="_Toc25880"/>
      <w:bookmarkStart w:id="1122" w:name="_Toc32736"/>
      <w:bookmarkStart w:id="1123" w:name="_Toc4065"/>
      <w:bookmarkStart w:id="1124" w:name="_Toc27378"/>
      <w:bookmarkStart w:id="1125" w:name="_Toc32287"/>
      <w:bookmarkStart w:id="1126" w:name="_Toc9119"/>
      <w:r>
        <w:rPr>
          <w:rFonts w:hint="default" w:ascii="Times New Roman" w:hAnsi="Times New Roman" w:eastAsia="宋体" w:cs="Times New Roman"/>
          <w:color w:val="auto"/>
          <w:highlight w:val="none"/>
          <w:lang w:val="en-US" w:eastAsia="zh-CN"/>
        </w:rPr>
        <w:t>应急电源</w:t>
      </w:r>
      <w:r>
        <w:rPr>
          <w:rFonts w:hint="eastAsia" w:ascii="Times New Roman" w:hAnsi="Times New Roman" w:eastAsia="宋体" w:cs="Times New Roman"/>
          <w:color w:val="auto"/>
          <w:highlight w:val="none"/>
          <w:lang w:val="en-US" w:eastAsia="zh-CN"/>
        </w:rPr>
        <w:t>系统应</w:t>
      </w:r>
      <w:r>
        <w:rPr>
          <w:rFonts w:hint="default" w:ascii="Times New Roman" w:hAnsi="Times New Roman" w:eastAsia="宋体" w:cs="Times New Roman"/>
          <w:color w:val="auto"/>
          <w:highlight w:val="none"/>
          <w:lang w:val="en-US" w:eastAsia="zh-CN"/>
        </w:rPr>
        <w:t>由</w:t>
      </w:r>
      <w:r>
        <w:rPr>
          <w:rFonts w:hint="eastAsia" w:ascii="Times New Roman" w:hAnsi="Times New Roman" w:eastAsia="宋体" w:cs="Times New Roman"/>
          <w:color w:val="auto"/>
          <w:highlight w:val="none"/>
          <w:lang w:val="en-US" w:eastAsia="zh-CN"/>
        </w:rPr>
        <w:t>下列设备</w:t>
      </w:r>
      <w:r>
        <w:rPr>
          <w:rFonts w:hint="default" w:ascii="Times New Roman" w:hAnsi="Times New Roman" w:eastAsia="宋体" w:cs="Times New Roman"/>
          <w:color w:val="auto"/>
          <w:highlight w:val="none"/>
          <w:lang w:val="en-US" w:eastAsia="zh-CN"/>
        </w:rPr>
        <w:t>中的部分或全部组成：</w:t>
      </w:r>
      <w:bookmarkEnd w:id="1120"/>
      <w:bookmarkEnd w:id="1121"/>
      <w:bookmarkEnd w:id="1122"/>
      <w:bookmarkEnd w:id="1123"/>
      <w:bookmarkEnd w:id="1124"/>
      <w:bookmarkEnd w:id="1125"/>
      <w:bookmarkEnd w:id="1126"/>
    </w:p>
    <w:p w14:paraId="5DE985A8">
      <w:pPr>
        <w:pStyle w:val="305"/>
        <w:numPr>
          <w:ilvl w:val="0"/>
          <w:numId w:val="63"/>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柴油机发电机组（简称应急发电机）；</w:t>
      </w:r>
    </w:p>
    <w:p w14:paraId="593C0A20">
      <w:pPr>
        <w:pStyle w:val="305"/>
        <w:numPr>
          <w:ilvl w:val="0"/>
          <w:numId w:val="63"/>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蓄电池组；</w:t>
      </w:r>
    </w:p>
    <w:p w14:paraId="76B319CD">
      <w:pPr>
        <w:pStyle w:val="305"/>
        <w:numPr>
          <w:ilvl w:val="0"/>
          <w:numId w:val="63"/>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交流不间断电源。</w:t>
      </w:r>
    </w:p>
    <w:p w14:paraId="4C38DEC6">
      <w:pPr>
        <w:pStyle w:val="261"/>
        <w:spacing w:before="156" w:after="156"/>
        <w:outlineLvl w:val="2"/>
        <w:rPr>
          <w:rFonts w:hint="default" w:ascii="Times New Roman" w:hAnsi="Times New Roman" w:cs="Times New Roman"/>
          <w:color w:val="auto"/>
          <w:highlight w:val="none"/>
        </w:rPr>
      </w:pPr>
      <w:bookmarkStart w:id="1127" w:name="_Toc25738"/>
      <w:bookmarkStart w:id="1128" w:name="_Toc18833"/>
      <w:bookmarkStart w:id="1129" w:name="_Toc11065"/>
      <w:bookmarkStart w:id="1130" w:name="_Toc5932"/>
      <w:bookmarkStart w:id="1131" w:name="_Toc8404"/>
      <w:bookmarkStart w:id="1132" w:name="_Toc2838"/>
      <w:bookmarkStart w:id="1133" w:name="_Toc13671"/>
      <w:r>
        <w:rPr>
          <w:rFonts w:hint="default" w:ascii="Times New Roman" w:hAnsi="Times New Roman" w:cs="Times New Roman"/>
          <w:color w:val="auto"/>
          <w:highlight w:val="none"/>
        </w:rPr>
        <w:t>应急电源的供电要求</w:t>
      </w:r>
      <w:bookmarkEnd w:id="1127"/>
      <w:bookmarkEnd w:id="1128"/>
      <w:bookmarkEnd w:id="1129"/>
      <w:bookmarkEnd w:id="1130"/>
      <w:bookmarkEnd w:id="1131"/>
      <w:bookmarkEnd w:id="1132"/>
      <w:bookmarkEnd w:id="1133"/>
    </w:p>
    <w:p w14:paraId="7A629016">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default" w:ascii="Times New Roman" w:hAnsi="Times New Roman" w:eastAsia="宋体" w:cs="Times New Roman"/>
          <w:color w:val="auto"/>
          <w:highlight w:val="none"/>
        </w:rPr>
        <w:t>应急发电机在主</w:t>
      </w:r>
      <w:r>
        <w:rPr>
          <w:rFonts w:hint="eastAsia" w:ascii="宋体" w:hAnsi="宋体" w:eastAsia="宋体" w:cs="宋体"/>
          <w:color w:val="auto"/>
          <w:highlight w:val="none"/>
        </w:rPr>
        <w:t>电源供电失效的情况下，</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在45</w:t>
      </w:r>
      <w:r>
        <w:rPr>
          <w:rFonts w:hint="eastAsia" w:ascii="宋体" w:hAnsi="宋体" w:eastAsia="宋体" w:cs="宋体"/>
          <w:color w:val="auto"/>
          <w:highlight w:val="none"/>
          <w:lang w:val="en-US" w:eastAsia="zh-CN"/>
        </w:rPr>
        <w:t xml:space="preserve"> s</w:t>
      </w:r>
      <w:r>
        <w:rPr>
          <w:rFonts w:hint="eastAsia" w:ascii="宋体" w:hAnsi="宋体" w:eastAsia="宋体" w:cs="宋体"/>
          <w:color w:val="auto"/>
          <w:highlight w:val="none"/>
        </w:rPr>
        <w:t>之内自动启动和供电。</w:t>
      </w:r>
    </w:p>
    <w:p w14:paraId="276B5F5C">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蓄电池组应在主电源及应急发电机供电失效的情况下自动供电，保证在规定的供电时间内供电</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并应</w:t>
      </w:r>
      <w:r>
        <w:rPr>
          <w:rFonts w:hint="eastAsia" w:ascii="宋体" w:hAnsi="宋体" w:eastAsia="宋体" w:cs="宋体"/>
          <w:color w:val="auto"/>
          <w:highlight w:val="none"/>
        </w:rPr>
        <w:t>使电压保持在额定值（+/-12%）的范围内。</w:t>
      </w:r>
    </w:p>
    <w:p w14:paraId="49837648">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交流不间断电源应在主电源</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rPr>
        <w:t>应急发电机供电失效时立即</w:t>
      </w:r>
      <w:r>
        <w:rPr>
          <w:rFonts w:hint="eastAsia" w:ascii="宋体" w:hAnsi="宋体" w:eastAsia="宋体" w:cs="宋体"/>
          <w:color w:val="auto"/>
          <w:highlight w:val="none"/>
          <w:lang w:val="en-US" w:eastAsia="zh-CN"/>
        </w:rPr>
        <w:t>不间断地</w:t>
      </w:r>
      <w:r>
        <w:rPr>
          <w:rFonts w:hint="eastAsia" w:ascii="宋体" w:hAnsi="宋体" w:eastAsia="宋体" w:cs="宋体"/>
          <w:color w:val="auto"/>
          <w:highlight w:val="none"/>
        </w:rPr>
        <w:t>供电。</w:t>
      </w:r>
    </w:p>
    <w:p w14:paraId="18292E2B">
      <w:pPr>
        <w:pStyle w:val="261"/>
        <w:spacing w:before="156" w:after="156"/>
        <w:jc w:val="both"/>
        <w:outlineLvl w:val="2"/>
        <w:rPr>
          <w:rFonts w:hint="default" w:ascii="Times New Roman" w:hAnsi="Times New Roman" w:cs="Times New Roman"/>
          <w:color w:val="auto"/>
          <w:highlight w:val="none"/>
        </w:rPr>
      </w:pPr>
      <w:bookmarkStart w:id="1134" w:name="_Toc2183"/>
      <w:bookmarkStart w:id="1135" w:name="_Toc221"/>
      <w:bookmarkStart w:id="1136" w:name="_Toc10924"/>
      <w:bookmarkStart w:id="1137" w:name="_Toc23847"/>
      <w:bookmarkStart w:id="1138" w:name="_Toc19918"/>
      <w:bookmarkStart w:id="1139" w:name="_Toc32199"/>
      <w:bookmarkStart w:id="1140" w:name="_Toc14939"/>
      <w:r>
        <w:rPr>
          <w:rFonts w:hint="default" w:ascii="Times New Roman" w:hAnsi="Times New Roman" w:cs="Times New Roman"/>
          <w:color w:val="auto"/>
          <w:highlight w:val="none"/>
        </w:rPr>
        <w:t>应急电源的布置</w:t>
      </w:r>
      <w:bookmarkEnd w:id="1134"/>
      <w:bookmarkEnd w:id="1135"/>
      <w:bookmarkEnd w:id="1136"/>
      <w:bookmarkEnd w:id="1137"/>
      <w:bookmarkEnd w:id="1138"/>
      <w:bookmarkEnd w:id="1139"/>
      <w:bookmarkEnd w:id="1140"/>
    </w:p>
    <w:p w14:paraId="33F1FED5">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应急电源和应急配电板的安装处所，应远离主发电机所在的机器处所，并用A-60级耐火舱壁及甲板与其相邻的处所相隔离。</w:t>
      </w:r>
    </w:p>
    <w:p w14:paraId="51BB7788">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应急电源应保证在主电站所在处所或其他机器处所发生火灾或其他事故时，不致</w:t>
      </w:r>
      <w:r>
        <w:rPr>
          <w:rFonts w:hint="eastAsia" w:ascii="宋体" w:hAnsi="宋体" w:eastAsia="宋体" w:cs="宋体"/>
          <w:color w:val="auto"/>
          <w:highlight w:val="none"/>
          <w:lang w:val="en-US" w:eastAsia="zh-CN"/>
        </w:rPr>
        <w:t>影响</w:t>
      </w:r>
      <w:r>
        <w:rPr>
          <w:rFonts w:hint="eastAsia" w:ascii="宋体" w:hAnsi="宋体" w:eastAsia="宋体" w:cs="宋体"/>
          <w:color w:val="auto"/>
          <w:highlight w:val="none"/>
        </w:rPr>
        <w:t>其供电。</w:t>
      </w:r>
    </w:p>
    <w:p w14:paraId="61CBC568">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b w:val="0"/>
          <w:bCs w:val="0"/>
          <w:color w:val="auto"/>
          <w:sz w:val="21"/>
          <w:szCs w:val="21"/>
          <w:highlight w:val="none"/>
        </w:rPr>
        <w:t>应急电源</w:t>
      </w:r>
      <w:r>
        <w:rPr>
          <w:rFonts w:hint="eastAsia" w:ascii="宋体" w:hAnsi="宋体" w:eastAsia="宋体" w:cs="宋体"/>
          <w:b w:val="0"/>
          <w:bCs w:val="0"/>
          <w:color w:val="auto"/>
          <w:sz w:val="21"/>
          <w:szCs w:val="21"/>
          <w:highlight w:val="none"/>
          <w:lang w:val="en-US" w:eastAsia="zh-CN"/>
        </w:rPr>
        <w:t>及变压器</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应急配电板</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含</w:t>
      </w:r>
      <w:r>
        <w:rPr>
          <w:rFonts w:hint="eastAsia" w:ascii="宋体" w:hAnsi="宋体" w:eastAsia="宋体" w:cs="宋体"/>
          <w:b w:val="0"/>
          <w:bCs w:val="0"/>
          <w:color w:val="auto"/>
          <w:sz w:val="21"/>
          <w:szCs w:val="21"/>
          <w:highlight w:val="none"/>
        </w:rPr>
        <w:t>应急照明配电板</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应安装在破舱水线以上</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7.1.2规定的</w:t>
      </w:r>
      <w:r>
        <w:rPr>
          <w:rFonts w:hint="eastAsia" w:ascii="宋体" w:hAnsi="宋体" w:eastAsia="宋体" w:cs="宋体"/>
          <w:b w:val="0"/>
          <w:bCs w:val="0"/>
          <w:color w:val="auto"/>
          <w:sz w:val="21"/>
          <w:szCs w:val="21"/>
          <w:highlight w:val="none"/>
        </w:rPr>
        <w:t>假定破损范围之外</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且</w:t>
      </w:r>
      <w:r>
        <w:rPr>
          <w:rFonts w:hint="eastAsia" w:ascii="宋体" w:hAnsi="宋体" w:eastAsia="宋体" w:cs="宋体"/>
          <w:color w:val="auto"/>
          <w:highlight w:val="none"/>
        </w:rPr>
        <w:t>易于直接从开敞甲板到达</w:t>
      </w:r>
      <w:r>
        <w:rPr>
          <w:rFonts w:hint="eastAsia" w:ascii="宋体" w:hAnsi="宋体" w:eastAsia="宋体" w:cs="宋体"/>
          <w:color w:val="auto"/>
          <w:highlight w:val="none"/>
          <w:lang w:val="en-US" w:eastAsia="zh-CN"/>
        </w:rPr>
        <w:t>的处所</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不应安装在防撞舱壁（如有）之前</w:t>
      </w:r>
      <w:r>
        <w:rPr>
          <w:rFonts w:hint="eastAsia" w:ascii="宋体" w:hAnsi="宋体" w:eastAsia="宋体" w:cs="宋体"/>
          <w:color w:val="auto"/>
          <w:highlight w:val="none"/>
        </w:rPr>
        <w:t>。</w:t>
      </w:r>
    </w:p>
    <w:p w14:paraId="56BD9390">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交流不间断电源所用的蓄电池组不</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与应急配电板安装在同一处所。</w:t>
      </w:r>
    </w:p>
    <w:p w14:paraId="35985B5A">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蓄电池的布置应满足</w:t>
      </w:r>
      <w:r>
        <w:rPr>
          <w:rFonts w:hint="eastAsia" w:ascii="宋体" w:hAnsi="宋体" w:eastAsia="宋体" w:cs="宋体"/>
          <w:color w:val="auto"/>
          <w:highlight w:val="none"/>
          <w:lang w:val="en-US" w:eastAsia="zh-CN"/>
        </w:rPr>
        <w:t xml:space="preserve">GB </w:t>
      </w:r>
      <w:r>
        <w:rPr>
          <w:rFonts w:hint="eastAsia" w:ascii="宋体" w:hAnsi="宋体" w:cs="宋体"/>
          <w:color w:val="auto"/>
          <w:highlight w:val="none"/>
          <w:lang w:val="en-US" w:eastAsia="zh-CN"/>
        </w:rPr>
        <w:t>46766</w:t>
      </w:r>
      <w:r>
        <w:rPr>
          <w:rFonts w:hint="eastAsia" w:ascii="宋体" w:hAnsi="宋体" w:eastAsia="宋体" w:cs="宋体"/>
          <w:color w:val="auto"/>
          <w:highlight w:val="none"/>
        </w:rPr>
        <w:t>的要求。</w:t>
      </w:r>
    </w:p>
    <w:p w14:paraId="20AAF378">
      <w:pPr>
        <w:pStyle w:val="261"/>
        <w:spacing w:before="156" w:after="156"/>
        <w:jc w:val="both"/>
        <w:outlineLvl w:val="2"/>
        <w:rPr>
          <w:rFonts w:hint="default" w:ascii="Times New Roman" w:hAnsi="Times New Roman" w:cs="Times New Roman"/>
          <w:color w:val="auto"/>
          <w:highlight w:val="none"/>
        </w:rPr>
      </w:pPr>
      <w:bookmarkStart w:id="1141" w:name="_Toc12491"/>
      <w:bookmarkStart w:id="1142" w:name="_Toc1670"/>
      <w:bookmarkStart w:id="1143" w:name="_Toc14094"/>
      <w:bookmarkStart w:id="1144" w:name="_Toc6276"/>
      <w:bookmarkStart w:id="1145" w:name="_Toc23345"/>
      <w:bookmarkStart w:id="1146" w:name="_Toc11700"/>
      <w:bookmarkStart w:id="1147" w:name="_Toc14320"/>
      <w:r>
        <w:rPr>
          <w:rFonts w:hint="default" w:ascii="Times New Roman" w:hAnsi="Times New Roman" w:cs="Times New Roman"/>
          <w:color w:val="auto"/>
          <w:highlight w:val="none"/>
        </w:rPr>
        <w:t>应急电源供电范围和时间</w:t>
      </w:r>
      <w:bookmarkEnd w:id="1141"/>
      <w:bookmarkEnd w:id="1142"/>
      <w:bookmarkEnd w:id="1143"/>
      <w:bookmarkEnd w:id="1144"/>
      <w:bookmarkEnd w:id="1145"/>
      <w:bookmarkEnd w:id="1146"/>
      <w:bookmarkEnd w:id="1147"/>
    </w:p>
    <w:p w14:paraId="50A7AB08">
      <w:pPr>
        <w:pStyle w:val="290"/>
        <w:numPr>
          <w:ilvl w:val="3"/>
          <w:numId w:val="33"/>
        </w:numPr>
        <w:spacing w:before="0" w:beforeLines="0" w:after="0" w:afterLines="0"/>
        <w:jc w:val="both"/>
        <w:outlineLvl w:val="9"/>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应急电源应对下列处所的应急照明</w:t>
      </w:r>
      <w:r>
        <w:rPr>
          <w:rFonts w:hint="eastAsia" w:ascii="宋体" w:hAnsi="宋体" w:eastAsia="宋体" w:cs="宋体"/>
          <w:color w:val="auto"/>
          <w:highlight w:val="none"/>
        </w:rPr>
        <w:t>供电18</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rPr>
        <w:t>：</w:t>
      </w:r>
    </w:p>
    <w:p w14:paraId="1105BF40">
      <w:pPr>
        <w:pStyle w:val="305"/>
        <w:numPr>
          <w:ilvl w:val="0"/>
          <w:numId w:val="6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每一救生艇、救生筏的集合点、登乘处和舷外，以及通向这些处所有关的通道、梯道与甲板等处所；</w:t>
      </w:r>
    </w:p>
    <w:p w14:paraId="6051E8BD">
      <w:pPr>
        <w:pStyle w:val="305"/>
        <w:numPr>
          <w:ilvl w:val="0"/>
          <w:numId w:val="6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所有生产和生活处所的通道、梯道和出入口、乘员电梯和电梯通道；</w:t>
      </w:r>
    </w:p>
    <w:p w14:paraId="0A791931">
      <w:pPr>
        <w:pStyle w:val="305"/>
        <w:numPr>
          <w:ilvl w:val="0"/>
          <w:numId w:val="6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机器处所和主发电站及其控制室（站）；</w:t>
      </w:r>
    </w:p>
    <w:p w14:paraId="0D874D25">
      <w:pPr>
        <w:pStyle w:val="305"/>
        <w:numPr>
          <w:ilvl w:val="0"/>
          <w:numId w:val="6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中央控制室及所有的控制站和所有的机械控制室；</w:t>
      </w:r>
    </w:p>
    <w:p w14:paraId="3A7C64FC">
      <w:pPr>
        <w:pStyle w:val="305"/>
        <w:numPr>
          <w:ilvl w:val="0"/>
          <w:numId w:val="6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应急消防泵、喷淋供水泵、应急舱底泵等处所和这些泵的起动位置；</w:t>
      </w:r>
    </w:p>
    <w:p w14:paraId="76569951">
      <w:pPr>
        <w:pStyle w:val="305"/>
        <w:numPr>
          <w:ilvl w:val="0"/>
          <w:numId w:val="6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消防员装备的存放位置；</w:t>
      </w:r>
    </w:p>
    <w:p w14:paraId="38090286">
      <w:pPr>
        <w:pStyle w:val="305"/>
        <w:numPr>
          <w:ilvl w:val="0"/>
          <w:numId w:val="64"/>
        </w:numPr>
        <w:ind w:left="839" w:leftChars="0" w:hanging="419" w:firstLineChars="0"/>
        <w:rPr>
          <w:rFonts w:hint="default" w:ascii="宋体" w:hAnsi="宋体" w:cs="宋体"/>
          <w:color w:val="auto"/>
          <w:highlight w:val="none"/>
          <w:lang w:val="en-US" w:eastAsia="zh-CN"/>
        </w:rPr>
      </w:pPr>
      <w:r>
        <w:rPr>
          <w:rFonts w:hint="eastAsia" w:ascii="宋体" w:hAnsi="宋体" w:cs="宋体"/>
          <w:color w:val="auto"/>
          <w:highlight w:val="none"/>
          <w:lang w:val="en-US" w:eastAsia="zh-CN"/>
        </w:rPr>
        <w:t>直升机甲板，包括周边和直升机甲板状态灯、风向指示器照明和相关的障碍物标志灯（如有）；</w:t>
      </w:r>
    </w:p>
    <w:p w14:paraId="6E84C628">
      <w:pPr>
        <w:pStyle w:val="305"/>
        <w:numPr>
          <w:ilvl w:val="0"/>
          <w:numId w:val="6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通信及应急设备的处所。</w:t>
      </w:r>
    </w:p>
    <w:p w14:paraId="71119191">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应急电源应对下列紧急通信、信号和报警设备供电18</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rPr>
        <w:t>：</w:t>
      </w:r>
    </w:p>
    <w:p w14:paraId="50151FA9">
      <w:pPr>
        <w:pStyle w:val="305"/>
        <w:numPr>
          <w:ilvl w:val="0"/>
          <w:numId w:val="6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火灾与可燃气体探测和报警系统；</w:t>
      </w:r>
    </w:p>
    <w:p w14:paraId="47DBF6FB">
      <w:pPr>
        <w:pStyle w:val="305"/>
        <w:numPr>
          <w:ilvl w:val="0"/>
          <w:numId w:val="6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探火和失火报警系统（包括手动火灾报警按钮）和应急时所需的一切内部信号；</w:t>
      </w:r>
    </w:p>
    <w:p w14:paraId="14FF1044">
      <w:pPr>
        <w:pStyle w:val="305"/>
        <w:numPr>
          <w:ilvl w:val="0"/>
          <w:numId w:val="6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应急情况下需使用的内部通信设备（包括电话、公共广播和通用报警系统）；</w:t>
      </w:r>
    </w:p>
    <w:p w14:paraId="57E8ECD2">
      <w:pPr>
        <w:pStyle w:val="305"/>
        <w:numPr>
          <w:ilvl w:val="0"/>
          <w:numId w:val="6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无线电通信设备；</w:t>
      </w:r>
    </w:p>
    <w:p w14:paraId="0C4BB9A8">
      <w:pPr>
        <w:pStyle w:val="305"/>
        <w:numPr>
          <w:ilvl w:val="0"/>
          <w:numId w:val="6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号灯（助航标识灯和障碍灯除外）和声响设备；</w:t>
      </w:r>
    </w:p>
    <w:p w14:paraId="04CD09CE">
      <w:pPr>
        <w:pStyle w:val="305"/>
        <w:numPr>
          <w:ilvl w:val="0"/>
          <w:numId w:val="6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中央控制盘及应急关断盘。</w:t>
      </w:r>
    </w:p>
    <w:p w14:paraId="263BD87B">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应急电源应对下列设备供电18</w:t>
      </w:r>
      <w:r>
        <w:rPr>
          <w:rFonts w:hint="eastAsia" w:ascii="宋体" w:hAnsi="宋体" w:eastAsia="宋体" w:cs="宋体"/>
          <w:color w:val="auto"/>
          <w:sz w:val="10"/>
          <w:szCs w:val="10"/>
          <w:highlight w:val="none"/>
          <w:lang w:val="en-US" w:eastAsia="zh-CN"/>
        </w:rPr>
        <w:t xml:space="preserve"> </w:t>
      </w:r>
      <w:r>
        <w:rPr>
          <w:rFonts w:hint="eastAsia" w:ascii="宋体" w:hAnsi="宋体" w:eastAsia="宋体" w:cs="宋体"/>
          <w:color w:val="auto"/>
          <w:highlight w:val="none"/>
          <w:lang w:val="en-US" w:eastAsia="zh-CN"/>
        </w:rPr>
        <w:t>h</w:t>
      </w:r>
      <w:r>
        <w:rPr>
          <w:rFonts w:hint="eastAsia" w:ascii="宋体" w:hAnsi="宋体" w:eastAsia="宋体" w:cs="宋体"/>
          <w:color w:val="auto"/>
          <w:highlight w:val="none"/>
        </w:rPr>
        <w:t>：</w:t>
      </w:r>
    </w:p>
    <w:p w14:paraId="56CB1DB0">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应急电动消防泵；</w:t>
      </w:r>
    </w:p>
    <w:p w14:paraId="08F4FF6A">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自动喷淋供水泵；</w:t>
      </w:r>
    </w:p>
    <w:p w14:paraId="3626CACB">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应急舱底泵及系统控制阀；</w:t>
      </w:r>
    </w:p>
    <w:p w14:paraId="26C378E8">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应急关断装置；</w:t>
      </w:r>
    </w:p>
    <w:p w14:paraId="7A92D14D">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原油输入管道应急分离关闭系统；</w:t>
      </w:r>
    </w:p>
    <w:p w14:paraId="0588FC1E">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除气系统；</w:t>
      </w:r>
    </w:p>
    <w:p w14:paraId="7057FEF5">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对维持FPSO安全起重要作用的通风系统（例如：危险区、控制站、应急发电机室等的通风）；</w:t>
      </w:r>
    </w:p>
    <w:p w14:paraId="69AB26E7">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对维持FPSO安全起重要作用的转塔机械；</w:t>
      </w:r>
    </w:p>
    <w:p w14:paraId="187EAC2B">
      <w:pPr>
        <w:pStyle w:val="305"/>
        <w:numPr>
          <w:ilvl w:val="0"/>
          <w:numId w:val="6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重要的油气处理设备和仪器。</w:t>
      </w:r>
    </w:p>
    <w:p w14:paraId="25B07062">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default" w:ascii="Times New Roman" w:hAnsi="Times New Roman" w:eastAsia="宋体" w:cs="Times New Roman"/>
          <w:color w:val="auto"/>
          <w:highlight w:val="none"/>
        </w:rPr>
        <w:t>应急电源应向海上设</w:t>
      </w:r>
      <w:r>
        <w:rPr>
          <w:rFonts w:hint="eastAsia" w:ascii="宋体" w:hAnsi="宋体" w:eastAsia="宋体" w:cs="宋体"/>
          <w:color w:val="auto"/>
          <w:highlight w:val="none"/>
        </w:rPr>
        <w:t>施标志灯（包括障碍灯）和音响信号供电</w:t>
      </w:r>
      <w:r>
        <w:rPr>
          <w:rFonts w:hint="eastAsia" w:ascii="宋体" w:hAnsi="宋体" w:eastAsia="宋体" w:cs="宋体"/>
          <w:color w:val="auto"/>
          <w:highlight w:val="none"/>
          <w:lang w:val="en-US" w:eastAsia="zh-CN"/>
        </w:rPr>
        <w:t>至少</w:t>
      </w:r>
      <w:r>
        <w:rPr>
          <w:rFonts w:hint="eastAsia" w:ascii="宋体" w:hAnsi="宋体" w:eastAsia="宋体" w:cs="宋体"/>
          <w:color w:val="auto"/>
          <w:highlight w:val="none"/>
        </w:rPr>
        <w:t>96</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rPr>
        <w:t>。</w:t>
      </w:r>
    </w:p>
    <w:p w14:paraId="0C908A0C">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向水密门连同</w:t>
      </w:r>
      <w:r>
        <w:rPr>
          <w:rFonts w:hint="eastAsia" w:ascii="宋体" w:hAnsi="宋体" w:eastAsia="宋体" w:cs="宋体"/>
          <w:color w:val="auto"/>
          <w:highlight w:val="none"/>
          <w:lang w:val="en-US" w:eastAsia="zh-CN"/>
        </w:rPr>
        <w:t>其</w:t>
      </w:r>
      <w:r>
        <w:rPr>
          <w:rFonts w:hint="eastAsia" w:ascii="宋体" w:hAnsi="宋体" w:eastAsia="宋体" w:cs="宋体"/>
          <w:color w:val="auto"/>
          <w:highlight w:val="none"/>
        </w:rPr>
        <w:t>控制器、指示器和报警电路供电0.5</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rPr>
        <w:t>，但不需要所有水密门同时操作。备有独立的储备能源除外。</w:t>
      </w:r>
    </w:p>
    <w:p w14:paraId="1B8C10A8">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火灾和可燃气体探测报警系统、中央控制盘和应急关断盘应由</w:t>
      </w:r>
      <w:r>
        <w:rPr>
          <w:rFonts w:hint="eastAsia" w:ascii="宋体" w:hAnsi="宋体" w:eastAsia="宋体" w:cs="宋体"/>
          <w:color w:val="auto"/>
          <w:highlight w:val="none"/>
          <w:lang w:val="en-US" w:eastAsia="zh-CN"/>
        </w:rPr>
        <w:t>不间断电源</w:t>
      </w:r>
      <w:r>
        <w:rPr>
          <w:rFonts w:hint="eastAsia" w:ascii="宋体" w:hAnsi="宋体" w:eastAsia="宋体" w:cs="宋体"/>
          <w:color w:val="auto"/>
          <w:highlight w:val="none"/>
        </w:rPr>
        <w:t>供电至少0.5</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rPr>
        <w:t>。</w:t>
      </w:r>
    </w:p>
    <w:p w14:paraId="4238FD6B">
      <w:pPr>
        <w:pStyle w:val="290"/>
        <w:numPr>
          <w:ilvl w:val="3"/>
          <w:numId w:val="33"/>
        </w:numPr>
        <w:spacing w:before="0" w:beforeLines="0" w:after="0" w:afterLines="0"/>
        <w:jc w:val="both"/>
        <w:outlineLvl w:val="9"/>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系泊监测系统应配置独立的不间断电源，</w:t>
      </w:r>
      <w:r>
        <w:rPr>
          <w:rFonts w:hint="eastAsia" w:ascii="宋体" w:hAnsi="宋体" w:eastAsia="宋体" w:cs="宋体"/>
          <w:color w:val="auto"/>
          <w:highlight w:val="none"/>
        </w:rPr>
        <w:t>供电时间应</w:t>
      </w:r>
      <w:r>
        <w:rPr>
          <w:rFonts w:hint="eastAsia" w:ascii="宋体" w:hAnsi="宋体" w:eastAsia="宋体" w:cs="宋体"/>
          <w:color w:val="auto"/>
          <w:highlight w:val="none"/>
          <w:lang w:val="en-US" w:eastAsia="zh-CN"/>
        </w:rPr>
        <w:t>不低于</w:t>
      </w:r>
      <w:r>
        <w:rPr>
          <w:rFonts w:hint="eastAsia" w:ascii="宋体" w:hAnsi="宋体" w:eastAsia="宋体" w:cs="宋体"/>
          <w:color w:val="auto"/>
          <w:highlight w:val="none"/>
        </w:rPr>
        <w:t>FPSO的平均避台间隔时间。</w:t>
      </w:r>
    </w:p>
    <w:p w14:paraId="5180E266">
      <w:pPr>
        <w:pStyle w:val="260"/>
        <w:jc w:val="both"/>
        <w:outlineLvl w:val="1"/>
        <w:rPr>
          <w:rFonts w:hint="default" w:ascii="Times New Roman" w:hAnsi="Times New Roman" w:cs="Times New Roman"/>
          <w:color w:val="auto"/>
          <w:highlight w:val="none"/>
        </w:rPr>
      </w:pPr>
      <w:bookmarkStart w:id="1148" w:name="_Toc25197"/>
      <w:bookmarkStart w:id="1149" w:name="_Toc16676"/>
      <w:bookmarkStart w:id="1150" w:name="_Toc32481"/>
      <w:bookmarkStart w:id="1151" w:name="_Toc32009"/>
      <w:bookmarkStart w:id="1152" w:name="_Toc8840"/>
      <w:bookmarkStart w:id="1153" w:name="_Toc15503"/>
      <w:bookmarkStart w:id="1154" w:name="_Toc13491"/>
      <w:bookmarkStart w:id="1155" w:name="_Toc13523"/>
      <w:bookmarkStart w:id="1156" w:name="_Toc183727711"/>
      <w:bookmarkStart w:id="1157" w:name="_Toc6843"/>
      <w:bookmarkStart w:id="1158" w:name="_Toc10494"/>
      <w:r>
        <w:rPr>
          <w:rFonts w:hint="default" w:ascii="Times New Roman" w:hAnsi="Times New Roman" w:cs="Times New Roman"/>
          <w:color w:val="auto"/>
          <w:highlight w:val="none"/>
        </w:rPr>
        <w:t>配电系统</w:t>
      </w:r>
      <w:bookmarkEnd w:id="1148"/>
      <w:bookmarkEnd w:id="1149"/>
      <w:bookmarkEnd w:id="1150"/>
      <w:bookmarkEnd w:id="1151"/>
      <w:bookmarkEnd w:id="1152"/>
      <w:bookmarkEnd w:id="1153"/>
      <w:bookmarkEnd w:id="1154"/>
      <w:bookmarkEnd w:id="1155"/>
      <w:bookmarkEnd w:id="1156"/>
      <w:bookmarkEnd w:id="1157"/>
      <w:bookmarkEnd w:id="1158"/>
    </w:p>
    <w:p w14:paraId="14FC2F8D">
      <w:pPr>
        <w:pStyle w:val="326"/>
        <w:jc w:val="both"/>
        <w:rPr>
          <w:rFonts w:hint="eastAsia" w:ascii="宋体" w:hAnsi="宋体" w:eastAsia="宋体" w:cs="宋体"/>
          <w:color w:val="auto"/>
          <w:highlight w:val="none"/>
        </w:rPr>
      </w:pPr>
      <w:bookmarkStart w:id="1159" w:name="_Toc4223"/>
      <w:bookmarkStart w:id="1160" w:name="_Toc7940"/>
      <w:bookmarkStart w:id="1161" w:name="_Toc31863"/>
      <w:bookmarkStart w:id="1162" w:name="_Toc2691"/>
      <w:r>
        <w:rPr>
          <w:rFonts w:hint="eastAsia" w:ascii="Times New Roman" w:hAnsi="Times New Roman" w:cs="Times New Roman" w:eastAsiaTheme="minorEastAsia"/>
          <w:color w:val="auto"/>
          <w:highlight w:val="none"/>
          <w:lang w:val="en-US" w:eastAsia="zh-CN"/>
        </w:rPr>
        <w:t>除</w:t>
      </w:r>
      <w:r>
        <w:rPr>
          <w:rFonts w:hint="default" w:ascii="Times New Roman" w:hAnsi="Times New Roman" w:cs="Times New Roman" w:eastAsiaTheme="minorEastAsia"/>
          <w:color w:val="auto"/>
          <w:highlight w:val="none"/>
        </w:rPr>
        <w:t>下</w:t>
      </w:r>
      <w:r>
        <w:rPr>
          <w:rFonts w:hint="eastAsia" w:ascii="Times New Roman" w:cs="Times New Roman" w:eastAsiaTheme="minorEastAsia"/>
          <w:color w:val="auto"/>
          <w:highlight w:val="none"/>
          <w:lang w:val="en-US" w:eastAsia="zh-CN"/>
        </w:rPr>
        <w:t>列</w:t>
      </w:r>
      <w:r>
        <w:rPr>
          <w:rFonts w:hint="default" w:ascii="Times New Roman" w:hAnsi="Times New Roman" w:cs="Times New Roman" w:eastAsiaTheme="minorEastAsia"/>
          <w:color w:val="auto"/>
          <w:highlight w:val="none"/>
        </w:rPr>
        <w:t>情况外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采用利用</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船体作回路的配电系统</w:t>
      </w:r>
      <w:r>
        <w:rPr>
          <w:rFonts w:hint="eastAsia" w:ascii="宋体" w:hAnsi="宋体" w:eastAsia="宋体" w:cs="宋体"/>
          <w:color w:val="auto"/>
          <w:highlight w:val="none"/>
          <w:lang w:eastAsia="zh-CN"/>
        </w:rPr>
        <w:t>：</w:t>
      </w:r>
    </w:p>
    <w:p w14:paraId="3415426B">
      <w:pPr>
        <w:pStyle w:val="305"/>
        <w:numPr>
          <w:ilvl w:val="0"/>
          <w:numId w:val="67"/>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外加电流的阴极保护；</w:t>
      </w:r>
    </w:p>
    <w:p w14:paraId="2388EE76">
      <w:pPr>
        <w:pStyle w:val="305"/>
        <w:numPr>
          <w:ilvl w:val="0"/>
          <w:numId w:val="67"/>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有限和局部地利用FPSO船体作回路的系统；</w:t>
      </w:r>
    </w:p>
    <w:p w14:paraId="51642EB6">
      <w:pPr>
        <w:pStyle w:val="305"/>
        <w:numPr>
          <w:ilvl w:val="0"/>
          <w:numId w:val="67"/>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在最不利的情况下，循环电流不超过30 mA的绝缘电阻监测设备。</w:t>
      </w:r>
    </w:p>
    <w:p w14:paraId="1C042B55">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用于电力、电热和照明的绝缘配电系统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均应设有连续监测对地绝缘电阻的装置，并能在绝缘电阻异常低时发出声</w:t>
      </w:r>
      <w:r>
        <w:rPr>
          <w:rFonts w:hint="eastAsia" w:ascii="宋体" w:hAnsi="宋体" w:eastAsia="宋体" w:cs="宋体"/>
          <w:color w:val="auto"/>
          <w:highlight w:val="none"/>
          <w:lang w:val="en-US" w:eastAsia="zh-CN"/>
        </w:rPr>
        <w:t>和</w:t>
      </w:r>
      <w:r>
        <w:rPr>
          <w:rFonts w:hint="eastAsia" w:ascii="宋体" w:hAnsi="宋体" w:eastAsia="宋体" w:cs="宋体"/>
          <w:color w:val="auto"/>
          <w:highlight w:val="none"/>
        </w:rPr>
        <w:t>光的报警信号。</w:t>
      </w:r>
      <w:bookmarkEnd w:id="1159"/>
      <w:bookmarkEnd w:id="1160"/>
      <w:bookmarkEnd w:id="1161"/>
      <w:bookmarkEnd w:id="1162"/>
    </w:p>
    <w:p w14:paraId="5D59D6F9">
      <w:pPr>
        <w:pStyle w:val="260"/>
        <w:jc w:val="both"/>
        <w:outlineLvl w:val="1"/>
        <w:rPr>
          <w:rFonts w:hint="default" w:ascii="Times New Roman" w:hAnsi="Times New Roman" w:cs="Times New Roman"/>
          <w:color w:val="auto"/>
          <w:highlight w:val="none"/>
        </w:rPr>
      </w:pPr>
      <w:bookmarkStart w:id="1163" w:name="_Toc25246"/>
      <w:bookmarkStart w:id="1164" w:name="_Toc14480"/>
      <w:bookmarkStart w:id="1165" w:name="_Toc21845"/>
      <w:bookmarkStart w:id="1166" w:name="_Toc26763"/>
      <w:bookmarkStart w:id="1167" w:name="_Toc27484"/>
      <w:bookmarkStart w:id="1168" w:name="_Toc11759"/>
      <w:bookmarkStart w:id="1169" w:name="_Toc23164"/>
      <w:bookmarkStart w:id="1170" w:name="_Toc22009"/>
      <w:bookmarkStart w:id="1171" w:name="_Toc16783"/>
      <w:bookmarkStart w:id="1172" w:name="_Toc14387"/>
      <w:bookmarkStart w:id="1173" w:name="_Toc183727712"/>
      <w:r>
        <w:rPr>
          <w:rFonts w:hint="default" w:ascii="Times New Roman" w:hAnsi="Times New Roman" w:cs="Times New Roman"/>
          <w:color w:val="auto"/>
          <w:highlight w:val="none"/>
        </w:rPr>
        <w:t>照明</w:t>
      </w:r>
      <w:bookmarkEnd w:id="1163"/>
      <w:bookmarkEnd w:id="1164"/>
      <w:bookmarkEnd w:id="1165"/>
      <w:bookmarkEnd w:id="1166"/>
      <w:bookmarkEnd w:id="1167"/>
      <w:bookmarkEnd w:id="1168"/>
      <w:bookmarkEnd w:id="1169"/>
      <w:bookmarkEnd w:id="1170"/>
      <w:bookmarkEnd w:id="1171"/>
      <w:bookmarkEnd w:id="1172"/>
      <w:bookmarkEnd w:id="1173"/>
    </w:p>
    <w:p w14:paraId="163E55EF">
      <w:pPr>
        <w:pStyle w:val="326"/>
        <w:jc w:val="both"/>
        <w:rPr>
          <w:rFonts w:hint="default" w:ascii="Times New Roman" w:hAnsi="Times New Roman" w:cs="Times New Roman" w:eastAsiaTheme="minorEastAsia"/>
          <w:color w:val="auto"/>
          <w:highlight w:val="none"/>
        </w:rPr>
      </w:pPr>
      <w:bookmarkStart w:id="1174" w:name="_Toc13197"/>
      <w:bookmarkStart w:id="1175" w:name="_Toc183727713"/>
      <w:bookmarkStart w:id="1176" w:name="_Toc8602"/>
      <w:bookmarkStart w:id="1177" w:name="_Toc11926"/>
      <w:bookmarkStart w:id="1178" w:name="_Toc25585"/>
      <w:r>
        <w:rPr>
          <w:rFonts w:hint="default" w:ascii="Times New Roman" w:hAnsi="Times New Roman" w:cs="Times New Roman" w:eastAsiaTheme="minorEastAsia"/>
          <w:color w:val="auto"/>
          <w:highlight w:val="none"/>
        </w:rPr>
        <w:t>照明灯具的选型与安装</w:t>
      </w:r>
      <w:r>
        <w:rPr>
          <w:rFonts w:hint="eastAsia" w:ascii="Times New Roman" w:cs="Times New Roman" w:eastAsiaTheme="minorEastAsia"/>
          <w:color w:val="auto"/>
          <w:highlight w:val="none"/>
          <w:lang w:eastAsia="zh-CN"/>
        </w:rPr>
        <w:t>，</w:t>
      </w:r>
      <w:r>
        <w:rPr>
          <w:rFonts w:hint="default" w:ascii="Times New Roman" w:hAnsi="Times New Roman" w:cs="Times New Roman" w:eastAsiaTheme="minorEastAsia"/>
          <w:color w:val="auto"/>
          <w:highlight w:val="none"/>
        </w:rPr>
        <w:t>应与其安装处所的环境条件相适应，并应</w:t>
      </w:r>
      <w:r>
        <w:rPr>
          <w:rFonts w:hint="eastAsia" w:ascii="Times New Roman" w:cs="Times New Roman" w:eastAsiaTheme="minorEastAsia"/>
          <w:color w:val="auto"/>
          <w:highlight w:val="none"/>
          <w:lang w:val="en-US" w:eastAsia="zh-CN"/>
        </w:rPr>
        <w:t>采取</w:t>
      </w:r>
      <w:r>
        <w:rPr>
          <w:rFonts w:hint="default" w:ascii="Times New Roman" w:hAnsi="Times New Roman" w:cs="Times New Roman" w:eastAsiaTheme="minorEastAsia"/>
          <w:color w:val="auto"/>
          <w:highlight w:val="none"/>
        </w:rPr>
        <w:t>相应的保护措施。</w:t>
      </w:r>
    </w:p>
    <w:p w14:paraId="5555B6FA">
      <w:pPr>
        <w:pStyle w:val="326"/>
        <w:jc w:val="both"/>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安装在振动较大处所的灯具应采取减振措施。直接固定在木板或其他易燃材料上的灯具，应采取防火隔热措施。</w:t>
      </w:r>
    </w:p>
    <w:p w14:paraId="491554CA">
      <w:pPr>
        <w:pStyle w:val="326"/>
        <w:jc w:val="both"/>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灯</w:t>
      </w:r>
      <w:r>
        <w:rPr>
          <w:rFonts w:hint="eastAsia" w:ascii="Times New Roman" w:cs="Times New Roman" w:eastAsiaTheme="minorEastAsia"/>
          <w:color w:val="auto"/>
          <w:highlight w:val="none"/>
          <w:lang w:val="en-US" w:eastAsia="zh-CN"/>
        </w:rPr>
        <w:t>具</w:t>
      </w:r>
      <w:r>
        <w:rPr>
          <w:rFonts w:hint="default" w:ascii="Times New Roman" w:hAnsi="Times New Roman" w:cs="Times New Roman" w:eastAsiaTheme="minorEastAsia"/>
          <w:color w:val="auto"/>
          <w:highlight w:val="none"/>
        </w:rPr>
        <w:t>安装在有转动部件的</w:t>
      </w:r>
      <w:r>
        <w:rPr>
          <w:rFonts w:hint="eastAsia" w:ascii="Times New Roman" w:cs="Times New Roman" w:eastAsiaTheme="minorEastAsia"/>
          <w:color w:val="auto"/>
          <w:highlight w:val="none"/>
          <w:lang w:val="en-US" w:eastAsia="zh-CN"/>
        </w:rPr>
        <w:t>场所</w:t>
      </w:r>
      <w:r>
        <w:rPr>
          <w:rFonts w:hint="default" w:ascii="Times New Roman" w:hAnsi="Times New Roman" w:cs="Times New Roman" w:eastAsiaTheme="minorEastAsia"/>
          <w:color w:val="auto"/>
          <w:highlight w:val="none"/>
        </w:rPr>
        <w:t>时，</w:t>
      </w:r>
      <w:r>
        <w:rPr>
          <w:rFonts w:hint="eastAsia" w:ascii="Times New Roman" w:cs="Times New Roman" w:eastAsiaTheme="minorEastAsia"/>
          <w:color w:val="auto"/>
          <w:highlight w:val="none"/>
          <w:lang w:val="en-US" w:eastAsia="zh-CN"/>
        </w:rPr>
        <w:t>不</w:t>
      </w:r>
      <w:r>
        <w:rPr>
          <w:rFonts w:hint="default" w:ascii="Times New Roman" w:hAnsi="Times New Roman" w:cs="Times New Roman" w:eastAsiaTheme="minorEastAsia"/>
          <w:color w:val="auto"/>
          <w:highlight w:val="none"/>
        </w:rPr>
        <w:t>应产生眩光</w:t>
      </w:r>
      <w:r>
        <w:rPr>
          <w:rFonts w:hint="eastAsia" w:ascii="Times New Roman" w:cs="Times New Roman" w:eastAsiaTheme="minorEastAsia"/>
          <w:color w:val="auto"/>
          <w:highlight w:val="none"/>
          <w:lang w:eastAsia="zh-CN"/>
        </w:rPr>
        <w:t>，</w:t>
      </w:r>
      <w:r>
        <w:rPr>
          <w:rFonts w:hint="eastAsia" w:ascii="Times New Roman" w:cs="Times New Roman" w:eastAsiaTheme="minorEastAsia"/>
          <w:color w:val="auto"/>
          <w:highlight w:val="none"/>
          <w:lang w:val="en-US" w:eastAsia="zh-CN"/>
        </w:rPr>
        <w:t>转动部件有封闭式的防眩光罩除外</w:t>
      </w:r>
      <w:r>
        <w:rPr>
          <w:rFonts w:hint="default" w:ascii="Times New Roman" w:hAnsi="Times New Roman" w:cs="Times New Roman" w:eastAsiaTheme="minorEastAsia"/>
          <w:color w:val="auto"/>
          <w:highlight w:val="none"/>
        </w:rPr>
        <w:t>。</w:t>
      </w:r>
    </w:p>
    <w:p w14:paraId="14B9D99F">
      <w:pPr>
        <w:pStyle w:val="326"/>
        <w:jc w:val="both"/>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应急照明和临时应急照明的灯具应有明显的标志。</w:t>
      </w:r>
    </w:p>
    <w:p w14:paraId="00F5531D">
      <w:pPr>
        <w:pStyle w:val="326"/>
        <w:jc w:val="both"/>
        <w:rPr>
          <w:rFonts w:hint="default" w:ascii="Times New Roman" w:hAnsi="Times New Roman" w:cs="Times New Roman" w:eastAsiaTheme="minorEastAsia"/>
          <w:color w:val="auto"/>
          <w:highlight w:val="none"/>
        </w:rPr>
      </w:pPr>
      <w:r>
        <w:rPr>
          <w:rFonts w:hint="eastAsia" w:ascii="Times New Roman" w:cs="Times New Roman" w:eastAsiaTheme="minorEastAsia"/>
          <w:color w:val="auto"/>
          <w:highlight w:val="none"/>
          <w:lang w:val="en-US" w:eastAsia="zh-CN"/>
        </w:rPr>
        <w:t>应急</w:t>
      </w:r>
      <w:r>
        <w:rPr>
          <w:rFonts w:hint="default" w:ascii="Times New Roman" w:hAnsi="Times New Roman" w:cs="Times New Roman" w:eastAsiaTheme="minorEastAsia"/>
          <w:color w:val="auto"/>
          <w:highlight w:val="none"/>
        </w:rPr>
        <w:t>照明系统应与应急配电</w:t>
      </w:r>
      <w:r>
        <w:rPr>
          <w:rFonts w:hint="eastAsia" w:ascii="宋体" w:hAnsi="宋体" w:eastAsia="宋体" w:cs="宋体"/>
          <w:color w:val="auto"/>
          <w:highlight w:val="none"/>
        </w:rPr>
        <w:t>板连接，使其在正常情况下由主电源供电</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在应急电源工作时由应急电源供电</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若独立蓄电池能提供至少</w:t>
      </w:r>
      <w:r>
        <w:rPr>
          <w:rFonts w:hint="eastAsia" w:ascii="宋体" w:hAnsi="宋体" w:eastAsia="宋体" w:cs="宋体"/>
          <w:color w:val="auto"/>
          <w:highlight w:val="none"/>
          <w:lang w:val="en-US" w:eastAsia="zh-CN"/>
        </w:rPr>
        <w:t>1 h</w:t>
      </w:r>
      <w:r>
        <w:rPr>
          <w:rFonts w:hint="eastAsia" w:ascii="宋体" w:hAnsi="宋体" w:eastAsia="宋体" w:cs="宋体"/>
          <w:color w:val="auto"/>
          <w:highlight w:val="none"/>
        </w:rPr>
        <w:t>的备用电源，电力照明系统可与主照明系统连接并由主照明系统供电。</w:t>
      </w:r>
    </w:p>
    <w:p w14:paraId="47B3A448">
      <w:pPr>
        <w:pStyle w:val="260"/>
        <w:jc w:val="both"/>
        <w:outlineLvl w:val="1"/>
        <w:rPr>
          <w:rFonts w:hint="default" w:ascii="Times New Roman" w:hAnsi="Times New Roman" w:cs="Times New Roman"/>
          <w:color w:val="auto"/>
          <w:highlight w:val="none"/>
        </w:rPr>
      </w:pPr>
      <w:bookmarkStart w:id="1179" w:name="_Toc18687"/>
      <w:bookmarkStart w:id="1180" w:name="_Toc1373"/>
      <w:bookmarkStart w:id="1181" w:name="_Toc15340"/>
      <w:bookmarkStart w:id="1182" w:name="_Toc827"/>
      <w:bookmarkStart w:id="1183" w:name="_Toc30981"/>
      <w:bookmarkStart w:id="1184" w:name="_Toc21680"/>
      <w:r>
        <w:rPr>
          <w:rFonts w:hint="default" w:ascii="Times New Roman" w:hAnsi="Times New Roman" w:cs="Times New Roman"/>
          <w:color w:val="auto"/>
          <w:highlight w:val="none"/>
        </w:rPr>
        <w:t>电伴热设施和电加热设备</w:t>
      </w:r>
      <w:bookmarkEnd w:id="1174"/>
      <w:bookmarkEnd w:id="1175"/>
      <w:bookmarkEnd w:id="1176"/>
      <w:bookmarkEnd w:id="1177"/>
      <w:bookmarkEnd w:id="1178"/>
      <w:bookmarkEnd w:id="1179"/>
      <w:bookmarkEnd w:id="1180"/>
      <w:bookmarkEnd w:id="1181"/>
      <w:bookmarkEnd w:id="1182"/>
      <w:bookmarkEnd w:id="1183"/>
      <w:bookmarkEnd w:id="1184"/>
    </w:p>
    <w:p w14:paraId="40EC244E">
      <w:pPr>
        <w:pStyle w:val="326"/>
        <w:jc w:val="both"/>
        <w:rPr>
          <w:rFonts w:hint="default" w:ascii="Times New Roman" w:cs="Times New Roman" w:eastAsiaTheme="minorEastAsia"/>
          <w:color w:val="auto"/>
          <w:highlight w:val="none"/>
          <w:lang w:val="en-US" w:eastAsia="zh-CN"/>
        </w:rPr>
      </w:pPr>
      <w:bookmarkStart w:id="1185" w:name="_Toc31754"/>
      <w:bookmarkStart w:id="1186" w:name="_Toc24480"/>
      <w:bookmarkStart w:id="1187" w:name="_Toc26922"/>
      <w:r>
        <w:rPr>
          <w:rFonts w:hint="default" w:ascii="Times New Roman" w:cs="Times New Roman" w:eastAsiaTheme="minorEastAsia"/>
          <w:color w:val="auto"/>
          <w:highlight w:val="none"/>
          <w:lang w:val="en-US" w:eastAsia="zh-CN"/>
        </w:rPr>
        <w:t>电伴热设施</w:t>
      </w:r>
      <w:r>
        <w:rPr>
          <w:rFonts w:hint="eastAsia" w:ascii="Times New Roman" w:cs="Times New Roman" w:eastAsiaTheme="minorEastAsia"/>
          <w:color w:val="auto"/>
          <w:highlight w:val="none"/>
          <w:lang w:val="en-US" w:eastAsia="zh-CN"/>
        </w:rPr>
        <w:t>应</w:t>
      </w:r>
      <w:r>
        <w:rPr>
          <w:rFonts w:hint="default" w:ascii="Times New Roman" w:cs="Times New Roman" w:eastAsiaTheme="minorEastAsia"/>
          <w:color w:val="auto"/>
          <w:highlight w:val="none"/>
          <w:lang w:val="en-US" w:eastAsia="zh-CN"/>
        </w:rPr>
        <w:t>满足</w:t>
      </w:r>
      <w:r>
        <w:rPr>
          <w:rFonts w:hint="eastAsia" w:ascii="Times New Roman" w:cs="Times New Roman" w:eastAsiaTheme="minorEastAsia"/>
          <w:color w:val="auto"/>
          <w:highlight w:val="none"/>
          <w:lang w:val="en-US" w:eastAsia="zh-CN"/>
        </w:rPr>
        <w:t>以下</w:t>
      </w:r>
      <w:r>
        <w:rPr>
          <w:rFonts w:hint="default" w:ascii="Times New Roman" w:cs="Times New Roman" w:eastAsiaTheme="minorEastAsia"/>
          <w:color w:val="auto"/>
          <w:highlight w:val="none"/>
          <w:lang w:val="en-US" w:eastAsia="zh-CN"/>
        </w:rPr>
        <w:t>要求：</w:t>
      </w:r>
      <w:bookmarkEnd w:id="1185"/>
      <w:bookmarkEnd w:id="1186"/>
      <w:bookmarkEnd w:id="1187"/>
    </w:p>
    <w:p w14:paraId="559A706A">
      <w:pPr>
        <w:pStyle w:val="305"/>
        <w:numPr>
          <w:ilvl w:val="0"/>
          <w:numId w:val="68"/>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存在腐蚀性气体或介质的条件下，电伴热的护套层</w:t>
      </w:r>
      <w:r>
        <w:rPr>
          <w:rFonts w:hint="eastAsia" w:ascii="宋体" w:hAnsi="宋体" w:cs="宋体"/>
          <w:color w:val="auto"/>
          <w:highlight w:val="none"/>
          <w:lang w:val="en-US" w:eastAsia="zh-CN"/>
        </w:rPr>
        <w:t>选用耐腐蚀性材料；</w:t>
      </w:r>
    </w:p>
    <w:p w14:paraId="378D96FC">
      <w:pPr>
        <w:pStyle w:val="305"/>
        <w:numPr>
          <w:ilvl w:val="0"/>
          <w:numId w:val="68"/>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电伴热带及配套使用的控制电气设备设</w:t>
      </w:r>
      <w:r>
        <w:rPr>
          <w:rFonts w:hint="eastAsia" w:ascii="宋体" w:hAnsi="宋体" w:cs="宋体"/>
          <w:color w:val="auto"/>
          <w:highlight w:val="none"/>
          <w:lang w:val="en-US" w:eastAsia="zh-CN"/>
        </w:rPr>
        <w:t>置</w:t>
      </w:r>
      <w:r>
        <w:rPr>
          <w:rFonts w:hint="default" w:ascii="宋体" w:hAnsi="宋体" w:cs="宋体"/>
          <w:color w:val="auto"/>
          <w:highlight w:val="none"/>
          <w:lang w:val="en-US" w:eastAsia="zh-CN"/>
        </w:rPr>
        <w:t>过载、短路及漏电的检测、控制和保护装置</w:t>
      </w:r>
      <w:r>
        <w:rPr>
          <w:rFonts w:hint="eastAsia" w:ascii="宋体" w:hAnsi="宋体" w:cs="宋体"/>
          <w:color w:val="auto"/>
          <w:highlight w:val="none"/>
          <w:lang w:val="en-US" w:eastAsia="zh-CN"/>
        </w:rPr>
        <w:t>。</w:t>
      </w:r>
    </w:p>
    <w:p w14:paraId="35F09648">
      <w:pPr>
        <w:pStyle w:val="326"/>
        <w:jc w:val="both"/>
        <w:rPr>
          <w:rFonts w:hint="default" w:ascii="Times New Roman" w:hAnsi="Times New Roman" w:cs="Times New Roman" w:eastAsiaTheme="minorEastAsia"/>
          <w:color w:val="auto"/>
          <w:highlight w:val="none"/>
          <w:lang w:eastAsia="zh-CN"/>
        </w:rPr>
      </w:pPr>
      <w:bookmarkStart w:id="1188" w:name="_Toc3353"/>
      <w:bookmarkStart w:id="1189" w:name="_Toc19307"/>
      <w:bookmarkStart w:id="1190" w:name="_Toc22352"/>
      <w:r>
        <w:rPr>
          <w:rFonts w:hint="default" w:ascii="Times New Roman" w:hAnsi="Times New Roman" w:cs="Times New Roman" w:eastAsiaTheme="minorEastAsia"/>
          <w:color w:val="auto"/>
          <w:highlight w:val="none"/>
          <w:lang w:eastAsia="zh-CN"/>
        </w:rPr>
        <w:t>电加热设备应</w:t>
      </w:r>
      <w:r>
        <w:rPr>
          <w:rFonts w:hint="eastAsia" w:ascii="Times New Roman" w:hAnsi="Times New Roman" w:cs="Times New Roman" w:eastAsiaTheme="minorEastAsia"/>
          <w:color w:val="auto"/>
          <w:highlight w:val="none"/>
          <w:lang w:val="en-US" w:eastAsia="zh-CN"/>
        </w:rPr>
        <w:t>满足以下</w:t>
      </w:r>
      <w:r>
        <w:rPr>
          <w:rFonts w:hint="default" w:ascii="Times New Roman" w:hAnsi="Times New Roman" w:cs="Times New Roman" w:eastAsiaTheme="minorEastAsia"/>
          <w:color w:val="auto"/>
          <w:highlight w:val="none"/>
          <w:lang w:eastAsia="zh-CN"/>
        </w:rPr>
        <w:t>要求：</w:t>
      </w:r>
      <w:bookmarkEnd w:id="1188"/>
      <w:bookmarkEnd w:id="1189"/>
      <w:bookmarkEnd w:id="1190"/>
    </w:p>
    <w:p w14:paraId="39642CDC">
      <w:pPr>
        <w:pStyle w:val="305"/>
        <w:numPr>
          <w:ilvl w:val="0"/>
          <w:numId w:val="69"/>
        </w:numPr>
        <w:tabs>
          <w:tab w:val="left" w:pos="383"/>
        </w:tabs>
        <w:rPr>
          <w:rFonts w:hint="eastAsia" w:ascii="宋体" w:hAnsi="宋体" w:eastAsia="宋体" w:cs="宋体"/>
          <w:color w:val="auto"/>
          <w:highlight w:val="none"/>
        </w:rPr>
      </w:pPr>
      <w:r>
        <w:rPr>
          <w:rFonts w:hint="eastAsia" w:ascii="宋体" w:hAnsi="宋体" w:eastAsia="宋体" w:cs="宋体"/>
          <w:color w:val="auto"/>
          <w:highlight w:val="none"/>
        </w:rPr>
        <w:t>具有适合被加热介质要求的抗蚀外壳；</w:t>
      </w:r>
    </w:p>
    <w:p w14:paraId="7A6AF2A6">
      <w:pPr>
        <w:pStyle w:val="305"/>
        <w:numPr>
          <w:ilvl w:val="0"/>
          <w:numId w:val="69"/>
        </w:numPr>
        <w:tabs>
          <w:tab w:val="left" w:pos="383"/>
        </w:tabs>
        <w:rPr>
          <w:rFonts w:hint="eastAsia" w:ascii="宋体" w:hAnsi="宋体" w:eastAsia="宋体" w:cs="宋体"/>
          <w:color w:val="auto"/>
          <w:highlight w:val="none"/>
        </w:rPr>
      </w:pPr>
      <w:r>
        <w:rPr>
          <w:rFonts w:hint="eastAsia" w:ascii="宋体" w:hAnsi="宋体" w:eastAsia="宋体" w:cs="宋体"/>
          <w:color w:val="auto"/>
          <w:highlight w:val="none"/>
        </w:rPr>
        <w:t>设</w:t>
      </w:r>
      <w:r>
        <w:rPr>
          <w:rFonts w:hint="eastAsia" w:hAnsi="宋体" w:cs="宋体"/>
          <w:color w:val="auto"/>
          <w:highlight w:val="none"/>
          <w:lang w:val="en-US" w:eastAsia="zh-CN"/>
        </w:rPr>
        <w:t>置</w:t>
      </w:r>
      <w:r>
        <w:rPr>
          <w:rFonts w:hint="eastAsia" w:ascii="宋体" w:hAnsi="宋体" w:eastAsia="宋体" w:cs="宋体"/>
          <w:color w:val="auto"/>
          <w:highlight w:val="none"/>
        </w:rPr>
        <w:t>控制与保护设备，在温度超过限定值时，能自动将电源切断；</w:t>
      </w:r>
    </w:p>
    <w:p w14:paraId="50D1003A">
      <w:pPr>
        <w:pStyle w:val="305"/>
        <w:numPr>
          <w:ilvl w:val="0"/>
          <w:numId w:val="69"/>
        </w:numPr>
        <w:tabs>
          <w:tab w:val="left" w:pos="383"/>
        </w:tabs>
        <w:rPr>
          <w:rFonts w:hint="eastAsia" w:ascii="宋体" w:hAnsi="宋体" w:eastAsia="宋体" w:cs="宋体"/>
          <w:color w:val="auto"/>
          <w:highlight w:val="none"/>
        </w:rPr>
      </w:pPr>
      <w:r>
        <w:rPr>
          <w:rFonts w:hint="eastAsia" w:ascii="宋体" w:hAnsi="宋体" w:eastAsia="宋体" w:cs="宋体"/>
          <w:color w:val="auto"/>
          <w:highlight w:val="none"/>
        </w:rPr>
        <w:t>电压在</w:t>
      </w:r>
      <w:r>
        <w:rPr>
          <w:rFonts w:hint="eastAsia" w:ascii="宋体" w:hAnsi="宋体" w:eastAsia="宋体" w:cs="宋体"/>
          <w:color w:val="auto"/>
          <w:highlight w:val="none"/>
          <w:lang w:val="en-US" w:eastAsia="zh-CN"/>
        </w:rPr>
        <w:t>1 kV</w:t>
      </w:r>
      <w:r>
        <w:rPr>
          <w:rFonts w:hint="eastAsia" w:ascii="宋体" w:hAnsi="宋体" w:eastAsia="宋体" w:cs="宋体"/>
          <w:color w:val="auto"/>
          <w:highlight w:val="none"/>
        </w:rPr>
        <w:t>以下的电加热设备的绝缘电阻不低于0.5</w:t>
      </w:r>
      <w:r>
        <w:rPr>
          <w:rFonts w:hint="eastAsia" w:hAnsi="宋体" w:cs="宋体"/>
          <w:color w:val="auto"/>
          <w:highlight w:val="none"/>
          <w:lang w:val="en-US" w:eastAsia="zh-CN"/>
        </w:rPr>
        <w:t xml:space="preserve"> </w:t>
      </w:r>
      <w:r>
        <w:rPr>
          <w:rFonts w:hint="eastAsia" w:ascii="宋体" w:hAnsi="宋体" w:eastAsia="宋体" w:cs="宋体"/>
          <w:color w:val="auto"/>
          <w:highlight w:val="none"/>
        </w:rPr>
        <w:t>MΩ；</w:t>
      </w:r>
    </w:p>
    <w:p w14:paraId="3A6E0239">
      <w:pPr>
        <w:pStyle w:val="305"/>
        <w:numPr>
          <w:ilvl w:val="0"/>
          <w:numId w:val="69"/>
        </w:numPr>
        <w:tabs>
          <w:tab w:val="left" w:pos="383"/>
        </w:tabs>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其安装</w:t>
      </w:r>
      <w:r>
        <w:rPr>
          <w:rFonts w:hint="eastAsia" w:ascii="宋体" w:hAnsi="宋体" w:eastAsia="宋体" w:cs="宋体"/>
          <w:color w:val="auto"/>
          <w:highlight w:val="none"/>
        </w:rPr>
        <w:t>不对周围设备及物品产生过热的危险。</w:t>
      </w:r>
    </w:p>
    <w:p w14:paraId="6D9BA864">
      <w:pPr>
        <w:pStyle w:val="260"/>
        <w:jc w:val="both"/>
        <w:outlineLvl w:val="1"/>
        <w:rPr>
          <w:rFonts w:hint="default" w:ascii="Times New Roman" w:hAnsi="Times New Roman" w:cs="Times New Roman"/>
          <w:color w:val="auto"/>
          <w:highlight w:val="none"/>
        </w:rPr>
      </w:pPr>
      <w:bookmarkStart w:id="1191" w:name="_Toc18931"/>
      <w:bookmarkStart w:id="1192" w:name="_Toc4331"/>
      <w:bookmarkStart w:id="1193" w:name="_Toc11461"/>
      <w:bookmarkStart w:id="1194" w:name="_Toc183727714"/>
      <w:bookmarkStart w:id="1195" w:name="_Toc29014"/>
      <w:bookmarkStart w:id="1196" w:name="_Toc22098"/>
      <w:bookmarkStart w:id="1197" w:name="_Toc28296"/>
      <w:bookmarkStart w:id="1198" w:name="_Toc326"/>
      <w:bookmarkStart w:id="1199" w:name="_Toc12222"/>
      <w:bookmarkStart w:id="1200" w:name="_Toc9191"/>
      <w:bookmarkStart w:id="1201" w:name="_Toc11092"/>
      <w:r>
        <w:rPr>
          <w:rFonts w:hint="default" w:ascii="Times New Roman" w:hAnsi="Times New Roman" w:cs="Times New Roman"/>
          <w:color w:val="auto"/>
          <w:highlight w:val="none"/>
        </w:rPr>
        <w:t>电缆</w:t>
      </w:r>
      <w:bookmarkEnd w:id="1191"/>
      <w:bookmarkEnd w:id="1192"/>
      <w:bookmarkEnd w:id="1193"/>
      <w:bookmarkEnd w:id="1194"/>
      <w:bookmarkEnd w:id="1195"/>
      <w:bookmarkEnd w:id="1196"/>
      <w:bookmarkEnd w:id="1197"/>
      <w:bookmarkEnd w:id="1198"/>
      <w:bookmarkEnd w:id="1199"/>
      <w:bookmarkEnd w:id="1200"/>
      <w:bookmarkEnd w:id="1201"/>
    </w:p>
    <w:p w14:paraId="3B832B7F">
      <w:pPr>
        <w:pStyle w:val="261"/>
        <w:tabs>
          <w:tab w:val="left" w:pos="0"/>
        </w:tabs>
        <w:spacing w:before="156" w:after="156"/>
        <w:outlineLvl w:val="2"/>
        <w:rPr>
          <w:rFonts w:hint="default" w:ascii="Times New Roman" w:hAnsi="Times New Roman" w:cs="Times New Roman"/>
          <w:color w:val="auto"/>
          <w:highlight w:val="none"/>
        </w:rPr>
      </w:pPr>
      <w:bookmarkStart w:id="1202" w:name="_Toc14581"/>
      <w:bookmarkStart w:id="1203" w:name="_Toc12409"/>
      <w:bookmarkStart w:id="1204" w:name="_Toc27797"/>
      <w:bookmarkStart w:id="1205" w:name="_Toc30603"/>
      <w:bookmarkStart w:id="1206" w:name="_Toc16980"/>
      <w:bookmarkStart w:id="1207" w:name="_Toc14117"/>
      <w:r>
        <w:rPr>
          <w:rFonts w:hint="default" w:ascii="Times New Roman" w:hAnsi="Times New Roman" w:cs="Times New Roman"/>
          <w:color w:val="auto"/>
          <w:highlight w:val="none"/>
        </w:rPr>
        <w:t>电缆选择</w:t>
      </w:r>
      <w:bookmarkEnd w:id="1202"/>
      <w:bookmarkEnd w:id="1203"/>
      <w:bookmarkEnd w:id="1204"/>
      <w:bookmarkEnd w:id="1205"/>
      <w:bookmarkEnd w:id="1206"/>
      <w:bookmarkEnd w:id="1207"/>
    </w:p>
    <w:p w14:paraId="0A3CA613">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电缆额定电压应不低于</w:t>
      </w:r>
      <w:r>
        <w:rPr>
          <w:rFonts w:hint="eastAsia" w:ascii="宋体" w:hAnsi="宋体" w:eastAsia="宋体" w:cs="宋体"/>
          <w:color w:val="auto"/>
          <w:highlight w:val="none"/>
          <w:lang w:val="en-US" w:eastAsia="zh-CN"/>
        </w:rPr>
        <w:t>其</w:t>
      </w:r>
      <w:r>
        <w:rPr>
          <w:rFonts w:hint="eastAsia" w:ascii="宋体" w:hAnsi="宋体" w:eastAsia="宋体" w:cs="宋体"/>
          <w:color w:val="auto"/>
          <w:highlight w:val="none"/>
        </w:rPr>
        <w:t>所在电路的额定电压。</w:t>
      </w:r>
    </w:p>
    <w:p w14:paraId="46E8D909">
      <w:pPr>
        <w:pStyle w:val="327"/>
        <w:ind w:left="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电缆</w:t>
      </w:r>
      <w:r>
        <w:rPr>
          <w:rFonts w:hint="eastAsia" w:ascii="宋体" w:hAnsi="宋体" w:eastAsia="宋体" w:cs="宋体"/>
          <w:color w:val="auto"/>
          <w:highlight w:val="none"/>
        </w:rPr>
        <w:t>绝缘材料的最高工作温度，应比电缆安装场所可能存在的最高环境温度至少高10</w:t>
      </w:r>
      <w:r>
        <w:rPr>
          <w:rFonts w:hint="eastAsia" w:ascii="宋体" w:hAnsi="宋体" w:eastAsia="宋体" w:cs="宋体"/>
          <w:color w:val="auto"/>
          <w:sz w:val="10"/>
          <w:szCs w:val="10"/>
          <w:highlight w:val="none"/>
          <w:lang w:val="en-US" w:eastAsia="zh-CN"/>
        </w:rPr>
        <w:t xml:space="preserve"> </w:t>
      </w:r>
      <w:r>
        <w:rPr>
          <w:rFonts w:hint="eastAsia" w:ascii="宋体" w:hAnsi="宋体" w:eastAsia="宋体" w:cs="宋体"/>
          <w:color w:val="auto"/>
          <w:highlight w:val="none"/>
        </w:rPr>
        <w:t>℃。</w:t>
      </w:r>
    </w:p>
    <w:p w14:paraId="2EB71B0C">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所有电气设备以外的电缆及布线至少应为</w:t>
      </w:r>
      <w:r>
        <w:rPr>
          <w:rFonts w:hint="eastAsia" w:ascii="宋体" w:hAnsi="宋体" w:eastAsia="宋体" w:cs="宋体"/>
          <w:color w:val="auto"/>
          <w:highlight w:val="none"/>
          <w:lang w:val="en-US" w:eastAsia="zh-CN"/>
        </w:rPr>
        <w:t>阻</w:t>
      </w:r>
      <w:r>
        <w:rPr>
          <w:rFonts w:hint="eastAsia" w:ascii="宋体" w:hAnsi="宋体" w:eastAsia="宋体" w:cs="宋体"/>
          <w:color w:val="auto"/>
          <w:highlight w:val="none"/>
        </w:rPr>
        <w:t>燃型</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在失火状况下</w:t>
      </w:r>
      <w:r>
        <w:rPr>
          <w:rFonts w:hint="eastAsia" w:ascii="宋体" w:hAnsi="宋体" w:eastAsia="宋体" w:cs="宋体"/>
          <w:color w:val="auto"/>
          <w:highlight w:val="none"/>
          <w:lang w:val="en-US" w:eastAsia="zh-CN"/>
        </w:rPr>
        <w:t>需</w:t>
      </w:r>
      <w:r>
        <w:rPr>
          <w:rFonts w:hint="eastAsia" w:ascii="宋体" w:hAnsi="宋体" w:eastAsia="宋体" w:cs="宋体"/>
          <w:color w:val="auto"/>
          <w:highlight w:val="none"/>
        </w:rPr>
        <w:t>维持工作的设备，其供电电缆应采用耐火型电缆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但下列设备可除外：</w:t>
      </w:r>
    </w:p>
    <w:p w14:paraId="47E77A35">
      <w:pPr>
        <w:pStyle w:val="305"/>
        <w:numPr>
          <w:ilvl w:val="0"/>
          <w:numId w:val="7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有自我监测功能的系统；</w:t>
      </w:r>
    </w:p>
    <w:p w14:paraId="048E8102">
      <w:pPr>
        <w:pStyle w:val="305"/>
        <w:numPr>
          <w:ilvl w:val="0"/>
          <w:numId w:val="7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按故障安全原则设计的系统；</w:t>
      </w:r>
    </w:p>
    <w:p w14:paraId="58B6B166">
      <w:pPr>
        <w:pStyle w:val="305"/>
        <w:numPr>
          <w:ilvl w:val="0"/>
          <w:numId w:val="70"/>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双套系统，且其电缆是远离分开敷设的。</w:t>
      </w:r>
    </w:p>
    <w:p w14:paraId="30D62367">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电缆及其绝缘导体应耐受最大短路电流所产生的机械应力和热效应。</w:t>
      </w:r>
    </w:p>
    <w:p w14:paraId="4109D385">
      <w:pPr>
        <w:pStyle w:val="261"/>
        <w:tabs>
          <w:tab w:val="left" w:pos="0"/>
        </w:tabs>
        <w:spacing w:before="156" w:after="156"/>
        <w:outlineLvl w:val="2"/>
        <w:rPr>
          <w:rFonts w:hint="default" w:ascii="Times New Roman" w:hAnsi="Times New Roman" w:cs="Times New Roman"/>
          <w:color w:val="auto"/>
          <w:highlight w:val="none"/>
        </w:rPr>
      </w:pPr>
      <w:bookmarkStart w:id="1208" w:name="_Toc10355"/>
      <w:bookmarkStart w:id="1209" w:name="_Toc11017"/>
      <w:bookmarkStart w:id="1210" w:name="_Toc32422"/>
      <w:bookmarkStart w:id="1211" w:name="_Toc18399"/>
      <w:bookmarkStart w:id="1212" w:name="_Toc23408"/>
      <w:bookmarkStart w:id="1213" w:name="_Toc5196"/>
      <w:r>
        <w:rPr>
          <w:rFonts w:hint="default" w:ascii="Times New Roman" w:hAnsi="Times New Roman" w:cs="Times New Roman"/>
          <w:color w:val="auto"/>
          <w:highlight w:val="none"/>
        </w:rPr>
        <w:t>电缆敷设</w:t>
      </w:r>
      <w:bookmarkEnd w:id="1208"/>
      <w:bookmarkEnd w:id="1209"/>
      <w:bookmarkEnd w:id="1210"/>
      <w:bookmarkEnd w:id="1211"/>
      <w:bookmarkEnd w:id="1212"/>
      <w:bookmarkEnd w:id="1213"/>
    </w:p>
    <w:p w14:paraId="7B087D6D">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电缆的</w:t>
      </w:r>
      <w:r>
        <w:rPr>
          <w:rFonts w:hint="default" w:ascii="Times New Roman" w:hAnsi="Times New Roman" w:cs="Times New Roman"/>
          <w:color w:val="auto"/>
          <w:highlight w:val="none"/>
          <w:lang w:val="en-US" w:eastAsia="zh-CN"/>
        </w:rPr>
        <w:t>敷设</w:t>
      </w:r>
      <w:r>
        <w:rPr>
          <w:rFonts w:hint="default" w:ascii="Times New Roman" w:hAnsi="Times New Roman" w:cs="Times New Roman"/>
          <w:color w:val="auto"/>
          <w:highlight w:val="none"/>
        </w:rPr>
        <w:t>应远离锅炉、热管、电阻器等热源，并应采取不受机械损伤的保护措施。</w:t>
      </w:r>
    </w:p>
    <w:p w14:paraId="4A1EA8E5">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电缆敷设时</w:t>
      </w:r>
      <w:r>
        <w:rPr>
          <w:rFonts w:hint="eastAsia" w:ascii="Times New Roman" w:hAnsi="Times New Roman" w:cs="Times New Roman"/>
          <w:color w:val="auto"/>
          <w:highlight w:val="none"/>
          <w:lang w:val="en-US" w:eastAsia="zh-CN"/>
        </w:rPr>
        <w:t>的</w:t>
      </w:r>
      <w:r>
        <w:rPr>
          <w:rFonts w:hint="default" w:ascii="Times New Roman" w:hAnsi="Times New Roman" w:cs="Times New Roman"/>
          <w:color w:val="auto"/>
          <w:highlight w:val="none"/>
          <w:lang w:val="en-US" w:eastAsia="zh-CN"/>
        </w:rPr>
        <w:t>最小弯曲半径不应小于所选电缆最小允许弯曲半径</w:t>
      </w:r>
      <w:r>
        <w:rPr>
          <w:rFonts w:hint="default" w:ascii="Times New Roman" w:hAnsi="Times New Roman" w:cs="Times New Roman"/>
          <w:color w:val="auto"/>
          <w:highlight w:val="none"/>
        </w:rPr>
        <w:t>。</w:t>
      </w:r>
    </w:p>
    <w:p w14:paraId="02E65256">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用于重要设备</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应急动力设备、应急照明以及应急状态下使用的内部通信或信号设备的电缆</w:t>
      </w:r>
      <w:r>
        <w:rPr>
          <w:rFonts w:hint="eastAsia" w:ascii="Times New Roman" w:hAnsi="Times New Roman" w:cs="Times New Roman"/>
          <w:color w:val="auto"/>
          <w:highlight w:val="none"/>
          <w:lang w:eastAsia="zh-CN"/>
        </w:rPr>
        <w:t>，</w:t>
      </w:r>
      <w:r>
        <w:rPr>
          <w:rFonts w:hint="default" w:ascii="Times New Roman" w:hAnsi="Times New Roman" w:cs="Times New Roman"/>
          <w:color w:val="auto"/>
          <w:highlight w:val="none"/>
        </w:rPr>
        <w:t>应远离厨房、洗衣间、机器处所及其舱棚，以及其他高度失火</w:t>
      </w:r>
      <w:r>
        <w:rPr>
          <w:rFonts w:hint="eastAsia" w:ascii="Times New Roman" w:hAnsi="Times New Roman" w:cs="Times New Roman"/>
          <w:color w:val="auto"/>
          <w:highlight w:val="none"/>
          <w:lang w:eastAsia="zh-CN"/>
        </w:rPr>
        <w:t>危险</w:t>
      </w:r>
      <w:r>
        <w:rPr>
          <w:rFonts w:hint="eastAsia" w:ascii="Times New Roman" w:hAnsi="Times New Roman" w:cs="Times New Roman"/>
          <w:color w:val="auto"/>
          <w:highlight w:val="none"/>
          <w:lang w:val="en-US" w:eastAsia="zh-CN"/>
        </w:rPr>
        <w:t>场所</w:t>
      </w:r>
      <w:r>
        <w:rPr>
          <w:rFonts w:hint="default" w:ascii="Times New Roman" w:hAnsi="Times New Roman" w:cs="Times New Roman"/>
          <w:color w:val="auto"/>
          <w:highlight w:val="none"/>
        </w:rPr>
        <w:t>。</w:t>
      </w:r>
    </w:p>
    <w:p w14:paraId="1AC50EE3">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主干电缆和重要设备的供电和控制用电缆应远离具有较大失火危险的机械</w:t>
      </w:r>
      <w:r>
        <w:rPr>
          <w:rFonts w:hint="eastAsia" w:ascii="Times New Roman" w:hAnsi="Times New Roman" w:cs="Times New Roman"/>
          <w:color w:val="auto"/>
          <w:highlight w:val="none"/>
          <w:lang w:val="en-US" w:eastAsia="zh-CN"/>
        </w:rPr>
        <w:t>和</w:t>
      </w:r>
      <w:r>
        <w:rPr>
          <w:rFonts w:hint="default" w:ascii="Times New Roman" w:hAnsi="Times New Roman" w:cs="Times New Roman"/>
          <w:color w:val="auto"/>
          <w:highlight w:val="none"/>
        </w:rPr>
        <w:t>机械部件敷设</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以下电缆除外</w:t>
      </w:r>
      <w:r>
        <w:rPr>
          <w:rFonts w:hint="default" w:ascii="Times New Roman" w:hAnsi="Times New Roman" w:cs="Times New Roman"/>
          <w:color w:val="auto"/>
          <w:highlight w:val="none"/>
        </w:rPr>
        <w:t>：</w:t>
      </w:r>
    </w:p>
    <w:p w14:paraId="762C5B67">
      <w:pPr>
        <w:pStyle w:val="305"/>
        <w:numPr>
          <w:ilvl w:val="0"/>
          <w:numId w:val="71"/>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设备本身电缆；</w:t>
      </w:r>
    </w:p>
    <w:p w14:paraId="041C07ED">
      <w:pPr>
        <w:pStyle w:val="305"/>
        <w:numPr>
          <w:ilvl w:val="0"/>
          <w:numId w:val="7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通过钢质舱壁或甲板与设备隔开的电缆；</w:t>
      </w:r>
    </w:p>
    <w:p w14:paraId="1D5151A3">
      <w:pPr>
        <w:pStyle w:val="305"/>
        <w:numPr>
          <w:ilvl w:val="0"/>
          <w:numId w:val="7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耐火电缆。</w:t>
      </w:r>
    </w:p>
    <w:p w14:paraId="700D434A">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电缆</w:t>
      </w:r>
      <w:r>
        <w:rPr>
          <w:rFonts w:hint="eastAsia" w:ascii="宋体" w:hAnsi="宋体" w:eastAsia="宋体" w:cs="宋体"/>
          <w:color w:val="auto"/>
          <w:highlight w:val="none"/>
          <w:lang w:val="en-US" w:eastAsia="zh-CN"/>
        </w:rPr>
        <w:t>如</w:t>
      </w:r>
      <w:r>
        <w:rPr>
          <w:rFonts w:hint="eastAsia" w:ascii="宋体" w:hAnsi="宋体" w:eastAsia="宋体" w:cs="宋体"/>
          <w:color w:val="auto"/>
          <w:highlight w:val="none"/>
        </w:rPr>
        <w:t>采用非金属电缆紧固件或扎带固定，并且未敷设在水平电缆托架或支承件上时，应以最大不超过1</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m的间隔附加金属电缆紧固件。</w:t>
      </w:r>
    </w:p>
    <w:p w14:paraId="5CF4BE62">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单芯电缆</w:t>
      </w:r>
      <w:r>
        <w:rPr>
          <w:rFonts w:hint="eastAsia" w:ascii="宋体" w:hAnsi="宋体" w:eastAsia="宋体" w:cs="宋体"/>
          <w:color w:val="auto"/>
          <w:highlight w:val="none"/>
          <w:lang w:val="en-US" w:eastAsia="zh-CN"/>
        </w:rPr>
        <w:t>紧固件</w:t>
      </w:r>
      <w:r>
        <w:rPr>
          <w:rFonts w:hint="eastAsia" w:ascii="宋体" w:hAnsi="宋体" w:eastAsia="宋体" w:cs="宋体"/>
          <w:color w:val="auto"/>
          <w:highlight w:val="none"/>
        </w:rPr>
        <w:t>的强度应承受预期短路电流相当的电动力。</w:t>
      </w:r>
    </w:p>
    <w:p w14:paraId="16DF69C7">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电缆贯穿水密隔舱壁或甲板时，应保持隔舱壁或甲板的水密完整性。</w:t>
      </w:r>
    </w:p>
    <w:p w14:paraId="22C36AD1">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电缆贯穿有防火要求的舱壁和甲板时，应</w:t>
      </w:r>
      <w:r>
        <w:rPr>
          <w:rFonts w:hint="eastAsia" w:ascii="宋体" w:hAnsi="宋体" w:eastAsia="宋体" w:cs="宋体"/>
          <w:color w:val="auto"/>
          <w:highlight w:val="none"/>
          <w:lang w:val="en-US" w:eastAsia="zh-CN"/>
        </w:rPr>
        <w:t>保持</w:t>
      </w:r>
      <w:r>
        <w:rPr>
          <w:rFonts w:hint="eastAsia" w:ascii="宋体" w:hAnsi="宋体" w:eastAsia="宋体" w:cs="宋体"/>
          <w:color w:val="auto"/>
          <w:highlight w:val="none"/>
        </w:rPr>
        <w:t>舱壁和甲板的防火完整性。</w:t>
      </w:r>
    </w:p>
    <w:p w14:paraId="52CE4C73">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穿过甲板的电缆，应</w:t>
      </w:r>
      <w:r>
        <w:rPr>
          <w:rFonts w:hint="eastAsia" w:ascii="宋体" w:hAnsi="宋体" w:eastAsia="宋体" w:cs="宋体"/>
          <w:color w:val="auto"/>
          <w:highlight w:val="none"/>
          <w:lang w:val="en-US" w:eastAsia="zh-CN"/>
        </w:rPr>
        <w:t>采用</w:t>
      </w:r>
      <w:r>
        <w:rPr>
          <w:rFonts w:hint="eastAsia" w:ascii="宋体" w:hAnsi="宋体" w:eastAsia="宋体" w:cs="宋体"/>
          <w:color w:val="auto"/>
          <w:highlight w:val="none"/>
        </w:rPr>
        <w:t>金属导管或围框加以保护</w:t>
      </w:r>
      <w:r>
        <w:rPr>
          <w:rFonts w:hint="eastAsia" w:ascii="宋体" w:hAnsi="宋体" w:eastAsia="宋体" w:cs="宋体"/>
          <w:color w:val="auto"/>
          <w:highlight w:val="none"/>
          <w:lang w:eastAsia="zh-CN"/>
        </w:rPr>
        <w:t>。</w:t>
      </w:r>
    </w:p>
    <w:p w14:paraId="01CED701">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若</w:t>
      </w:r>
      <w:r>
        <w:rPr>
          <w:rFonts w:hint="eastAsia" w:ascii="宋体" w:hAnsi="宋体" w:eastAsia="宋体" w:cs="宋体"/>
          <w:color w:val="auto"/>
          <w:highlight w:val="none"/>
          <w:shd w:val="clear"/>
        </w:rPr>
        <w:t>电缆</w:t>
      </w:r>
      <w:r>
        <w:rPr>
          <w:rFonts w:hint="eastAsia" w:ascii="宋体" w:hAnsi="宋体" w:eastAsia="宋体" w:cs="宋体"/>
          <w:color w:val="auto"/>
          <w:highlight w:val="none"/>
          <w:shd w:val="clear"/>
          <w:lang w:val="en-US" w:eastAsia="zh-CN"/>
        </w:rPr>
        <w:t>束</w:t>
      </w:r>
      <w:r>
        <w:rPr>
          <w:rFonts w:hint="eastAsia" w:ascii="宋体" w:hAnsi="宋体" w:eastAsia="宋体" w:cs="宋体"/>
          <w:color w:val="auto"/>
          <w:highlight w:val="none"/>
          <w:shd w:val="clear"/>
        </w:rPr>
        <w:t>敷设在围壁通道内，围壁通道的构造不应使之成为火灾由甲板间或舱室</w:t>
      </w:r>
      <w:r>
        <w:rPr>
          <w:rFonts w:hint="eastAsia" w:ascii="宋体" w:hAnsi="宋体" w:eastAsia="宋体" w:cs="宋体"/>
          <w:color w:val="auto"/>
          <w:highlight w:val="none"/>
          <w:shd w:val="clear"/>
          <w:lang w:val="en-US" w:eastAsia="zh-CN"/>
        </w:rPr>
        <w:t>传播至</w:t>
      </w:r>
      <w:r>
        <w:rPr>
          <w:rFonts w:hint="eastAsia" w:ascii="宋体" w:hAnsi="宋体" w:eastAsia="宋体" w:cs="宋体"/>
          <w:color w:val="auto"/>
          <w:highlight w:val="none"/>
          <w:shd w:val="clear"/>
        </w:rPr>
        <w:t>另一处的通道。</w:t>
      </w:r>
    </w:p>
    <w:p w14:paraId="395A735B">
      <w:pPr>
        <w:pStyle w:val="260"/>
        <w:jc w:val="both"/>
        <w:outlineLvl w:val="1"/>
        <w:rPr>
          <w:rFonts w:hint="default" w:ascii="Times New Roman" w:hAnsi="Times New Roman" w:eastAsia="黑体" w:cs="Times New Roman"/>
          <w:color w:val="auto"/>
          <w:highlight w:val="none"/>
        </w:rPr>
      </w:pPr>
      <w:bookmarkStart w:id="1214" w:name="_Toc6932"/>
      <w:bookmarkStart w:id="1215" w:name="_Toc16507"/>
      <w:bookmarkStart w:id="1216" w:name="_Toc19239"/>
      <w:bookmarkStart w:id="1217" w:name="_Toc21478"/>
      <w:bookmarkStart w:id="1218" w:name="_Toc24564"/>
      <w:bookmarkStart w:id="1219" w:name="_Toc23980"/>
      <w:bookmarkStart w:id="1220" w:name="_Toc13950"/>
      <w:bookmarkStart w:id="1221" w:name="_Toc26624"/>
      <w:bookmarkStart w:id="1222" w:name="_Toc25178"/>
      <w:bookmarkStart w:id="1223" w:name="_Toc183727715"/>
      <w:bookmarkStart w:id="1224" w:name="_Toc13629"/>
      <w:r>
        <w:rPr>
          <w:rFonts w:hint="default" w:ascii="Times New Roman" w:hAnsi="Times New Roman" w:eastAsia="黑体" w:cs="Times New Roman"/>
          <w:color w:val="auto"/>
          <w:highlight w:val="none"/>
        </w:rPr>
        <w:t>接地、防雷及防干扰措施</w:t>
      </w:r>
      <w:bookmarkEnd w:id="1214"/>
      <w:bookmarkEnd w:id="1215"/>
      <w:bookmarkEnd w:id="1216"/>
      <w:bookmarkEnd w:id="1217"/>
      <w:bookmarkEnd w:id="1218"/>
      <w:bookmarkEnd w:id="1219"/>
      <w:bookmarkEnd w:id="1220"/>
      <w:bookmarkEnd w:id="1221"/>
      <w:bookmarkEnd w:id="1222"/>
      <w:bookmarkEnd w:id="1223"/>
      <w:bookmarkEnd w:id="1224"/>
    </w:p>
    <w:p w14:paraId="321627B1">
      <w:pPr>
        <w:pStyle w:val="261"/>
        <w:tabs>
          <w:tab w:val="left" w:pos="0"/>
        </w:tabs>
        <w:spacing w:before="156" w:after="156"/>
        <w:outlineLvl w:val="2"/>
        <w:rPr>
          <w:rFonts w:hint="default" w:ascii="Times New Roman" w:hAnsi="Times New Roman" w:cs="Times New Roman"/>
          <w:color w:val="auto"/>
          <w:highlight w:val="none"/>
        </w:rPr>
      </w:pPr>
      <w:bookmarkStart w:id="1225" w:name="_Toc12480"/>
      <w:bookmarkStart w:id="1226" w:name="_Toc23424"/>
      <w:bookmarkStart w:id="1227" w:name="_Toc29874"/>
      <w:bookmarkStart w:id="1228" w:name="_Toc4656"/>
      <w:bookmarkStart w:id="1229" w:name="_Toc14943"/>
      <w:bookmarkStart w:id="1230" w:name="_Toc23201"/>
      <w:bookmarkStart w:id="1231" w:name="_Toc9963"/>
      <w:r>
        <w:rPr>
          <w:rFonts w:hint="default" w:ascii="Times New Roman" w:hAnsi="Times New Roman" w:cs="Times New Roman"/>
          <w:color w:val="auto"/>
          <w:highlight w:val="none"/>
        </w:rPr>
        <w:t>保护接地</w:t>
      </w:r>
      <w:bookmarkEnd w:id="1225"/>
      <w:bookmarkEnd w:id="1226"/>
      <w:bookmarkEnd w:id="1227"/>
      <w:bookmarkEnd w:id="1228"/>
      <w:bookmarkEnd w:id="1229"/>
      <w:bookmarkEnd w:id="1230"/>
      <w:bookmarkEnd w:id="1231"/>
    </w:p>
    <w:p w14:paraId="6C28C333">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电气</w:t>
      </w:r>
      <w:r>
        <w:rPr>
          <w:rFonts w:hint="default" w:ascii="Times New Roman" w:hAnsi="Times New Roman" w:cs="Times New Roman"/>
          <w:color w:val="auto"/>
          <w:highlight w:val="none"/>
        </w:rPr>
        <w:t>系统的</w:t>
      </w:r>
      <w:r>
        <w:rPr>
          <w:rFonts w:hint="default" w:ascii="Times New Roman" w:hAnsi="Times New Roman" w:cs="Times New Roman"/>
          <w:color w:val="auto"/>
          <w:highlight w:val="none"/>
          <w:lang w:val="en-US" w:eastAsia="zh-CN"/>
        </w:rPr>
        <w:t>工作</w:t>
      </w:r>
      <w:r>
        <w:rPr>
          <w:rFonts w:hint="default" w:ascii="Times New Roman" w:hAnsi="Times New Roman" w:cs="Times New Roman"/>
          <w:color w:val="auto"/>
          <w:highlight w:val="none"/>
        </w:rPr>
        <w:t>接地应与电气设备的</w:t>
      </w:r>
      <w:r>
        <w:rPr>
          <w:rFonts w:hint="default" w:ascii="Times New Roman" w:hAnsi="Times New Roman" w:cs="Times New Roman"/>
          <w:color w:val="auto"/>
          <w:highlight w:val="none"/>
          <w:lang w:val="en-US" w:eastAsia="zh-CN"/>
        </w:rPr>
        <w:t>保护</w:t>
      </w:r>
      <w:r>
        <w:rPr>
          <w:rFonts w:hint="default" w:ascii="Times New Roman" w:hAnsi="Times New Roman" w:cs="Times New Roman"/>
          <w:color w:val="auto"/>
          <w:highlight w:val="none"/>
        </w:rPr>
        <w:t>接地分开。</w:t>
      </w:r>
    </w:p>
    <w:p w14:paraId="40AC9D8E">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除具有双重绝缘设备的金属外壳和绝缘轴承座以外，电气设备的金属外壳、固定安装的机械</w:t>
      </w:r>
      <w:r>
        <w:rPr>
          <w:rFonts w:hint="eastAsia" w:ascii="Times New Roman" w:hAnsi="Times New Roman" w:cs="Times New Roman"/>
          <w:color w:val="auto"/>
          <w:highlight w:val="none"/>
          <w:lang w:val="en-US" w:eastAsia="zh-CN"/>
        </w:rPr>
        <w:t>及</w:t>
      </w:r>
      <w:r>
        <w:rPr>
          <w:rFonts w:hint="default" w:ascii="Times New Roman" w:hAnsi="Times New Roman" w:cs="Times New Roman"/>
          <w:color w:val="auto"/>
          <w:highlight w:val="none"/>
        </w:rPr>
        <w:t>直升机甲板均应可靠接地。</w:t>
      </w:r>
    </w:p>
    <w:p w14:paraId="0908374A">
      <w:pPr>
        <w:pStyle w:val="327"/>
        <w:ind w:left="0"/>
        <w:rPr>
          <w:rFonts w:hint="default" w:ascii="Times New Roman" w:hAnsi="Times New Roman" w:cs="Times New Roman"/>
          <w:color w:val="auto"/>
          <w:highlight w:val="none"/>
        </w:rPr>
      </w:pPr>
      <w:r>
        <w:rPr>
          <w:rFonts w:hint="eastAsia"/>
          <w:color w:val="auto"/>
          <w:highlight w:val="none"/>
        </w:rPr>
        <w:t>吊机基座</w:t>
      </w:r>
      <w:r>
        <w:rPr>
          <w:rFonts w:hint="eastAsia"/>
          <w:color w:val="auto"/>
          <w:highlight w:val="none"/>
          <w:lang w:val="en-US" w:eastAsia="zh-CN"/>
        </w:rPr>
        <w:t>与</w:t>
      </w:r>
      <w:r>
        <w:rPr>
          <w:rFonts w:hint="eastAsia"/>
          <w:color w:val="auto"/>
          <w:highlight w:val="none"/>
        </w:rPr>
        <w:t>旋转部分应可靠电气连接并接地</w:t>
      </w:r>
      <w:r>
        <w:rPr>
          <w:rFonts w:hint="default" w:ascii="Times New Roman" w:hAnsi="Times New Roman" w:cs="Times New Roman"/>
          <w:color w:val="auto"/>
          <w:highlight w:val="none"/>
        </w:rPr>
        <w:t>。</w:t>
      </w:r>
    </w:p>
    <w:p w14:paraId="67CF022D">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电缆的金属护套或金属外护层应于两端作有效接地</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下列情况除外：</w:t>
      </w:r>
    </w:p>
    <w:p w14:paraId="5BF2E0C0">
      <w:pPr>
        <w:pStyle w:val="305"/>
        <w:numPr>
          <w:ilvl w:val="0"/>
          <w:numId w:val="72"/>
        </w:numPr>
        <w:ind w:left="839" w:leftChars="0" w:hanging="419" w:firstLineChars="0"/>
        <w:rPr>
          <w:rFonts w:hint="eastAsia" w:ascii="宋体" w:hAnsi="宋体" w:cs="宋体"/>
          <w:color w:val="auto"/>
          <w:highlight w:val="none"/>
          <w:lang w:val="en-US" w:eastAsia="zh-CN"/>
        </w:rPr>
      </w:pPr>
      <w:r>
        <w:rPr>
          <w:rFonts w:hint="default" w:ascii="宋体" w:hAnsi="宋体" w:cs="宋体"/>
          <w:color w:val="auto"/>
          <w:highlight w:val="none"/>
          <w:lang w:val="en-US" w:eastAsia="zh-CN"/>
        </w:rPr>
        <w:t>最后分路电源端接地</w:t>
      </w:r>
      <w:r>
        <w:rPr>
          <w:rFonts w:hint="eastAsia" w:ascii="宋体" w:hAnsi="宋体" w:cs="宋体"/>
          <w:color w:val="auto"/>
          <w:highlight w:val="none"/>
          <w:lang w:val="en-US" w:eastAsia="zh-CN"/>
        </w:rPr>
        <w:t>；</w:t>
      </w:r>
    </w:p>
    <w:p w14:paraId="732A7226">
      <w:pPr>
        <w:pStyle w:val="305"/>
        <w:numPr>
          <w:ilvl w:val="0"/>
          <w:numId w:val="72"/>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控制和仪表设备的电缆</w:t>
      </w:r>
      <w:r>
        <w:rPr>
          <w:rFonts w:hint="eastAsia" w:ascii="宋体" w:hAnsi="宋体" w:cs="宋体"/>
          <w:color w:val="auto"/>
          <w:highlight w:val="none"/>
          <w:lang w:val="en-US" w:eastAsia="zh-CN"/>
        </w:rPr>
        <w:t>以及单芯动力电缆</w:t>
      </w:r>
      <w:r>
        <w:rPr>
          <w:rFonts w:hint="default" w:ascii="宋体" w:hAnsi="宋体" w:cs="宋体"/>
          <w:color w:val="auto"/>
          <w:highlight w:val="none"/>
          <w:lang w:val="en-US" w:eastAsia="zh-CN"/>
        </w:rPr>
        <w:t>一端接地较为有利。</w:t>
      </w:r>
    </w:p>
    <w:p w14:paraId="4146A426">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上层建筑</w:t>
      </w:r>
      <w:r>
        <w:rPr>
          <w:rFonts w:hint="eastAsia" w:ascii="Times New Roman" w:hAnsi="Times New Roman" w:cs="Times New Roman"/>
          <w:color w:val="auto"/>
          <w:highlight w:val="none"/>
          <w:lang w:val="en-US" w:eastAsia="zh-CN"/>
        </w:rPr>
        <w:t>采用</w:t>
      </w:r>
      <w:r>
        <w:rPr>
          <w:rFonts w:hint="default" w:ascii="Times New Roman" w:hAnsi="Times New Roman" w:cs="Times New Roman"/>
          <w:color w:val="auto"/>
          <w:highlight w:val="none"/>
        </w:rPr>
        <w:t>铝加绝缘方式紧固在钢质平台上</w:t>
      </w:r>
      <w:r>
        <w:rPr>
          <w:rFonts w:hint="eastAsia" w:ascii="Times New Roman" w:hAnsi="Times New Roman" w:cs="Times New Roman"/>
          <w:color w:val="auto"/>
          <w:highlight w:val="none"/>
          <w:lang w:val="en-US" w:eastAsia="zh-CN"/>
        </w:rPr>
        <w:t>时</w:t>
      </w:r>
      <w:r>
        <w:rPr>
          <w:rFonts w:hint="default" w:ascii="Times New Roman" w:hAnsi="Times New Roman" w:cs="Times New Roman"/>
          <w:color w:val="auto"/>
          <w:highlight w:val="none"/>
        </w:rPr>
        <w:t>，在上层建筑与平台之间应设置单独跨接线，且其连接方式应防止电</w:t>
      </w:r>
      <w:r>
        <w:rPr>
          <w:rFonts w:hint="default" w:ascii="Times New Roman" w:hAnsi="Times New Roman" w:cs="Times New Roman"/>
          <w:color w:val="auto"/>
          <w:highlight w:val="none"/>
          <w:lang w:val="en-US" w:eastAsia="zh-CN"/>
        </w:rPr>
        <w:t>化学</w:t>
      </w:r>
      <w:r>
        <w:rPr>
          <w:rFonts w:hint="default" w:ascii="Times New Roman" w:hAnsi="Times New Roman" w:cs="Times New Roman"/>
          <w:color w:val="auto"/>
          <w:highlight w:val="none"/>
        </w:rPr>
        <w:t>腐蚀，连接点</w:t>
      </w:r>
      <w:r>
        <w:rPr>
          <w:rFonts w:hint="eastAsia" w:ascii="Times New Roman" w:hAnsi="Times New Roman" w:cs="Times New Roman"/>
          <w:color w:val="auto"/>
          <w:highlight w:val="none"/>
          <w:lang w:val="en-US" w:eastAsia="zh-CN"/>
        </w:rPr>
        <w:t>应</w:t>
      </w:r>
      <w:r>
        <w:rPr>
          <w:rFonts w:hint="default" w:ascii="Times New Roman" w:hAnsi="Times New Roman" w:cs="Times New Roman"/>
          <w:color w:val="auto"/>
          <w:highlight w:val="none"/>
        </w:rPr>
        <w:t>设在便于检查</w:t>
      </w:r>
      <w:r>
        <w:rPr>
          <w:rFonts w:hint="eastAsia" w:ascii="Times New Roman" w:hAnsi="Times New Roman" w:cs="Times New Roman"/>
          <w:color w:val="auto"/>
          <w:highlight w:val="none"/>
          <w:lang w:val="en-US" w:eastAsia="zh-CN"/>
        </w:rPr>
        <w:t>的位置</w:t>
      </w:r>
      <w:r>
        <w:rPr>
          <w:rFonts w:hint="default" w:ascii="Times New Roman" w:hAnsi="Times New Roman" w:cs="Times New Roman"/>
          <w:color w:val="auto"/>
          <w:highlight w:val="none"/>
        </w:rPr>
        <w:t>。</w:t>
      </w:r>
    </w:p>
    <w:p w14:paraId="7EEDBCB8">
      <w:pPr>
        <w:pStyle w:val="261"/>
        <w:spacing w:before="156" w:after="156"/>
        <w:jc w:val="both"/>
        <w:outlineLvl w:val="2"/>
        <w:rPr>
          <w:rFonts w:hint="default" w:ascii="Times New Roman" w:hAnsi="Times New Roman" w:cs="Times New Roman"/>
          <w:color w:val="auto"/>
          <w:highlight w:val="none"/>
        </w:rPr>
      </w:pPr>
      <w:bookmarkStart w:id="1232" w:name="_Toc8807"/>
      <w:bookmarkStart w:id="1233" w:name="_Toc30855"/>
      <w:bookmarkStart w:id="1234" w:name="_Toc31365"/>
      <w:bookmarkStart w:id="1235" w:name="_Toc8813"/>
      <w:bookmarkStart w:id="1236" w:name="_Toc24098"/>
      <w:bookmarkStart w:id="1237" w:name="_Toc27960"/>
      <w:bookmarkStart w:id="1238" w:name="_Toc2195"/>
      <w:r>
        <w:rPr>
          <w:rFonts w:hint="default" w:ascii="Times New Roman" w:hAnsi="Times New Roman" w:cs="Times New Roman"/>
          <w:color w:val="auto"/>
          <w:highlight w:val="none"/>
        </w:rPr>
        <w:t>防静电接地</w:t>
      </w:r>
      <w:bookmarkEnd w:id="1232"/>
      <w:bookmarkEnd w:id="1233"/>
      <w:bookmarkEnd w:id="1234"/>
      <w:bookmarkEnd w:id="1235"/>
      <w:bookmarkEnd w:id="1236"/>
      <w:bookmarkEnd w:id="1237"/>
      <w:bookmarkEnd w:id="1238"/>
    </w:p>
    <w:p w14:paraId="07674A2D">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油舱、污油水舱、管路系统和设备的任何表面部位与船体之间的电阻不应大于1 MΩ。</w:t>
      </w:r>
    </w:p>
    <w:p w14:paraId="2DED9586">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布置在危险区域内的货油舱（柜）、处理装置、管系等与FPSO钢结构间的电阻大于1 MΩ时，应设置专门的接地金属搭接片进行电气连接和接地。</w:t>
      </w:r>
    </w:p>
    <w:p w14:paraId="1F049A3C">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对设备和管系防静电电气连接和接地的跨接片，应满足以下要求：</w:t>
      </w:r>
    </w:p>
    <w:p w14:paraId="226E927A">
      <w:pPr>
        <w:pStyle w:val="305"/>
        <w:numPr>
          <w:ilvl w:val="0"/>
          <w:numId w:val="7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清楚可见，并易发现缺陷；</w:t>
      </w:r>
    </w:p>
    <w:p w14:paraId="68519278">
      <w:pPr>
        <w:pStyle w:val="305"/>
        <w:numPr>
          <w:ilvl w:val="0"/>
          <w:numId w:val="7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截面积不小于6 mm</w:t>
      </w:r>
      <w:r>
        <w:rPr>
          <w:rFonts w:hint="eastAsia" w:ascii="宋体" w:hAnsi="宋体" w:cs="宋体"/>
          <w:color w:val="auto"/>
          <w:highlight w:val="none"/>
          <w:vertAlign w:val="superscript"/>
          <w:lang w:val="en-US" w:eastAsia="zh-CN"/>
        </w:rPr>
        <w:t>2</w:t>
      </w:r>
      <w:r>
        <w:rPr>
          <w:rFonts w:hint="eastAsia" w:ascii="宋体" w:hAnsi="宋体" w:cs="宋体"/>
          <w:color w:val="auto"/>
          <w:highlight w:val="none"/>
          <w:lang w:val="en-US" w:eastAsia="zh-CN"/>
        </w:rPr>
        <w:t>的铜导体或其他导电良好的耐腐蚀金属制成；</w:t>
      </w:r>
    </w:p>
    <w:p w14:paraId="5B2F79D9">
      <w:pPr>
        <w:pStyle w:val="305"/>
        <w:numPr>
          <w:ilvl w:val="0"/>
          <w:numId w:val="7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能防止机械损伤和锈蚀的影响；</w:t>
      </w:r>
    </w:p>
    <w:p w14:paraId="274076E7">
      <w:pPr>
        <w:pStyle w:val="305"/>
        <w:numPr>
          <w:ilvl w:val="0"/>
          <w:numId w:val="7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以直径不小于4 mm的黄铜或其他耐腐蚀的材料制成的专用螺钉紧固，其位置易于检查和更换。</w:t>
      </w:r>
    </w:p>
    <w:p w14:paraId="7932CB28">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油气管道以及压缩空气、二氧化碳和干粉系统中的金属管道和设备，在每个连接接头处均应设置可靠电气连接，并应至少有两处接地。</w:t>
      </w:r>
    </w:p>
    <w:p w14:paraId="6124B153">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平行敷设的管道距离小于100 mm时，每隔20 m应用金属导体进行连接并接地；交叉距离小于100 mm时，应用金属导体将其互连接并接地。</w:t>
      </w:r>
    </w:p>
    <w:p w14:paraId="40CB84EF">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易燃液体和气体输送管系的头部、尾部及其分支管系均应可靠的接地。</w:t>
      </w:r>
    </w:p>
    <w:p w14:paraId="1D9ED742">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储存易燃液体和气体的储罐均应接地。容积大于50 m</w:t>
      </w:r>
      <w:r>
        <w:rPr>
          <w:rFonts w:hint="eastAsia" w:ascii="宋体" w:hAnsi="宋体" w:eastAsia="宋体" w:cs="宋体"/>
          <w:color w:val="auto"/>
          <w:highlight w:val="none"/>
          <w:vertAlign w:val="superscript"/>
          <w:lang w:val="en-US" w:eastAsia="zh-CN"/>
        </w:rPr>
        <w:t>3</w:t>
      </w:r>
      <w:r>
        <w:rPr>
          <w:rFonts w:hint="eastAsia" w:ascii="宋体" w:hAnsi="宋体" w:eastAsia="宋体" w:cs="宋体"/>
          <w:color w:val="auto"/>
          <w:highlight w:val="none"/>
          <w:lang w:val="en-US" w:eastAsia="zh-CN"/>
        </w:rPr>
        <w:t>的储罐，沿其直径应不少于两处接地。</w:t>
      </w:r>
    </w:p>
    <w:p w14:paraId="35EC932F">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应设置与外输软管的防静电接地装置，以保证输油状态下的等电位连接。</w:t>
      </w:r>
    </w:p>
    <w:p w14:paraId="5BF09183">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非金属管道、托架等所选用材料的体积电阻率应不大于1×10</w:t>
      </w:r>
      <w:r>
        <w:rPr>
          <w:rFonts w:hint="eastAsia" w:ascii="宋体" w:hAnsi="宋体" w:eastAsia="宋体" w:cs="宋体"/>
          <w:color w:val="auto"/>
          <w:highlight w:val="none"/>
          <w:vertAlign w:val="superscript"/>
          <w:lang w:val="en-US" w:eastAsia="zh-CN"/>
        </w:rPr>
        <w:t xml:space="preserve">6 </w:t>
      </w:r>
      <w:r>
        <w:rPr>
          <w:rFonts w:hint="eastAsia" w:ascii="宋体" w:hAnsi="宋体" w:eastAsia="宋体" w:cs="宋体"/>
          <w:color w:val="auto"/>
          <w:kern w:val="2"/>
          <w:szCs w:val="24"/>
          <w:highlight w:val="none"/>
          <w:vertAlign w:val="baseline"/>
        </w:rPr>
        <w:t>Ω</w:t>
      </w:r>
      <w:r>
        <w:rPr>
          <w:rFonts w:hint="eastAsia" w:ascii="宋体" w:hAnsi="宋体" w:eastAsia="宋体" w:cs="宋体"/>
          <w:color w:val="auto"/>
          <w:highlight w:val="none"/>
          <w:vertAlign w:val="baseline"/>
          <w:lang w:val="en-US" w:eastAsia="zh-CN"/>
        </w:rPr>
        <w:t>•m</w:t>
      </w:r>
      <w:r>
        <w:rPr>
          <w:rFonts w:hint="eastAsia" w:ascii="宋体" w:hAnsi="宋体" w:eastAsia="宋体" w:cs="宋体"/>
          <w:color w:val="auto"/>
          <w:highlight w:val="none"/>
          <w:lang w:val="en-US" w:eastAsia="zh-CN"/>
        </w:rPr>
        <w:t>。</w:t>
      </w:r>
    </w:p>
    <w:p w14:paraId="245D4D5C">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非金属管道上的金属件应做防静电接地。</w:t>
      </w:r>
    </w:p>
    <w:p w14:paraId="62DB15B8">
      <w:pPr>
        <w:pStyle w:val="261"/>
        <w:spacing w:before="156" w:after="156"/>
        <w:outlineLvl w:val="2"/>
        <w:rPr>
          <w:rFonts w:hint="default" w:ascii="Times New Roman" w:hAnsi="Times New Roman" w:cs="Times New Roman"/>
          <w:color w:val="auto"/>
          <w:highlight w:val="none"/>
        </w:rPr>
      </w:pPr>
      <w:bookmarkStart w:id="1239" w:name="_Toc29556"/>
      <w:bookmarkStart w:id="1240" w:name="_Toc28001"/>
      <w:bookmarkStart w:id="1241" w:name="_Toc16706"/>
      <w:bookmarkStart w:id="1242" w:name="_Toc30275"/>
      <w:bookmarkStart w:id="1243" w:name="_Toc13612"/>
      <w:bookmarkStart w:id="1244" w:name="_Toc6273"/>
      <w:bookmarkStart w:id="1245" w:name="_Toc6341"/>
      <w:r>
        <w:rPr>
          <w:rFonts w:hint="default" w:ascii="Times New Roman" w:hAnsi="Times New Roman" w:cs="Times New Roman"/>
          <w:color w:val="auto"/>
          <w:highlight w:val="none"/>
        </w:rPr>
        <w:t>避雷</w:t>
      </w:r>
      <w:bookmarkEnd w:id="1239"/>
      <w:bookmarkEnd w:id="1240"/>
      <w:bookmarkEnd w:id="1241"/>
      <w:bookmarkEnd w:id="1242"/>
      <w:bookmarkEnd w:id="1243"/>
      <w:bookmarkEnd w:id="1244"/>
      <w:bookmarkEnd w:id="1245"/>
    </w:p>
    <w:p w14:paraId="15FCE7E5">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防直击雷设置满足以下要求：</w:t>
      </w:r>
    </w:p>
    <w:p w14:paraId="4C177B92">
      <w:pPr>
        <w:pStyle w:val="305"/>
        <w:numPr>
          <w:ilvl w:val="0"/>
          <w:numId w:val="7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FPSO上释放危险可燃气体的透气口、放空口及处于0区或1区的设备，应采取防直击雷措施。</w:t>
      </w:r>
    </w:p>
    <w:p w14:paraId="059C956B">
      <w:pPr>
        <w:pStyle w:val="305"/>
        <w:numPr>
          <w:ilvl w:val="0"/>
          <w:numId w:val="7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若从最高点至接地均通过跨接和焊接提供低阻通路，金属结构设施无需设置防直击雷保护系统。</w:t>
      </w:r>
    </w:p>
    <w:p w14:paraId="211CB00A">
      <w:pPr>
        <w:pStyle w:val="305"/>
        <w:numPr>
          <w:ilvl w:val="0"/>
          <w:numId w:val="7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若另设保护系统，保护系统应包含接闪器、引下线和接地装置，并符合如下要求：</w:t>
      </w:r>
    </w:p>
    <w:p w14:paraId="2E6BFECD">
      <w:pPr>
        <w:pStyle w:val="39"/>
        <w:keepNext w:val="0"/>
        <w:keepLines w:val="0"/>
        <w:pageBreakBefore w:val="0"/>
        <w:widowControl/>
        <w:numPr>
          <w:ilvl w:val="0"/>
          <w:numId w:val="75"/>
        </w:numPr>
        <w:kinsoku/>
        <w:wordWrap/>
        <w:overflowPunct/>
        <w:topLinePunct w:val="0"/>
        <w:autoSpaceDE w:val="0"/>
        <w:autoSpaceDN w:val="0"/>
        <w:bidi w:val="0"/>
        <w:adjustRightInd w:val="0"/>
        <w:snapToGrid/>
        <w:spacing w:after="0"/>
        <w:ind w:right="220"/>
        <w:jc w:val="left"/>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接闪器与接地端子间的电阻</w:t>
      </w:r>
      <w:r>
        <w:rPr>
          <w:rFonts w:hint="eastAsia" w:ascii="宋体" w:hAnsi="宋体" w:cs="宋体"/>
          <w:color w:val="auto"/>
          <w:kern w:val="2"/>
          <w:szCs w:val="24"/>
          <w:highlight w:val="none"/>
          <w:lang w:val="en-US" w:eastAsia="zh-CN"/>
        </w:rPr>
        <w:t>应</w:t>
      </w:r>
      <w:r>
        <w:rPr>
          <w:rFonts w:hint="eastAsia" w:ascii="宋体" w:hAnsi="宋体" w:eastAsia="宋体" w:cs="宋体"/>
          <w:color w:val="auto"/>
          <w:kern w:val="2"/>
          <w:szCs w:val="24"/>
          <w:highlight w:val="none"/>
        </w:rPr>
        <w:t>不超过0.02</w:t>
      </w:r>
      <w:r>
        <w:rPr>
          <w:rFonts w:hint="eastAsia" w:ascii="宋体" w:hAnsi="宋体" w:cs="宋体"/>
          <w:color w:val="auto"/>
          <w:kern w:val="2"/>
          <w:szCs w:val="24"/>
          <w:highlight w:val="none"/>
          <w:lang w:val="en-US" w:eastAsia="zh-CN"/>
        </w:rPr>
        <w:t xml:space="preserve"> </w:t>
      </w:r>
      <w:r>
        <w:rPr>
          <w:rFonts w:hint="eastAsia" w:ascii="宋体" w:hAnsi="宋体" w:eastAsia="宋体" w:cs="宋体"/>
          <w:color w:val="auto"/>
          <w:kern w:val="2"/>
          <w:szCs w:val="24"/>
          <w:highlight w:val="none"/>
          <w:lang w:val="en-US" w:eastAsia="zh-CN"/>
        </w:rPr>
        <w:t>Ω</w:t>
      </w:r>
      <w:r>
        <w:rPr>
          <w:rFonts w:hint="eastAsia" w:ascii="宋体" w:hAnsi="宋体" w:eastAsia="宋体" w:cs="宋体"/>
          <w:color w:val="auto"/>
          <w:kern w:val="2"/>
          <w:szCs w:val="24"/>
          <w:highlight w:val="none"/>
        </w:rPr>
        <w:t>；</w:t>
      </w:r>
    </w:p>
    <w:p w14:paraId="235E2E95">
      <w:pPr>
        <w:pStyle w:val="39"/>
        <w:keepNext w:val="0"/>
        <w:keepLines w:val="0"/>
        <w:pageBreakBefore w:val="0"/>
        <w:widowControl/>
        <w:numPr>
          <w:ilvl w:val="0"/>
          <w:numId w:val="75"/>
        </w:numPr>
        <w:kinsoku/>
        <w:wordWrap/>
        <w:overflowPunct/>
        <w:topLinePunct w:val="0"/>
        <w:autoSpaceDE w:val="0"/>
        <w:autoSpaceDN w:val="0"/>
        <w:bidi w:val="0"/>
        <w:adjustRightInd w:val="0"/>
        <w:snapToGrid/>
        <w:spacing w:after="0"/>
        <w:ind w:right="220"/>
        <w:jc w:val="left"/>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接闪器</w:t>
      </w:r>
      <w:r>
        <w:rPr>
          <w:rFonts w:hint="eastAsia" w:ascii="宋体" w:hAnsi="宋体" w:cs="宋体"/>
          <w:color w:val="auto"/>
          <w:kern w:val="2"/>
          <w:szCs w:val="24"/>
          <w:highlight w:val="none"/>
          <w:lang w:val="en-US" w:eastAsia="zh-CN"/>
        </w:rPr>
        <w:t>以</w:t>
      </w:r>
      <w:r>
        <w:rPr>
          <w:rFonts w:hint="eastAsia" w:ascii="宋体" w:hAnsi="宋体" w:eastAsia="宋体" w:cs="宋体"/>
          <w:color w:val="auto"/>
          <w:kern w:val="2"/>
          <w:szCs w:val="24"/>
          <w:highlight w:val="none"/>
        </w:rPr>
        <w:t>直径不小于12</w:t>
      </w:r>
      <w:r>
        <w:rPr>
          <w:rFonts w:hint="eastAsia" w:ascii="宋体" w:hAnsi="宋体" w:cs="宋体"/>
          <w:color w:val="auto"/>
          <w:kern w:val="2"/>
          <w:szCs w:val="24"/>
          <w:highlight w:val="none"/>
          <w:lang w:val="en-US" w:eastAsia="zh-CN"/>
        </w:rPr>
        <w:t xml:space="preserve"> </w:t>
      </w:r>
      <w:r>
        <w:rPr>
          <w:rFonts w:hint="eastAsia" w:ascii="宋体" w:hAnsi="宋体" w:eastAsia="宋体" w:cs="宋体"/>
          <w:color w:val="auto"/>
          <w:kern w:val="2"/>
          <w:szCs w:val="24"/>
          <w:highlight w:val="none"/>
        </w:rPr>
        <w:t>mm的铜或铜合金导电杆组成，至少高出桅顶300</w:t>
      </w:r>
      <w:r>
        <w:rPr>
          <w:rFonts w:hint="eastAsia" w:ascii="宋体" w:hAnsi="宋体" w:cs="宋体"/>
          <w:color w:val="auto"/>
          <w:kern w:val="2"/>
          <w:szCs w:val="24"/>
          <w:highlight w:val="none"/>
          <w:lang w:val="en-US" w:eastAsia="zh-CN"/>
        </w:rPr>
        <w:t xml:space="preserve"> </w:t>
      </w:r>
      <w:r>
        <w:rPr>
          <w:rFonts w:hint="eastAsia" w:ascii="宋体" w:hAnsi="宋体" w:eastAsia="宋体" w:cs="宋体"/>
          <w:color w:val="auto"/>
          <w:kern w:val="2"/>
          <w:szCs w:val="24"/>
          <w:highlight w:val="none"/>
        </w:rPr>
        <w:t>mm</w:t>
      </w:r>
      <w:r>
        <w:rPr>
          <w:rFonts w:hint="eastAsia" w:ascii="宋体" w:hAnsi="宋体" w:eastAsia="宋体" w:cs="宋体"/>
          <w:color w:val="auto"/>
          <w:kern w:val="2"/>
          <w:szCs w:val="24"/>
          <w:highlight w:val="none"/>
          <w:lang w:eastAsia="zh-CN"/>
        </w:rPr>
        <w:t>；</w:t>
      </w:r>
      <w:r>
        <w:rPr>
          <w:rFonts w:hint="eastAsia" w:ascii="宋体" w:hAnsi="宋体" w:eastAsia="宋体" w:cs="宋体"/>
          <w:color w:val="auto"/>
          <w:kern w:val="2"/>
          <w:szCs w:val="24"/>
          <w:highlight w:val="none"/>
          <w:lang w:val="en-US" w:eastAsia="zh-CN"/>
        </w:rPr>
        <w:t>采</w:t>
      </w:r>
      <w:r>
        <w:rPr>
          <w:rFonts w:hint="eastAsia" w:ascii="宋体" w:hAnsi="宋体" w:eastAsia="宋体" w:cs="宋体"/>
          <w:color w:val="auto"/>
          <w:kern w:val="2"/>
          <w:szCs w:val="24"/>
          <w:highlight w:val="none"/>
        </w:rPr>
        <w:t>用其他材料如不锈钢、铝合金和经防锈处理的铁杆等均应耐海水腐蚀</w:t>
      </w:r>
      <w:r>
        <w:rPr>
          <w:rFonts w:hint="eastAsia" w:ascii="宋体" w:hAnsi="宋体" w:eastAsia="宋体" w:cs="宋体"/>
          <w:color w:val="auto"/>
          <w:kern w:val="2"/>
          <w:szCs w:val="24"/>
          <w:highlight w:val="none"/>
          <w:lang w:eastAsia="zh-CN"/>
        </w:rPr>
        <w:t>；</w:t>
      </w:r>
    </w:p>
    <w:p w14:paraId="19C285BC">
      <w:pPr>
        <w:pStyle w:val="39"/>
        <w:keepNext w:val="0"/>
        <w:keepLines w:val="0"/>
        <w:pageBreakBefore w:val="0"/>
        <w:widowControl/>
        <w:numPr>
          <w:ilvl w:val="0"/>
          <w:numId w:val="75"/>
        </w:numPr>
        <w:kinsoku/>
        <w:wordWrap/>
        <w:overflowPunct/>
        <w:topLinePunct w:val="0"/>
        <w:autoSpaceDE w:val="0"/>
        <w:autoSpaceDN w:val="0"/>
        <w:bidi w:val="0"/>
        <w:adjustRightInd w:val="0"/>
        <w:snapToGrid/>
        <w:spacing w:after="0"/>
        <w:ind w:right="220"/>
        <w:jc w:val="left"/>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lang w:val="en-US" w:eastAsia="zh-CN"/>
        </w:rPr>
        <w:t>应使由于电流流过保护系统而在电缆中产生感应电压的可能性最小。</w:t>
      </w:r>
    </w:p>
    <w:p w14:paraId="26C388EF">
      <w:pPr>
        <w:pStyle w:val="305"/>
        <w:numPr>
          <w:ilvl w:val="0"/>
          <w:numId w:val="7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保护系统的保护范围应采用滚球法进行校验，滚球半径应取30 m。</w:t>
      </w:r>
    </w:p>
    <w:p w14:paraId="7A3D6B37">
      <w:pPr>
        <w:pStyle w:val="327"/>
        <w:ind w:left="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防雷电感应设置满足以下要求：</w:t>
      </w:r>
    </w:p>
    <w:p w14:paraId="58FD0232">
      <w:pPr>
        <w:pStyle w:val="305"/>
        <w:numPr>
          <w:ilvl w:val="0"/>
          <w:numId w:val="7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设备的金属外壳或外壳的金属部分应可靠接地；</w:t>
      </w:r>
    </w:p>
    <w:p w14:paraId="5AD3B246">
      <w:pPr>
        <w:pStyle w:val="305"/>
        <w:numPr>
          <w:ilvl w:val="0"/>
          <w:numId w:val="7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作为抑制信号干扰的电缆屏蔽或铠装的接地，不应作为唯一的防雷接地通路；</w:t>
      </w:r>
    </w:p>
    <w:p w14:paraId="16FCC178">
      <w:pPr>
        <w:pStyle w:val="305"/>
        <w:numPr>
          <w:ilvl w:val="0"/>
          <w:numId w:val="7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在防直击雷的引下线附近，不应有电缆环或管道组成的金属环存在；贴近引下线的电缆应安装在接地的金属管或槽盒中；</w:t>
      </w:r>
    </w:p>
    <w:p w14:paraId="172B4D0A">
      <w:pPr>
        <w:pStyle w:val="305"/>
        <w:numPr>
          <w:ilvl w:val="0"/>
          <w:numId w:val="7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沿金属甲板的电缆应贴近甲板敷设，充分利用电缆束附近或其上如栏杆、管子等的接地金属构件的屏蔽作用；</w:t>
      </w:r>
    </w:p>
    <w:p w14:paraId="2D6D3212">
      <w:pPr>
        <w:pStyle w:val="305"/>
        <w:numPr>
          <w:ilvl w:val="0"/>
          <w:numId w:val="7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应采取措施将无线电和航行设备等天线中可能感应的雷电能量泄放至地；</w:t>
      </w:r>
    </w:p>
    <w:p w14:paraId="24495AF6">
      <w:pPr>
        <w:pStyle w:val="305"/>
        <w:numPr>
          <w:ilvl w:val="0"/>
          <w:numId w:val="7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易受瞬态过电压影响的设备（如可编程逻辑控制器、通信模块），应设置电涌保护器。</w:t>
      </w:r>
    </w:p>
    <w:p w14:paraId="61B08BEB">
      <w:pPr>
        <w:pStyle w:val="260"/>
        <w:outlineLvl w:val="1"/>
        <w:rPr>
          <w:rFonts w:hint="default" w:ascii="Times New Roman" w:hAnsi="Times New Roman" w:cs="Times New Roman"/>
          <w:color w:val="auto"/>
          <w:highlight w:val="none"/>
        </w:rPr>
      </w:pPr>
      <w:bookmarkStart w:id="1246" w:name="_Toc31973"/>
      <w:bookmarkStart w:id="1247" w:name="_Toc7954"/>
      <w:bookmarkStart w:id="1248" w:name="_Toc20257"/>
      <w:bookmarkStart w:id="1249" w:name="_Toc17423"/>
      <w:bookmarkStart w:id="1250" w:name="_Toc183727716"/>
      <w:bookmarkStart w:id="1251" w:name="_Toc2692"/>
      <w:bookmarkStart w:id="1252" w:name="_Toc7573"/>
      <w:bookmarkStart w:id="1253" w:name="_Toc11392"/>
      <w:bookmarkStart w:id="1254" w:name="_Toc10956"/>
      <w:bookmarkStart w:id="1255" w:name="_Toc10330"/>
      <w:bookmarkStart w:id="1256" w:name="_Toc5218"/>
      <w:r>
        <w:rPr>
          <w:rFonts w:hint="eastAsia" w:ascii="Times New Roman" w:cs="Times New Roman"/>
          <w:color w:val="auto"/>
          <w:highlight w:val="none"/>
          <w:lang w:eastAsia="zh-CN"/>
        </w:rPr>
        <w:t>危险</w:t>
      </w:r>
      <w:r>
        <w:rPr>
          <w:rFonts w:hint="eastAsia" w:ascii="Times New Roman" w:cs="Times New Roman"/>
          <w:color w:val="auto"/>
          <w:highlight w:val="none"/>
          <w:lang w:val="en-US" w:eastAsia="zh-CN"/>
        </w:rPr>
        <w:t>场所</w:t>
      </w:r>
      <w:r>
        <w:rPr>
          <w:rFonts w:hint="default" w:ascii="Times New Roman" w:hAnsi="Times New Roman" w:cs="Times New Roman"/>
          <w:color w:val="auto"/>
          <w:highlight w:val="none"/>
        </w:rPr>
        <w:t>内的电气设备</w:t>
      </w:r>
      <w:bookmarkEnd w:id="1246"/>
      <w:bookmarkEnd w:id="1247"/>
      <w:bookmarkEnd w:id="1248"/>
      <w:bookmarkEnd w:id="1249"/>
      <w:bookmarkEnd w:id="1250"/>
      <w:bookmarkEnd w:id="1251"/>
      <w:bookmarkEnd w:id="1252"/>
      <w:bookmarkEnd w:id="1253"/>
      <w:bookmarkEnd w:id="1254"/>
      <w:bookmarkEnd w:id="1255"/>
      <w:bookmarkEnd w:id="1256"/>
    </w:p>
    <w:p w14:paraId="09F393B1">
      <w:pPr>
        <w:pStyle w:val="261"/>
        <w:spacing w:before="156" w:after="156"/>
        <w:outlineLvl w:val="2"/>
        <w:rPr>
          <w:rFonts w:hint="default" w:ascii="Times New Roman" w:hAnsi="Times New Roman" w:cs="Times New Roman"/>
          <w:color w:val="auto"/>
          <w:highlight w:val="none"/>
        </w:rPr>
      </w:pPr>
      <w:bookmarkStart w:id="1257" w:name="_Toc28705"/>
      <w:bookmarkStart w:id="1258" w:name="_Toc21620"/>
      <w:bookmarkStart w:id="1259" w:name="_Toc15110"/>
      <w:bookmarkStart w:id="1260" w:name="_Toc6911"/>
      <w:bookmarkStart w:id="1261" w:name="_Toc3901"/>
      <w:bookmarkStart w:id="1262" w:name="_Toc6048"/>
      <w:bookmarkStart w:id="1263" w:name="_Toc12844"/>
      <w:r>
        <w:rPr>
          <w:rFonts w:hint="eastAsia" w:ascii="Times New Roman" w:cs="Times New Roman"/>
          <w:color w:val="auto"/>
          <w:highlight w:val="none"/>
          <w:lang w:val="en-US" w:eastAsia="zh-CN"/>
        </w:rPr>
        <w:t>通用</w:t>
      </w:r>
      <w:r>
        <w:rPr>
          <w:rFonts w:hint="default" w:ascii="Times New Roman" w:hAnsi="Times New Roman" w:cs="Times New Roman"/>
          <w:color w:val="auto"/>
          <w:highlight w:val="none"/>
        </w:rPr>
        <w:t>要求</w:t>
      </w:r>
      <w:bookmarkEnd w:id="1257"/>
      <w:bookmarkEnd w:id="1258"/>
      <w:bookmarkEnd w:id="1259"/>
      <w:bookmarkEnd w:id="1260"/>
      <w:bookmarkEnd w:id="1261"/>
      <w:bookmarkEnd w:id="1262"/>
      <w:bookmarkEnd w:id="1263"/>
    </w:p>
    <w:p w14:paraId="6FBB3D85">
      <w:pPr>
        <w:pStyle w:val="327"/>
        <w:ind w:left="0"/>
        <w:rPr>
          <w:rFonts w:hint="eastAsia" w:ascii="宋体" w:hAnsi="宋体" w:eastAsia="宋体" w:cs="宋体"/>
          <w:color w:val="auto"/>
          <w:highlight w:val="none"/>
        </w:rPr>
      </w:pPr>
      <w:r>
        <w:rPr>
          <w:rFonts w:hint="eastAsia"/>
          <w:color w:val="auto"/>
          <w:highlight w:val="none"/>
        </w:rPr>
        <w:t>用于危险区的电气设备的制造、测试、标识和安装</w:t>
      </w:r>
      <w:r>
        <w:rPr>
          <w:rFonts w:hint="eastAsia"/>
          <w:color w:val="auto"/>
          <w:highlight w:val="none"/>
          <w:lang w:eastAsia="zh-CN"/>
        </w:rPr>
        <w:t>应</w:t>
      </w:r>
      <w:r>
        <w:rPr>
          <w:rFonts w:hint="eastAsia"/>
          <w:color w:val="auto"/>
          <w:highlight w:val="none"/>
          <w:lang w:val="en-US" w:eastAsia="zh-CN"/>
        </w:rPr>
        <w:t>满足</w:t>
      </w:r>
      <w:r>
        <w:rPr>
          <w:rFonts w:hint="eastAsia"/>
          <w:color w:val="auto"/>
          <w:highlight w:val="none"/>
        </w:rPr>
        <w:t>GB</w:t>
      </w:r>
      <w:r>
        <w:rPr>
          <w:rFonts w:hint="eastAsia"/>
          <w:color w:val="auto"/>
          <w:highlight w:val="none"/>
          <w:lang w:val="en-US" w:eastAsia="zh-CN"/>
        </w:rPr>
        <w:t xml:space="preserve"> </w:t>
      </w:r>
      <w:r>
        <w:rPr>
          <w:rFonts w:hint="eastAsia"/>
          <w:color w:val="auto"/>
          <w:highlight w:val="none"/>
        </w:rPr>
        <w:t>3836</w:t>
      </w:r>
      <w:r>
        <w:rPr>
          <w:rFonts w:hint="eastAsia"/>
          <w:color w:val="auto"/>
          <w:highlight w:val="none"/>
          <w:lang w:eastAsia="zh-CN"/>
        </w:rPr>
        <w:t>（</w:t>
      </w:r>
      <w:r>
        <w:rPr>
          <w:rFonts w:hint="eastAsia"/>
          <w:color w:val="auto"/>
          <w:highlight w:val="none"/>
          <w:lang w:val="en-US" w:eastAsia="zh-CN"/>
        </w:rPr>
        <w:t>所有部分</w:t>
      </w:r>
      <w:r>
        <w:rPr>
          <w:rFonts w:hint="eastAsia"/>
          <w:color w:val="auto"/>
          <w:highlight w:val="none"/>
          <w:lang w:eastAsia="zh-CN"/>
        </w:rPr>
        <w:t>）</w:t>
      </w:r>
      <w:r>
        <w:rPr>
          <w:rFonts w:hint="eastAsia"/>
          <w:color w:val="auto"/>
          <w:highlight w:val="none"/>
          <w:lang w:val="en-US" w:eastAsia="zh-CN"/>
        </w:rPr>
        <w:t>的要求</w:t>
      </w:r>
      <w:r>
        <w:rPr>
          <w:rFonts w:hint="eastAsia" w:ascii="宋体" w:hAnsi="宋体" w:eastAsia="宋体" w:cs="宋体"/>
          <w:color w:val="auto"/>
          <w:highlight w:val="none"/>
        </w:rPr>
        <w:t>。</w:t>
      </w:r>
    </w:p>
    <w:p w14:paraId="740F6B6B">
      <w:pPr>
        <w:pStyle w:val="327"/>
        <w:ind w:left="0"/>
        <w:rPr>
          <w:rFonts w:hint="eastAsia" w:ascii="宋体" w:hAnsi="宋体" w:eastAsia="宋体" w:cs="宋体"/>
          <w:color w:val="auto"/>
          <w:highlight w:val="none"/>
        </w:rPr>
      </w:pPr>
      <w:r>
        <w:rPr>
          <w:rFonts w:hint="eastAsia" w:ascii="宋体" w:hAnsi="宋体" w:eastAsia="宋体" w:cs="宋体"/>
          <w:color w:val="auto"/>
          <w:highlight w:val="none"/>
        </w:rPr>
        <w:t>安装于爆炸</w:t>
      </w:r>
      <w:r>
        <w:rPr>
          <w:rFonts w:hint="eastAsia" w:ascii="宋体" w:hAnsi="宋体" w:eastAsia="宋体" w:cs="宋体"/>
          <w:color w:val="auto"/>
          <w:highlight w:val="none"/>
          <w:lang w:eastAsia="zh-CN"/>
        </w:rPr>
        <w:t>危险</w:t>
      </w:r>
      <w:r>
        <w:rPr>
          <w:rFonts w:hint="eastAsia" w:ascii="宋体" w:hAnsi="宋体" w:eastAsia="宋体" w:cs="宋体"/>
          <w:color w:val="auto"/>
          <w:highlight w:val="none"/>
          <w:lang w:val="en-US" w:eastAsia="zh-CN"/>
        </w:rPr>
        <w:t>场所</w:t>
      </w:r>
      <w:r>
        <w:rPr>
          <w:rFonts w:hint="eastAsia" w:ascii="宋体" w:hAnsi="宋体" w:eastAsia="宋体" w:cs="宋体"/>
          <w:color w:val="auto"/>
          <w:highlight w:val="none"/>
        </w:rPr>
        <w:t>的电气设备</w:t>
      </w:r>
      <w:r>
        <w:rPr>
          <w:rFonts w:hint="eastAsia" w:ascii="宋体" w:hAnsi="宋体" w:eastAsia="宋体" w:cs="宋体"/>
          <w:color w:val="auto"/>
          <w:highlight w:val="none"/>
          <w:lang w:eastAsia="zh-CN"/>
        </w:rPr>
        <w:t>应</w:t>
      </w:r>
      <w:r>
        <w:rPr>
          <w:rFonts w:hint="eastAsia" w:ascii="宋体" w:hAnsi="宋体" w:eastAsia="宋体" w:cs="宋体"/>
          <w:color w:val="auto"/>
          <w:highlight w:val="none"/>
          <w:lang w:val="en-US" w:eastAsia="zh-CN"/>
        </w:rPr>
        <w:t>有</w:t>
      </w:r>
      <w:r>
        <w:rPr>
          <w:rFonts w:hint="eastAsia" w:ascii="宋体" w:hAnsi="宋体" w:eastAsia="宋体" w:cs="宋体"/>
          <w:color w:val="auto"/>
          <w:highlight w:val="none"/>
        </w:rPr>
        <w:t>符合爆炸</w:t>
      </w:r>
      <w:r>
        <w:rPr>
          <w:rFonts w:hint="eastAsia" w:ascii="宋体" w:hAnsi="宋体" w:eastAsia="宋体" w:cs="宋体"/>
          <w:color w:val="auto"/>
          <w:highlight w:val="none"/>
          <w:lang w:eastAsia="zh-CN"/>
        </w:rPr>
        <w:t>危险处所</w:t>
      </w:r>
      <w:r>
        <w:rPr>
          <w:rFonts w:hint="eastAsia" w:ascii="宋体" w:hAnsi="宋体" w:eastAsia="宋体" w:cs="宋体"/>
          <w:color w:val="auto"/>
          <w:highlight w:val="none"/>
        </w:rPr>
        <w:t>要求的防爆等级证书，其选用与安装应由有资质的单位现场确认并出具检验报告</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被列入强制性产品目录的安装于爆炸</w:t>
      </w:r>
      <w:r>
        <w:rPr>
          <w:rFonts w:hint="eastAsia" w:ascii="宋体" w:hAnsi="宋体" w:eastAsia="宋体" w:cs="宋体"/>
          <w:color w:val="auto"/>
          <w:highlight w:val="none"/>
          <w:lang w:eastAsia="zh-CN"/>
        </w:rPr>
        <w:t>危险处所</w:t>
      </w:r>
      <w:r>
        <w:rPr>
          <w:rFonts w:hint="eastAsia" w:ascii="宋体" w:hAnsi="宋体" w:eastAsia="宋体" w:cs="宋体"/>
          <w:color w:val="auto"/>
          <w:highlight w:val="none"/>
        </w:rPr>
        <w:t>的电气设备应取得强制性产品认证证书，或取得免予办理强制性产品认证证明文件。</w:t>
      </w:r>
    </w:p>
    <w:p w14:paraId="075F57A9">
      <w:pPr>
        <w:pStyle w:val="261"/>
        <w:spacing w:before="156" w:after="156"/>
        <w:outlineLvl w:val="2"/>
        <w:rPr>
          <w:rFonts w:hint="eastAsia" w:ascii="Times New Roman" w:hAnsi="Times New Roman" w:eastAsia="黑体" w:cs="Times New Roman"/>
          <w:color w:val="auto"/>
          <w:highlight w:val="none"/>
        </w:rPr>
      </w:pPr>
      <w:bookmarkStart w:id="1264" w:name="_Toc16142"/>
      <w:bookmarkStart w:id="1265" w:name="_Toc11934"/>
      <w:bookmarkStart w:id="1266" w:name="_Toc29688"/>
      <w:bookmarkStart w:id="1267" w:name="_Toc18613"/>
      <w:bookmarkStart w:id="1268" w:name="_Toc13409"/>
      <w:bookmarkStart w:id="1269" w:name="_Toc1375"/>
      <w:bookmarkStart w:id="1270" w:name="_Toc3733"/>
      <w:r>
        <w:rPr>
          <w:rFonts w:hint="eastAsia" w:ascii="Times New Roman" w:hAnsi="Times New Roman" w:eastAsia="黑体" w:cs="Times New Roman"/>
          <w:color w:val="auto"/>
          <w:highlight w:val="none"/>
        </w:rPr>
        <w:t>防爆电气设备</w:t>
      </w:r>
      <w:bookmarkEnd w:id="1264"/>
      <w:bookmarkEnd w:id="1265"/>
      <w:bookmarkEnd w:id="1266"/>
      <w:bookmarkEnd w:id="1267"/>
      <w:bookmarkEnd w:id="1268"/>
      <w:bookmarkEnd w:id="1269"/>
      <w:bookmarkEnd w:id="1270"/>
    </w:p>
    <w:p w14:paraId="01FD0D1F">
      <w:pPr>
        <w:pStyle w:val="327"/>
        <w:numPr>
          <w:ilvl w:val="-1"/>
          <w:numId w:val="0"/>
        </w:numPr>
        <w:ind w:left="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爆炸</w:t>
      </w:r>
      <w:r>
        <w:rPr>
          <w:rFonts w:hint="eastAsia" w:ascii="宋体" w:hAnsi="宋体" w:eastAsia="宋体" w:cs="宋体"/>
          <w:color w:val="auto"/>
          <w:highlight w:val="none"/>
          <w:lang w:eastAsia="zh-CN"/>
        </w:rPr>
        <w:t>危险处所</w:t>
      </w:r>
      <w:r>
        <w:rPr>
          <w:rFonts w:hint="eastAsia" w:ascii="宋体" w:hAnsi="宋体" w:eastAsia="宋体" w:cs="宋体"/>
          <w:color w:val="auto"/>
          <w:highlight w:val="none"/>
        </w:rPr>
        <w:t>内电气设备保护级别、组别、防爆型式和设备类别选型应满足GB 3836.15的要求。</w:t>
      </w:r>
    </w:p>
    <w:p w14:paraId="1876BA10">
      <w:pPr>
        <w:pStyle w:val="259"/>
        <w:numPr>
          <w:ilvl w:val="0"/>
          <w:numId w:val="33"/>
        </w:numPr>
        <w:outlineLvl w:val="0"/>
        <w:rPr>
          <w:rFonts w:hint="default" w:ascii="Times New Roman" w:hAnsi="Times New Roman" w:cs="Times New Roman"/>
          <w:color w:val="auto"/>
          <w:highlight w:val="none"/>
        </w:rPr>
      </w:pPr>
      <w:bookmarkStart w:id="1271" w:name="_Toc19034"/>
      <w:bookmarkStart w:id="1272" w:name="_Toc25645"/>
      <w:bookmarkStart w:id="1273" w:name="_Toc9145"/>
      <w:bookmarkStart w:id="1274" w:name="_Toc22667"/>
      <w:bookmarkStart w:id="1275" w:name="_Toc30301"/>
      <w:bookmarkStart w:id="1276" w:name="_Toc183727717"/>
      <w:bookmarkStart w:id="1277" w:name="_Toc27022"/>
      <w:bookmarkStart w:id="1278" w:name="_Toc16477"/>
      <w:bookmarkStart w:id="1279" w:name="_Toc11084"/>
      <w:bookmarkStart w:id="1280" w:name="_Toc19384"/>
      <w:r>
        <w:rPr>
          <w:rFonts w:hint="default" w:ascii="Times New Roman" w:hAnsi="Times New Roman" w:cs="Times New Roman"/>
          <w:color w:val="auto"/>
          <w:highlight w:val="none"/>
        </w:rPr>
        <w:t>仪表</w:t>
      </w:r>
      <w:r>
        <w:rPr>
          <w:rFonts w:hint="eastAsia" w:ascii="Times New Roman" w:cs="Times New Roman"/>
          <w:color w:val="auto"/>
          <w:highlight w:val="none"/>
          <w:lang w:val="en-US" w:eastAsia="zh-CN"/>
        </w:rPr>
        <w:t>和</w:t>
      </w:r>
      <w:r>
        <w:rPr>
          <w:rFonts w:hint="default" w:ascii="Times New Roman" w:hAnsi="Times New Roman" w:cs="Times New Roman"/>
          <w:color w:val="auto"/>
          <w:highlight w:val="none"/>
        </w:rPr>
        <w:t>控制</w:t>
      </w:r>
      <w:bookmarkEnd w:id="1271"/>
      <w:bookmarkEnd w:id="1272"/>
      <w:bookmarkEnd w:id="1273"/>
      <w:bookmarkEnd w:id="1274"/>
      <w:bookmarkEnd w:id="1275"/>
      <w:bookmarkEnd w:id="1276"/>
      <w:bookmarkEnd w:id="1277"/>
      <w:bookmarkEnd w:id="1278"/>
      <w:bookmarkEnd w:id="1279"/>
      <w:bookmarkStart w:id="1281" w:name="_Toc18166"/>
      <w:bookmarkStart w:id="1282" w:name="_Toc9934"/>
      <w:bookmarkStart w:id="1283" w:name="_Toc183727729"/>
      <w:r>
        <w:rPr>
          <w:rFonts w:hint="eastAsia" w:ascii="Times New Roman" w:cs="Times New Roman"/>
          <w:color w:val="auto"/>
          <w:highlight w:val="none"/>
          <w:lang w:val="en-US" w:eastAsia="zh-CN"/>
        </w:rPr>
        <w:t>系统</w:t>
      </w:r>
      <w:bookmarkEnd w:id="1280"/>
    </w:p>
    <w:p w14:paraId="59FBEE9B">
      <w:pPr>
        <w:pStyle w:val="260"/>
        <w:outlineLvl w:val="1"/>
        <w:rPr>
          <w:rFonts w:hint="default" w:ascii="Times New Roman" w:hAnsi="Times New Roman" w:cs="Times New Roman"/>
          <w:color w:val="auto"/>
          <w:highlight w:val="none"/>
        </w:rPr>
      </w:pPr>
      <w:bookmarkStart w:id="1284" w:name="_Toc5983"/>
      <w:bookmarkStart w:id="1285" w:name="_Toc21618"/>
      <w:bookmarkStart w:id="1286" w:name="_Toc14503"/>
      <w:bookmarkStart w:id="1287" w:name="_Toc22912"/>
      <w:bookmarkStart w:id="1288" w:name="_Toc9444"/>
      <w:bookmarkStart w:id="1289" w:name="_Toc1490"/>
      <w:r>
        <w:rPr>
          <w:rFonts w:hint="eastAsia" w:ascii="Times New Roman" w:cs="Times New Roman"/>
          <w:color w:val="auto"/>
          <w:highlight w:val="none"/>
          <w:lang w:eastAsia="zh-CN"/>
        </w:rPr>
        <w:t>通用要求</w:t>
      </w:r>
      <w:bookmarkEnd w:id="1284"/>
      <w:bookmarkEnd w:id="1285"/>
      <w:bookmarkEnd w:id="1286"/>
      <w:bookmarkEnd w:id="1287"/>
      <w:bookmarkEnd w:id="1288"/>
      <w:bookmarkEnd w:id="1289"/>
    </w:p>
    <w:p w14:paraId="0202C266">
      <w:pPr>
        <w:pStyle w:val="326"/>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仪表和控制系统应保障人员</w:t>
      </w:r>
      <w:r>
        <w:rPr>
          <w:rFonts w:hint="eastAsia" w:ascii="Times New Roman" w:eastAsia="宋体" w:cs="Times New Roman"/>
          <w:color w:val="auto"/>
          <w:highlight w:val="none"/>
          <w:lang w:val="en-US" w:eastAsia="zh-CN"/>
        </w:rPr>
        <w:t>和设施</w:t>
      </w:r>
      <w:r>
        <w:rPr>
          <w:rFonts w:hint="default" w:ascii="Times New Roman" w:hAnsi="Times New Roman" w:eastAsia="宋体" w:cs="Times New Roman"/>
          <w:color w:val="auto"/>
          <w:highlight w:val="none"/>
        </w:rPr>
        <w:t>安全</w:t>
      </w:r>
      <w:r>
        <w:rPr>
          <w:rFonts w:hint="eastAsia" w:ascii="Times New Roman" w:eastAsia="宋体" w:cs="Times New Roman"/>
          <w:color w:val="auto"/>
          <w:highlight w:val="none"/>
          <w:lang w:val="en-US" w:eastAsia="zh-CN"/>
        </w:rPr>
        <w:t>及</w:t>
      </w:r>
      <w:r>
        <w:rPr>
          <w:rFonts w:hint="default" w:ascii="Times New Roman" w:hAnsi="Times New Roman" w:eastAsia="宋体" w:cs="Times New Roman"/>
          <w:color w:val="auto"/>
          <w:highlight w:val="none"/>
        </w:rPr>
        <w:t>生产正常运行。控制系统应至少具备监控、报警和应急关断</w:t>
      </w:r>
      <w:r>
        <w:rPr>
          <w:rFonts w:hint="eastAsia" w:ascii="Times New Roman" w:eastAsia="宋体" w:cs="Times New Roman"/>
          <w:color w:val="auto"/>
          <w:highlight w:val="none"/>
          <w:lang w:val="en-US" w:eastAsia="zh-CN"/>
        </w:rPr>
        <w:t>功能</w:t>
      </w:r>
      <w:r>
        <w:rPr>
          <w:rFonts w:hint="default" w:ascii="Times New Roman" w:hAnsi="Times New Roman" w:eastAsia="宋体" w:cs="Times New Roman"/>
          <w:color w:val="auto"/>
          <w:highlight w:val="none"/>
        </w:rPr>
        <w:t>。</w:t>
      </w:r>
    </w:p>
    <w:p w14:paraId="3808165E">
      <w:pPr>
        <w:pStyle w:val="326"/>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仪表和控制</w:t>
      </w:r>
      <w:r>
        <w:rPr>
          <w:rFonts w:hint="eastAsia" w:ascii="Times New Roman" w:eastAsia="宋体" w:cs="Times New Roman"/>
          <w:color w:val="auto"/>
          <w:highlight w:val="none"/>
          <w:lang w:val="en-US" w:eastAsia="zh-CN"/>
        </w:rPr>
        <w:t>系统</w:t>
      </w:r>
      <w:r>
        <w:rPr>
          <w:rFonts w:hint="default" w:ascii="Times New Roman" w:hAnsi="Times New Roman" w:eastAsia="宋体" w:cs="Times New Roman"/>
          <w:color w:val="auto"/>
          <w:highlight w:val="none"/>
        </w:rPr>
        <w:t>应适用于含盐雾及高湿度的海洋环境，并</w:t>
      </w:r>
      <w:r>
        <w:rPr>
          <w:rFonts w:hint="eastAsia" w:ascii="Times New Roman" w:eastAsia="宋体" w:cs="Times New Roman"/>
          <w:color w:val="auto"/>
          <w:highlight w:val="none"/>
          <w:lang w:val="en-US" w:eastAsia="zh-CN"/>
        </w:rPr>
        <w:t>应</w:t>
      </w:r>
      <w:r>
        <w:rPr>
          <w:rFonts w:hint="default" w:ascii="Times New Roman" w:hAnsi="Times New Roman" w:eastAsia="宋体" w:cs="Times New Roman"/>
          <w:color w:val="auto"/>
          <w:highlight w:val="none"/>
        </w:rPr>
        <w:t>具有符合使用环境的防护等级，能在一定的倾斜</w:t>
      </w:r>
      <w:r>
        <w:rPr>
          <w:rFonts w:hint="eastAsia" w:ascii="Times New Roman" w:eastAsia="宋体" w:cs="Times New Roman"/>
          <w:color w:val="auto"/>
          <w:highlight w:val="none"/>
          <w:lang w:eastAsia="zh-CN"/>
        </w:rPr>
        <w:t>、</w:t>
      </w:r>
      <w:r>
        <w:rPr>
          <w:rFonts w:hint="default" w:ascii="Times New Roman" w:hAnsi="Times New Roman" w:eastAsia="宋体" w:cs="Times New Roman"/>
          <w:color w:val="auto"/>
          <w:highlight w:val="none"/>
        </w:rPr>
        <w:t>摇摆及振动条件下正常工作。</w:t>
      </w:r>
    </w:p>
    <w:p w14:paraId="44BC0383">
      <w:pPr>
        <w:pStyle w:val="326"/>
        <w:rPr>
          <w:rFonts w:hint="default" w:ascii="Times New Roman" w:hAnsi="Times New Roman" w:cs="Times New Roman"/>
          <w:color w:val="auto"/>
          <w:highlight w:val="none"/>
        </w:rPr>
      </w:pPr>
      <w:r>
        <w:rPr>
          <w:rFonts w:hint="default" w:ascii="Times New Roman" w:hAnsi="Times New Roman" w:cs="Times New Roman"/>
          <w:color w:val="auto"/>
          <w:highlight w:val="none"/>
        </w:rPr>
        <w:t>所有仪表应有出厂合格证书。安装于危险区的仪表和控制系统应由有</w:t>
      </w:r>
      <w:r>
        <w:rPr>
          <w:rFonts w:hint="eastAsia" w:ascii="Times New Roman" w:cs="Times New Roman"/>
          <w:color w:val="auto"/>
          <w:highlight w:val="none"/>
          <w:lang w:val="en-US" w:eastAsia="zh-CN"/>
        </w:rPr>
        <w:t>资质</w:t>
      </w:r>
      <w:r>
        <w:rPr>
          <w:rFonts w:hint="default" w:ascii="Times New Roman" w:hAnsi="Times New Roman" w:cs="Times New Roman"/>
          <w:color w:val="auto"/>
          <w:highlight w:val="none"/>
        </w:rPr>
        <w:t>单位颁发的符合安装处所要求的防爆等级证书。</w:t>
      </w:r>
    </w:p>
    <w:p w14:paraId="72B90691">
      <w:pPr>
        <w:pStyle w:val="326"/>
        <w:rPr>
          <w:rFonts w:hint="default" w:ascii="Times New Roman" w:hAnsi="Times New Roman" w:cs="Times New Roman"/>
          <w:color w:val="auto"/>
          <w:highlight w:val="none"/>
        </w:rPr>
      </w:pPr>
      <w:r>
        <w:rPr>
          <w:rFonts w:hint="eastAsia"/>
          <w:color w:val="auto"/>
          <w:highlight w:val="none"/>
        </w:rPr>
        <w:t>仪表和控制系统</w:t>
      </w:r>
      <w:r>
        <w:rPr>
          <w:rFonts w:hint="eastAsia"/>
          <w:color w:val="auto"/>
          <w:highlight w:val="none"/>
          <w:lang w:val="en-US" w:eastAsia="zh-CN"/>
        </w:rPr>
        <w:t>中的</w:t>
      </w:r>
      <w:r>
        <w:rPr>
          <w:rFonts w:hint="eastAsia"/>
          <w:color w:val="auto"/>
          <w:highlight w:val="none"/>
        </w:rPr>
        <w:t>关键工艺参数</w:t>
      </w:r>
      <w:r>
        <w:rPr>
          <w:rFonts w:hint="eastAsia"/>
          <w:color w:val="auto"/>
          <w:highlight w:val="none"/>
          <w:lang w:val="en-US" w:eastAsia="zh-CN"/>
        </w:rPr>
        <w:t>及</w:t>
      </w:r>
      <w:r>
        <w:rPr>
          <w:rFonts w:hint="eastAsia"/>
          <w:color w:val="auto"/>
          <w:highlight w:val="none"/>
        </w:rPr>
        <w:t>火灾、可燃气体</w:t>
      </w:r>
      <w:r>
        <w:rPr>
          <w:rFonts w:hint="eastAsia"/>
          <w:color w:val="auto"/>
          <w:highlight w:val="none"/>
          <w:lang w:val="en-US" w:eastAsia="zh-CN"/>
        </w:rPr>
        <w:t>和</w:t>
      </w:r>
      <w:r>
        <w:rPr>
          <w:rFonts w:hint="eastAsia"/>
          <w:color w:val="auto"/>
          <w:highlight w:val="none"/>
        </w:rPr>
        <w:t>有毒有害气体探测报警数据应接入安全风险监测预警系统。</w:t>
      </w:r>
    </w:p>
    <w:p w14:paraId="4529886A">
      <w:pPr>
        <w:pStyle w:val="260"/>
        <w:jc w:val="both"/>
        <w:outlineLvl w:val="1"/>
        <w:rPr>
          <w:rFonts w:hint="default" w:ascii="Times New Roman" w:hAnsi="Times New Roman" w:cs="Times New Roman"/>
          <w:color w:val="auto"/>
          <w:highlight w:val="none"/>
        </w:rPr>
      </w:pPr>
      <w:bookmarkStart w:id="1290" w:name="_Toc23973"/>
      <w:bookmarkStart w:id="1291" w:name="_Toc4791"/>
      <w:bookmarkStart w:id="1292" w:name="_Toc21122"/>
      <w:bookmarkStart w:id="1293" w:name="_Toc5383"/>
      <w:bookmarkStart w:id="1294" w:name="_Toc20679"/>
      <w:bookmarkStart w:id="1295" w:name="_Toc183727719"/>
      <w:bookmarkStart w:id="1296" w:name="_Toc24072"/>
      <w:bookmarkStart w:id="1297" w:name="_Toc29612"/>
      <w:bookmarkStart w:id="1298" w:name="_Toc20345"/>
      <w:bookmarkStart w:id="1299" w:name="_Toc2368"/>
      <w:r>
        <w:rPr>
          <w:rFonts w:hint="default" w:ascii="Times New Roman" w:hAnsi="Times New Roman" w:cs="Times New Roman"/>
          <w:color w:val="auto"/>
          <w:highlight w:val="none"/>
        </w:rPr>
        <w:t>仪表</w:t>
      </w:r>
      <w:r>
        <w:rPr>
          <w:rFonts w:hint="eastAsia" w:ascii="Times New Roman" w:cs="Times New Roman"/>
          <w:color w:val="auto"/>
          <w:highlight w:val="none"/>
          <w:lang w:val="en-US" w:eastAsia="zh-CN"/>
        </w:rPr>
        <w:t>和</w:t>
      </w:r>
      <w:r>
        <w:rPr>
          <w:rFonts w:hint="default" w:ascii="Times New Roman" w:hAnsi="Times New Roman" w:cs="Times New Roman"/>
          <w:color w:val="auto"/>
          <w:highlight w:val="none"/>
        </w:rPr>
        <w:t>控制系统设置</w:t>
      </w:r>
      <w:bookmarkEnd w:id="1290"/>
      <w:bookmarkEnd w:id="1291"/>
      <w:bookmarkEnd w:id="1292"/>
      <w:bookmarkEnd w:id="1293"/>
      <w:bookmarkEnd w:id="1294"/>
      <w:bookmarkEnd w:id="1295"/>
      <w:bookmarkEnd w:id="1296"/>
      <w:bookmarkEnd w:id="1297"/>
      <w:bookmarkEnd w:id="1298"/>
      <w:bookmarkEnd w:id="1299"/>
    </w:p>
    <w:p w14:paraId="170A1F77">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应设置装载管理系统、货舱液位高高报警系统、船体舱室固定式可燃气体探测系统</w:t>
      </w:r>
      <w:r>
        <w:rPr>
          <w:rFonts w:hint="eastAsia" w:ascii="宋体" w:hAnsi="宋体" w:eastAsia="宋体" w:cs="宋体"/>
          <w:color w:val="auto"/>
          <w:highlight w:val="none"/>
          <w:lang w:val="en-US" w:eastAsia="zh-CN"/>
        </w:rPr>
        <w:t>及</w:t>
      </w:r>
      <w:r>
        <w:rPr>
          <w:rFonts w:hint="eastAsia" w:ascii="宋体" w:hAnsi="宋体" w:eastAsia="宋体" w:cs="宋体"/>
          <w:color w:val="auto"/>
          <w:highlight w:val="none"/>
        </w:rPr>
        <w:t>一体化海洋监测系统。</w:t>
      </w:r>
    </w:p>
    <w:p w14:paraId="663700FB">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现场仪表应采用带HART协议的智能仪表，并在操作站配置管理软件，实现对现场仪表的智能诊断和管理。</w:t>
      </w:r>
    </w:p>
    <w:p w14:paraId="020CD587">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临时避难所应设置具备PCS、ESD和FGS监控功能的操作站。</w:t>
      </w:r>
    </w:p>
    <w:p w14:paraId="559086B4">
      <w:pPr>
        <w:pStyle w:val="260"/>
        <w:outlineLvl w:val="1"/>
        <w:rPr>
          <w:rFonts w:hint="default" w:ascii="Times New Roman" w:hAnsi="Times New Roman" w:cs="Times New Roman"/>
          <w:color w:val="auto"/>
          <w:highlight w:val="none"/>
        </w:rPr>
      </w:pPr>
      <w:bookmarkStart w:id="1300" w:name="_Toc5499"/>
      <w:bookmarkStart w:id="1301" w:name="_Toc26155"/>
      <w:bookmarkStart w:id="1302" w:name="_Toc16271"/>
      <w:bookmarkStart w:id="1303" w:name="_Toc13239"/>
      <w:bookmarkStart w:id="1304" w:name="_Toc183727721"/>
      <w:bookmarkStart w:id="1305" w:name="_Toc4623"/>
      <w:bookmarkStart w:id="1306" w:name="_Toc1390"/>
      <w:bookmarkStart w:id="1307" w:name="_Toc24097"/>
      <w:bookmarkStart w:id="1308" w:name="_Toc12903"/>
      <w:bookmarkStart w:id="1309" w:name="_Toc31566"/>
      <w:r>
        <w:rPr>
          <w:rFonts w:hint="default" w:ascii="Times New Roman" w:hAnsi="Times New Roman" w:cs="Times New Roman"/>
          <w:color w:val="auto"/>
          <w:highlight w:val="none"/>
        </w:rPr>
        <w:t>报警</w:t>
      </w:r>
      <w:bookmarkEnd w:id="1300"/>
      <w:bookmarkEnd w:id="1301"/>
      <w:bookmarkEnd w:id="1302"/>
      <w:bookmarkEnd w:id="1303"/>
      <w:bookmarkEnd w:id="1304"/>
      <w:bookmarkEnd w:id="1305"/>
      <w:bookmarkEnd w:id="1306"/>
      <w:bookmarkEnd w:id="1307"/>
      <w:bookmarkEnd w:id="1308"/>
      <w:bookmarkEnd w:id="1309"/>
    </w:p>
    <w:p w14:paraId="5709C3FA">
      <w:pPr>
        <w:pStyle w:val="326"/>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控制系统应</w:t>
      </w:r>
      <w:r>
        <w:rPr>
          <w:rFonts w:hint="eastAsia" w:ascii="宋体" w:hAnsi="宋体" w:eastAsia="宋体" w:cs="宋体"/>
          <w:color w:val="auto"/>
          <w:highlight w:val="none"/>
        </w:rPr>
        <w:t>对</w:t>
      </w:r>
      <w:r>
        <w:rPr>
          <w:rFonts w:hint="eastAsia" w:ascii="宋体" w:hAnsi="宋体" w:eastAsia="宋体" w:cs="宋体"/>
          <w:color w:val="auto"/>
          <w:highlight w:val="none"/>
          <w:lang w:val="en-US" w:eastAsia="zh-CN"/>
        </w:rPr>
        <w:t>FPSO的</w:t>
      </w:r>
      <w:r>
        <w:rPr>
          <w:rFonts w:hint="default" w:ascii="Times New Roman" w:hAnsi="Times New Roman" w:eastAsia="宋体" w:cs="Times New Roman"/>
          <w:color w:val="auto"/>
          <w:highlight w:val="none"/>
        </w:rPr>
        <w:t>工艺及公用系统进行监测报警，对火灾和可燃、有毒气体探测报警。</w:t>
      </w:r>
    </w:p>
    <w:p w14:paraId="1DEDE4AC">
      <w:pPr>
        <w:pStyle w:val="326"/>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rPr>
        <w:t>电源装置的容量</w:t>
      </w:r>
      <w:r>
        <w:rPr>
          <w:rFonts w:hint="eastAsia" w:ascii="Times New Roman" w:eastAsia="宋体" w:cs="Times New Roman"/>
          <w:color w:val="auto"/>
          <w:highlight w:val="none"/>
          <w:lang w:val="en-US" w:eastAsia="zh-CN"/>
        </w:rPr>
        <w:t>应</w:t>
      </w:r>
      <w:r>
        <w:rPr>
          <w:rFonts w:hint="default" w:ascii="Times New Roman" w:hAnsi="Times New Roman" w:eastAsia="宋体" w:cs="Times New Roman"/>
          <w:color w:val="auto"/>
          <w:highlight w:val="none"/>
        </w:rPr>
        <w:t>支持报警系统及所有报警点（包括备用报警点）的工作用电。</w:t>
      </w:r>
    </w:p>
    <w:p w14:paraId="57EB3F3A">
      <w:pPr>
        <w:pStyle w:val="326"/>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rPr>
        <w:t>用于工艺和公用系统</w:t>
      </w:r>
      <w:r>
        <w:rPr>
          <w:rFonts w:hint="eastAsia" w:ascii="Times New Roman" w:eastAsia="宋体" w:cs="Times New Roman"/>
          <w:color w:val="auto"/>
          <w:highlight w:val="none"/>
          <w:lang w:val="en-US" w:eastAsia="zh-CN"/>
        </w:rPr>
        <w:t>的报警</w:t>
      </w:r>
      <w:r>
        <w:rPr>
          <w:rFonts w:hint="eastAsia" w:ascii="Times New Roman" w:eastAsia="宋体" w:cs="Times New Roman"/>
          <w:color w:val="auto"/>
          <w:highlight w:val="none"/>
          <w:lang w:eastAsia="zh-CN"/>
        </w:rPr>
        <w:t>，</w:t>
      </w:r>
      <w:r>
        <w:rPr>
          <w:rFonts w:hint="default" w:ascii="Times New Roman" w:hAnsi="Times New Roman" w:eastAsia="宋体" w:cs="Times New Roman"/>
          <w:color w:val="auto"/>
          <w:highlight w:val="none"/>
        </w:rPr>
        <w:t>应具有如下功能：</w:t>
      </w:r>
    </w:p>
    <w:p w14:paraId="3582E26E">
      <w:pPr>
        <w:pStyle w:val="305"/>
        <w:numPr>
          <w:ilvl w:val="0"/>
          <w:numId w:val="77"/>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非正常状态的第一事故声、光报警；</w:t>
      </w:r>
    </w:p>
    <w:p w14:paraId="0403722A">
      <w:pPr>
        <w:pStyle w:val="305"/>
        <w:numPr>
          <w:ilvl w:val="0"/>
          <w:numId w:val="77"/>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非正常状态的接续声、光报警；</w:t>
      </w:r>
    </w:p>
    <w:p w14:paraId="3104F210">
      <w:pPr>
        <w:pStyle w:val="305"/>
        <w:numPr>
          <w:ilvl w:val="0"/>
          <w:numId w:val="77"/>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第一事故报警和接续报警的确认，事故起源点的区分和记录；</w:t>
      </w:r>
    </w:p>
    <w:p w14:paraId="4239BD79">
      <w:pPr>
        <w:pStyle w:val="305"/>
        <w:numPr>
          <w:ilvl w:val="0"/>
          <w:numId w:val="77"/>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报警复位，音响和闪光报警停止；</w:t>
      </w:r>
    </w:p>
    <w:p w14:paraId="78C1E744">
      <w:pPr>
        <w:pStyle w:val="305"/>
        <w:numPr>
          <w:ilvl w:val="0"/>
          <w:numId w:val="77"/>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灯试验和功能试验。</w:t>
      </w:r>
    </w:p>
    <w:p w14:paraId="2028C1FD">
      <w:pPr>
        <w:pStyle w:val="326"/>
        <w:rPr>
          <w:rFonts w:hint="eastAsia" w:ascii="Times New Roman" w:eastAsia="宋体"/>
          <w:color w:val="auto"/>
          <w:highlight w:val="none"/>
          <w:lang w:val="en-US" w:eastAsia="zh-CN"/>
        </w:rPr>
      </w:pPr>
      <w:r>
        <w:rPr>
          <w:rFonts w:hint="eastAsia" w:ascii="Times New Roman" w:eastAsia="宋体"/>
          <w:color w:val="auto"/>
          <w:szCs w:val="21"/>
          <w:highlight w:val="none"/>
          <w:lang w:val="en-US" w:eastAsia="zh-CN"/>
        </w:rPr>
        <w:t>用于</w:t>
      </w:r>
      <w:r>
        <w:rPr>
          <w:rFonts w:hint="eastAsia" w:ascii="Times New Roman" w:hAnsi="Times New Roman" w:eastAsia="宋体"/>
          <w:color w:val="auto"/>
          <w:szCs w:val="21"/>
          <w:highlight w:val="none"/>
        </w:rPr>
        <w:t>火灾与可燃</w:t>
      </w:r>
      <w:r>
        <w:rPr>
          <w:rFonts w:hint="eastAsia" w:ascii="Times New Roman" w:eastAsia="宋体"/>
          <w:color w:val="auto"/>
          <w:szCs w:val="21"/>
          <w:highlight w:val="none"/>
          <w:lang w:eastAsia="zh-CN"/>
        </w:rPr>
        <w:t>、</w:t>
      </w:r>
      <w:r>
        <w:rPr>
          <w:rFonts w:hint="eastAsia" w:ascii="Times New Roman" w:eastAsia="宋体"/>
          <w:color w:val="auto"/>
          <w:szCs w:val="21"/>
          <w:highlight w:val="none"/>
          <w:lang w:val="en-US" w:eastAsia="zh-CN"/>
        </w:rPr>
        <w:t>有毒</w:t>
      </w:r>
      <w:r>
        <w:rPr>
          <w:rFonts w:hint="eastAsia" w:ascii="Times New Roman" w:hAnsi="Times New Roman" w:eastAsia="宋体"/>
          <w:color w:val="auto"/>
          <w:szCs w:val="21"/>
          <w:highlight w:val="none"/>
        </w:rPr>
        <w:t>气体</w:t>
      </w:r>
      <w:r>
        <w:rPr>
          <w:rFonts w:hint="eastAsia" w:ascii="Times New Roman" w:eastAsia="宋体"/>
          <w:color w:val="auto"/>
          <w:szCs w:val="21"/>
          <w:highlight w:val="none"/>
          <w:lang w:val="en-US" w:eastAsia="zh-CN"/>
        </w:rPr>
        <w:t>的</w:t>
      </w:r>
      <w:r>
        <w:rPr>
          <w:rFonts w:hint="eastAsia" w:ascii="Times New Roman" w:hAnsi="Times New Roman" w:eastAsia="宋体"/>
          <w:color w:val="auto"/>
          <w:szCs w:val="21"/>
          <w:highlight w:val="none"/>
        </w:rPr>
        <w:t>报警</w:t>
      </w:r>
      <w:r>
        <w:rPr>
          <w:rFonts w:hint="eastAsia" w:ascii="Times New Roman" w:eastAsia="宋体"/>
          <w:color w:val="auto"/>
          <w:szCs w:val="21"/>
          <w:highlight w:val="none"/>
          <w:lang w:eastAsia="zh-CN"/>
        </w:rPr>
        <w:t>，</w:t>
      </w:r>
      <w:r>
        <w:rPr>
          <w:rFonts w:hint="eastAsia" w:ascii="Times New Roman" w:hAnsi="Times New Roman" w:eastAsia="宋体"/>
          <w:color w:val="auto"/>
          <w:szCs w:val="21"/>
          <w:highlight w:val="none"/>
        </w:rPr>
        <w:t>应</w:t>
      </w:r>
      <w:r>
        <w:rPr>
          <w:rFonts w:hint="eastAsia" w:ascii="Times New Roman" w:eastAsia="宋体"/>
          <w:color w:val="auto"/>
          <w:szCs w:val="21"/>
          <w:highlight w:val="none"/>
          <w:lang w:val="en-US" w:eastAsia="zh-CN"/>
        </w:rPr>
        <w:t>具</w:t>
      </w:r>
      <w:r>
        <w:rPr>
          <w:rFonts w:hint="eastAsia" w:ascii="Times New Roman" w:hAnsi="Times New Roman" w:eastAsia="宋体"/>
          <w:color w:val="auto"/>
          <w:szCs w:val="21"/>
          <w:highlight w:val="none"/>
        </w:rPr>
        <w:t>有如下功能：</w:t>
      </w:r>
    </w:p>
    <w:p w14:paraId="5FEDAD6E">
      <w:pPr>
        <w:pStyle w:val="305"/>
        <w:numPr>
          <w:ilvl w:val="0"/>
          <w:numId w:val="7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可燃、有毒气体浓度预报警和关断报警；</w:t>
      </w:r>
    </w:p>
    <w:p w14:paraId="0A3563AA">
      <w:pPr>
        <w:pStyle w:val="305"/>
        <w:numPr>
          <w:ilvl w:val="0"/>
          <w:numId w:val="7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烟雾危险限定值报警；</w:t>
      </w:r>
    </w:p>
    <w:p w14:paraId="3B8585F2">
      <w:pPr>
        <w:pStyle w:val="305"/>
        <w:numPr>
          <w:ilvl w:val="0"/>
          <w:numId w:val="7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热危险限定值报警；</w:t>
      </w:r>
    </w:p>
    <w:p w14:paraId="2EA52913">
      <w:pPr>
        <w:pStyle w:val="305"/>
        <w:numPr>
          <w:ilvl w:val="0"/>
          <w:numId w:val="7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火灾报警；</w:t>
      </w:r>
    </w:p>
    <w:p w14:paraId="73F6104B">
      <w:pPr>
        <w:pStyle w:val="305"/>
        <w:numPr>
          <w:ilvl w:val="0"/>
          <w:numId w:val="7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自检和故障报警；</w:t>
      </w:r>
    </w:p>
    <w:p w14:paraId="2A944779">
      <w:pPr>
        <w:pStyle w:val="305"/>
        <w:numPr>
          <w:ilvl w:val="0"/>
          <w:numId w:val="7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报警以闪光、音响形式显示；</w:t>
      </w:r>
    </w:p>
    <w:p w14:paraId="2C1AFEEA">
      <w:pPr>
        <w:pStyle w:val="303"/>
        <w:ind w:left="573" w:leftChars="0" w:firstLineChars="0"/>
        <w:rPr>
          <w:rFonts w:hint="eastAsia" w:ascii="Times New Roman"/>
          <w:color w:val="auto"/>
          <w:szCs w:val="21"/>
          <w:highlight w:val="none"/>
          <w:lang w:eastAsia="zh-CN"/>
        </w:rPr>
      </w:pPr>
      <w:r>
        <w:rPr>
          <w:rFonts w:hint="eastAsia"/>
          <w:color w:val="auto"/>
          <w:highlight w:val="none"/>
        </w:rPr>
        <w:t>报警确认后</w:t>
      </w:r>
      <w:r>
        <w:rPr>
          <w:rFonts w:hint="eastAsia"/>
          <w:color w:val="auto"/>
          <w:highlight w:val="none"/>
          <w:lang w:eastAsia="zh-CN"/>
        </w:rPr>
        <w:t>，</w:t>
      </w:r>
      <w:r>
        <w:rPr>
          <w:rFonts w:hint="eastAsia"/>
          <w:color w:val="auto"/>
          <w:highlight w:val="none"/>
        </w:rPr>
        <w:t>音响停止只保留稳定的光亮报警显示</w:t>
      </w:r>
      <w:r>
        <w:rPr>
          <w:rFonts w:hint="eastAsia"/>
          <w:color w:val="auto"/>
          <w:highlight w:val="none"/>
          <w:lang w:eastAsia="zh-CN"/>
        </w:rPr>
        <w:t>；</w:t>
      </w:r>
      <w:r>
        <w:rPr>
          <w:rFonts w:hint="eastAsia"/>
          <w:color w:val="auto"/>
          <w:highlight w:val="none"/>
        </w:rPr>
        <w:t>报警复位后，稳定的光亮报警显示</w:t>
      </w:r>
      <w:r>
        <w:rPr>
          <w:rFonts w:hint="eastAsia"/>
          <w:color w:val="auto"/>
          <w:highlight w:val="none"/>
          <w:lang w:val="en-US" w:eastAsia="zh-CN"/>
        </w:rPr>
        <w:t>停止</w:t>
      </w:r>
      <w:r>
        <w:rPr>
          <w:rFonts w:hint="eastAsia" w:ascii="Times New Roman"/>
          <w:color w:val="auto"/>
          <w:szCs w:val="21"/>
          <w:highlight w:val="none"/>
          <w:lang w:eastAsia="zh-CN"/>
        </w:rPr>
        <w:t>。</w:t>
      </w:r>
    </w:p>
    <w:p w14:paraId="570A590B">
      <w:pPr>
        <w:pStyle w:val="305"/>
        <w:numPr>
          <w:ilvl w:val="0"/>
          <w:numId w:val="7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灯试验和功能试验。</w:t>
      </w:r>
    </w:p>
    <w:p w14:paraId="1B3526AD">
      <w:pPr>
        <w:pStyle w:val="326"/>
        <w:rPr>
          <w:rFonts w:hint="eastAsia" w:ascii="宋体" w:hAnsi="宋体" w:eastAsia="宋体" w:cs="宋体"/>
          <w:color w:val="auto"/>
          <w:highlight w:val="none"/>
        </w:rPr>
      </w:pPr>
      <w:r>
        <w:rPr>
          <w:rFonts w:hint="default" w:ascii="Times New Roman" w:hAnsi="Times New Roman" w:cs="Times New Roman"/>
          <w:color w:val="auto"/>
          <w:highlight w:val="none"/>
        </w:rPr>
        <w:t>报警应至少采取中控人机界面、中</w:t>
      </w:r>
      <w:r>
        <w:rPr>
          <w:rFonts w:hint="eastAsia" w:ascii="宋体" w:hAnsi="宋体" w:eastAsia="宋体" w:cs="宋体"/>
          <w:color w:val="auto"/>
          <w:highlight w:val="none"/>
        </w:rPr>
        <w:t>控手操盘、广播告警系统</w:t>
      </w:r>
      <w:r>
        <w:rPr>
          <w:rFonts w:hint="eastAsia" w:ascii="宋体" w:hAnsi="宋体" w:eastAsia="宋体" w:cs="宋体"/>
          <w:color w:val="auto"/>
          <w:highlight w:val="none"/>
          <w:lang w:val="en-US" w:eastAsia="zh-CN"/>
        </w:rPr>
        <w:t>和</w:t>
      </w:r>
      <w:r>
        <w:rPr>
          <w:rFonts w:hint="eastAsia" w:ascii="宋体" w:hAnsi="宋体" w:eastAsia="宋体" w:cs="宋体"/>
          <w:color w:val="auto"/>
          <w:highlight w:val="none"/>
        </w:rPr>
        <w:t>状态灯等方式。</w:t>
      </w:r>
    </w:p>
    <w:p w14:paraId="076DD26A">
      <w:pPr>
        <w:pStyle w:val="326"/>
        <w:rPr>
          <w:rFonts w:hint="eastAsia" w:ascii="宋体" w:hAnsi="宋体" w:eastAsia="宋体" w:cs="宋体"/>
          <w:color w:val="auto"/>
          <w:highlight w:val="none"/>
        </w:rPr>
      </w:pPr>
      <w:r>
        <w:rPr>
          <w:rFonts w:hint="eastAsia" w:ascii="宋体" w:hAnsi="宋体" w:eastAsia="宋体" w:cs="宋体"/>
          <w:color w:val="auto"/>
          <w:highlight w:val="none"/>
        </w:rPr>
        <w:t>中控室应设置中控手操盘。盘面应包含蜂鸣器、ESD主要关断级别报警灯/确认启动按钮、复位按钮、声光测试按钮、报警确认按钮。应设置消防系统和灭火系统主备设备切换开关及启动按钮。</w:t>
      </w:r>
    </w:p>
    <w:p w14:paraId="76CCACFE">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报警系统应具有故障报警信号按故障发生时间记录和显示的功能，以及时间追忆功能。</w:t>
      </w:r>
    </w:p>
    <w:p w14:paraId="6A591EE5">
      <w:pPr>
        <w:pStyle w:val="326"/>
        <w:rPr>
          <w:rFonts w:hint="eastAsia" w:ascii="宋体" w:hAnsi="宋体" w:eastAsia="宋体" w:cs="宋体"/>
          <w:color w:val="auto"/>
          <w:highlight w:val="none"/>
        </w:rPr>
      </w:pPr>
      <w:r>
        <w:rPr>
          <w:rFonts w:hint="eastAsia" w:ascii="宋体" w:hAnsi="宋体" w:eastAsia="宋体" w:cs="宋体"/>
          <w:color w:val="auto"/>
          <w:highlight w:val="none"/>
        </w:rPr>
        <w:t>火气探测系统的各种现场检测开关</w:t>
      </w:r>
      <w:r>
        <w:rPr>
          <w:rFonts w:hint="eastAsia" w:ascii="宋体" w:hAnsi="宋体" w:eastAsia="宋体" w:cs="宋体"/>
          <w:color w:val="auto"/>
          <w:highlight w:val="none"/>
          <w:lang w:eastAsia="zh-CN"/>
        </w:rPr>
        <w:t>、手动紧急按钮</w:t>
      </w:r>
      <w:r>
        <w:rPr>
          <w:rFonts w:hint="eastAsia" w:ascii="宋体" w:hAnsi="宋体" w:eastAsia="宋体" w:cs="宋体"/>
          <w:color w:val="auto"/>
          <w:highlight w:val="none"/>
        </w:rPr>
        <w:t>和</w:t>
      </w:r>
      <w:r>
        <w:rPr>
          <w:rFonts w:hint="eastAsia" w:ascii="宋体" w:hAnsi="宋体" w:eastAsia="宋体" w:cs="宋体"/>
          <w:color w:val="auto"/>
          <w:highlight w:val="none"/>
          <w:lang w:val="en-US" w:eastAsia="zh-CN"/>
        </w:rPr>
        <w:t>消防</w:t>
      </w:r>
      <w:r>
        <w:rPr>
          <w:rFonts w:hint="eastAsia" w:ascii="宋体" w:hAnsi="宋体" w:eastAsia="宋体" w:cs="宋体"/>
          <w:color w:val="auto"/>
          <w:highlight w:val="none"/>
        </w:rPr>
        <w:t>控制点应按常开接点设计。火气探测系统的现场检测回路和控制回路应具有开路和短路的自诊断和报警功能。</w:t>
      </w:r>
    </w:p>
    <w:p w14:paraId="58293200">
      <w:pPr>
        <w:pStyle w:val="260"/>
        <w:jc w:val="both"/>
        <w:outlineLvl w:val="1"/>
        <w:rPr>
          <w:rFonts w:hint="default" w:ascii="Times New Roman" w:hAnsi="Times New Roman" w:cs="Times New Roman"/>
          <w:color w:val="auto"/>
          <w:highlight w:val="none"/>
        </w:rPr>
      </w:pPr>
      <w:bookmarkStart w:id="1310" w:name="_Toc5198"/>
      <w:bookmarkStart w:id="1311" w:name="_Toc17087"/>
      <w:bookmarkStart w:id="1312" w:name="_Toc23239"/>
      <w:bookmarkStart w:id="1313" w:name="_Toc1621"/>
      <w:bookmarkStart w:id="1314" w:name="_Toc31839"/>
      <w:bookmarkStart w:id="1315" w:name="_Toc30675"/>
      <w:bookmarkStart w:id="1316" w:name="_Toc8034"/>
      <w:bookmarkStart w:id="1317" w:name="_Toc25753"/>
      <w:bookmarkStart w:id="1318" w:name="_Toc13776"/>
      <w:bookmarkStart w:id="1319" w:name="_Toc183727722"/>
      <w:r>
        <w:rPr>
          <w:rFonts w:hint="default" w:ascii="Times New Roman" w:hAnsi="Times New Roman" w:cs="Times New Roman"/>
          <w:color w:val="auto"/>
          <w:highlight w:val="none"/>
        </w:rPr>
        <w:t>应急关断系统</w:t>
      </w:r>
      <w:bookmarkEnd w:id="1310"/>
      <w:bookmarkEnd w:id="1311"/>
      <w:bookmarkEnd w:id="1312"/>
      <w:bookmarkEnd w:id="1313"/>
      <w:bookmarkEnd w:id="1314"/>
      <w:bookmarkEnd w:id="1315"/>
      <w:bookmarkEnd w:id="1316"/>
      <w:bookmarkEnd w:id="1317"/>
      <w:bookmarkEnd w:id="1318"/>
      <w:bookmarkEnd w:id="1319"/>
    </w:p>
    <w:p w14:paraId="7D0A3ABB">
      <w:pPr>
        <w:pStyle w:val="261"/>
        <w:tabs>
          <w:tab w:val="left" w:pos="0"/>
        </w:tabs>
        <w:spacing w:before="156" w:after="156"/>
        <w:outlineLvl w:val="2"/>
        <w:rPr>
          <w:rFonts w:hint="default" w:ascii="Times New Roman" w:hAnsi="Times New Roman" w:cs="Times New Roman"/>
          <w:color w:val="auto"/>
          <w:highlight w:val="none"/>
        </w:rPr>
      </w:pPr>
      <w:bookmarkStart w:id="1320" w:name="_Toc26313"/>
      <w:bookmarkStart w:id="1321" w:name="_Toc22688"/>
      <w:bookmarkStart w:id="1322" w:name="_Toc14888"/>
      <w:bookmarkStart w:id="1323" w:name="_Toc22209"/>
      <w:bookmarkStart w:id="1324" w:name="_Toc4827"/>
      <w:bookmarkStart w:id="1325" w:name="_Toc17049"/>
      <w:bookmarkStart w:id="1326" w:name="_Toc23726"/>
      <w:r>
        <w:rPr>
          <w:rFonts w:hint="eastAsia" w:ascii="Times New Roman" w:cs="Times New Roman"/>
          <w:color w:val="auto"/>
          <w:highlight w:val="none"/>
          <w:lang w:eastAsia="zh-CN"/>
        </w:rPr>
        <w:t>通用要求</w:t>
      </w:r>
      <w:bookmarkEnd w:id="1320"/>
      <w:bookmarkEnd w:id="1321"/>
      <w:bookmarkEnd w:id="1322"/>
      <w:bookmarkEnd w:id="1323"/>
      <w:bookmarkEnd w:id="1324"/>
      <w:bookmarkEnd w:id="1325"/>
      <w:bookmarkEnd w:id="1326"/>
    </w:p>
    <w:p w14:paraId="7BACBD75">
      <w:pPr>
        <w:pStyle w:val="327"/>
        <w:jc w:val="both"/>
        <w:rPr>
          <w:rFonts w:hint="default" w:ascii="Times New Roman" w:hAnsi="Times New Roman" w:eastAsia="宋体" w:cs="Times New Roman"/>
          <w:color w:val="auto"/>
          <w:highlight w:val="none"/>
        </w:rPr>
      </w:pPr>
      <w:r>
        <w:rPr>
          <w:rFonts w:hint="default" w:ascii="Times New Roman" w:hAnsi="Times New Roman" w:cs="Times New Roman"/>
          <w:color w:val="auto"/>
          <w:highlight w:val="none"/>
        </w:rPr>
        <w:t>应急关断系统应为</w:t>
      </w:r>
      <w:r>
        <w:rPr>
          <w:rFonts w:hint="eastAsia" w:ascii="Times New Roman" w:hAnsi="Times New Roman" w:cs="Times New Roman"/>
          <w:color w:val="auto"/>
          <w:highlight w:val="none"/>
          <w:lang w:val="en-US" w:eastAsia="zh-CN"/>
        </w:rPr>
        <w:t>故障</w:t>
      </w:r>
      <w:r>
        <w:rPr>
          <w:rFonts w:hint="default" w:ascii="Times New Roman" w:hAnsi="Times New Roman" w:cs="Times New Roman"/>
          <w:color w:val="auto"/>
          <w:highlight w:val="none"/>
        </w:rPr>
        <w:t>安全型设计，</w:t>
      </w:r>
      <w:r>
        <w:rPr>
          <w:rFonts w:hint="default" w:ascii="Times New Roman" w:hAnsi="Times New Roman" w:eastAsia="宋体" w:cs="Times New Roman"/>
          <w:color w:val="auto"/>
          <w:highlight w:val="none"/>
        </w:rPr>
        <w:t>当发生故障时为开路状态</w:t>
      </w:r>
      <w:r>
        <w:rPr>
          <w:rFonts w:hint="default" w:ascii="Times New Roman" w:hAnsi="Times New Roman" w:cs="Times New Roman"/>
          <w:color w:val="auto"/>
          <w:highlight w:val="none"/>
        </w:rPr>
        <w:t>。</w:t>
      </w:r>
    </w:p>
    <w:p w14:paraId="2AB03A2B">
      <w:pPr>
        <w:pStyle w:val="327"/>
        <w:rPr>
          <w:rFonts w:hint="default" w:ascii="Times New Roman" w:hAnsi="Times New Roman" w:cs="Times New Roman"/>
          <w:color w:val="auto"/>
          <w:highlight w:val="none"/>
        </w:rPr>
      </w:pPr>
      <w:r>
        <w:rPr>
          <w:rFonts w:hint="default" w:ascii="Times New Roman" w:hAnsi="Times New Roman" w:cs="Times New Roman"/>
          <w:color w:val="auto"/>
          <w:highlight w:val="none"/>
        </w:rPr>
        <w:t>手动应急关断按钮应配以清楚的</w:t>
      </w:r>
      <w:r>
        <w:rPr>
          <w:rFonts w:hint="eastAsia" w:ascii="Times New Roman" w:hAnsi="Times New Roman" w:cs="Times New Roman"/>
          <w:color w:val="auto"/>
          <w:highlight w:val="none"/>
          <w:lang w:val="en-US" w:eastAsia="zh-CN"/>
        </w:rPr>
        <w:t>标识</w:t>
      </w:r>
      <w:r>
        <w:rPr>
          <w:rFonts w:hint="default" w:ascii="Times New Roman" w:hAnsi="Times New Roman" w:cs="Times New Roman"/>
          <w:color w:val="auto"/>
          <w:highlight w:val="none"/>
        </w:rPr>
        <w:t>和防止误操作的外壳。</w:t>
      </w:r>
    </w:p>
    <w:p w14:paraId="7F78EF38">
      <w:pPr>
        <w:pStyle w:val="327"/>
        <w:rPr>
          <w:rFonts w:hint="eastAsia" w:ascii="宋体" w:hAnsi="宋体" w:eastAsia="宋体" w:cs="宋体"/>
          <w:color w:val="auto"/>
          <w:highlight w:val="none"/>
        </w:rPr>
      </w:pPr>
      <w:r>
        <w:rPr>
          <w:rFonts w:hint="default" w:ascii="Times New Roman" w:hAnsi="Times New Roman" w:cs="Times New Roman"/>
          <w:color w:val="auto"/>
          <w:highlight w:val="none"/>
        </w:rPr>
        <w:t>应急关断系统电缆</w:t>
      </w:r>
      <w:r>
        <w:rPr>
          <w:rFonts w:hint="eastAsia" w:ascii="Times New Roman" w:hAnsi="Times New Roman" w:cs="Times New Roman"/>
          <w:color w:val="auto"/>
          <w:highlight w:val="none"/>
          <w:lang w:val="en-US" w:eastAsia="zh-CN"/>
        </w:rPr>
        <w:t>的选用</w:t>
      </w:r>
      <w:r>
        <w:rPr>
          <w:rFonts w:hint="eastAsia" w:ascii="宋体" w:hAnsi="宋体" w:eastAsia="宋体" w:cs="宋体"/>
          <w:color w:val="auto"/>
          <w:highlight w:val="none"/>
        </w:rPr>
        <w:t>应按16.</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执行，其敷设路径应远离各种危险源。应急关断系统电缆的接线端子应单独设置，如与其</w:t>
      </w:r>
      <w:r>
        <w:rPr>
          <w:rFonts w:hint="eastAsia" w:ascii="宋体" w:hAnsi="宋体" w:eastAsia="宋体" w:cs="宋体"/>
          <w:color w:val="auto"/>
          <w:highlight w:val="none"/>
          <w:lang w:val="en-US" w:eastAsia="zh-CN"/>
        </w:rPr>
        <w:t>他</w:t>
      </w:r>
      <w:r>
        <w:rPr>
          <w:rFonts w:hint="eastAsia" w:ascii="宋体" w:hAnsi="宋体" w:eastAsia="宋体" w:cs="宋体"/>
          <w:color w:val="auto"/>
          <w:highlight w:val="none"/>
        </w:rPr>
        <w:t>接线端子安装在一起时，则应有明显的识别标志。</w:t>
      </w:r>
    </w:p>
    <w:p w14:paraId="4A656AC9">
      <w:pPr>
        <w:pStyle w:val="327"/>
        <w:rPr>
          <w:rFonts w:hint="eastAsia" w:ascii="宋体" w:hAnsi="宋体" w:eastAsia="宋体" w:cs="宋体"/>
          <w:color w:val="auto"/>
          <w:highlight w:val="none"/>
        </w:rPr>
      </w:pPr>
      <w:r>
        <w:rPr>
          <w:rFonts w:hint="eastAsia" w:ascii="宋体" w:hAnsi="宋体" w:eastAsia="宋体" w:cs="宋体"/>
          <w:color w:val="auto"/>
          <w:highlight w:val="none"/>
        </w:rPr>
        <w:t>应急关断系统应有手动复位按钮和信号旁路开关。</w:t>
      </w:r>
    </w:p>
    <w:p w14:paraId="253ADB03">
      <w:pPr>
        <w:pStyle w:val="327"/>
        <w:rPr>
          <w:rFonts w:hint="default" w:ascii="Times New Roman" w:hAnsi="Times New Roman" w:cs="Times New Roman"/>
          <w:color w:val="auto"/>
          <w:highlight w:val="none"/>
        </w:rPr>
      </w:pPr>
      <w:r>
        <w:rPr>
          <w:rFonts w:hint="default" w:ascii="Times New Roman" w:hAnsi="Times New Roman" w:cs="Times New Roman"/>
          <w:color w:val="auto"/>
          <w:highlight w:val="none"/>
        </w:rPr>
        <w:t>应急关断系统应不受电磁干扰。</w:t>
      </w:r>
    </w:p>
    <w:p w14:paraId="030E1C4C">
      <w:pPr>
        <w:pStyle w:val="261"/>
        <w:spacing w:before="156" w:after="156"/>
        <w:outlineLvl w:val="2"/>
        <w:rPr>
          <w:rFonts w:hint="default" w:ascii="Times New Roman" w:hAnsi="Times New Roman" w:cs="Times New Roman"/>
          <w:color w:val="auto"/>
          <w:highlight w:val="none"/>
        </w:rPr>
      </w:pPr>
      <w:bookmarkStart w:id="1327" w:name="_Toc23234"/>
      <w:bookmarkStart w:id="1328" w:name="_Toc14810"/>
      <w:bookmarkStart w:id="1329" w:name="_Toc12392"/>
      <w:bookmarkStart w:id="1330" w:name="_Toc16767"/>
      <w:bookmarkStart w:id="1331" w:name="_Toc9506"/>
      <w:bookmarkStart w:id="1332" w:name="_Toc7427"/>
      <w:bookmarkStart w:id="1333" w:name="_Toc11138"/>
      <w:bookmarkStart w:id="1334" w:name="_Toc11010"/>
      <w:r>
        <w:rPr>
          <w:rFonts w:hint="default" w:ascii="Times New Roman" w:hAnsi="Times New Roman" w:cs="Times New Roman"/>
          <w:color w:val="auto"/>
          <w:highlight w:val="none"/>
        </w:rPr>
        <w:t>系统组成</w:t>
      </w:r>
      <w:bookmarkEnd w:id="1327"/>
      <w:bookmarkEnd w:id="1328"/>
      <w:bookmarkEnd w:id="1329"/>
      <w:bookmarkEnd w:id="1330"/>
      <w:bookmarkEnd w:id="1331"/>
      <w:bookmarkEnd w:id="1332"/>
      <w:bookmarkEnd w:id="1333"/>
      <w:bookmarkEnd w:id="1334"/>
    </w:p>
    <w:p w14:paraId="591133C8">
      <w:pPr>
        <w:pStyle w:val="326"/>
        <w:numPr>
          <w:ilvl w:val="2"/>
          <w:numId w:val="0"/>
        </w:numPr>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应急关断系统应至少包括以下部分：</w:t>
      </w:r>
    </w:p>
    <w:p w14:paraId="6642A4AA">
      <w:pPr>
        <w:pStyle w:val="305"/>
        <w:numPr>
          <w:ilvl w:val="0"/>
          <w:numId w:val="79"/>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应急关断系统硬件和应急关断逻辑；</w:t>
      </w:r>
    </w:p>
    <w:p w14:paraId="67CC7F61">
      <w:pPr>
        <w:pStyle w:val="305"/>
        <w:numPr>
          <w:ilvl w:val="0"/>
          <w:numId w:val="79"/>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手动应急关断按钮；</w:t>
      </w:r>
    </w:p>
    <w:p w14:paraId="5DD43A04">
      <w:pPr>
        <w:pStyle w:val="305"/>
        <w:numPr>
          <w:ilvl w:val="0"/>
          <w:numId w:val="79"/>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安装在重要工艺设备和公用设备上，在异常情况下能发出关断信号的自动检测开关或变送器；</w:t>
      </w:r>
    </w:p>
    <w:p w14:paraId="5CA956B8">
      <w:pPr>
        <w:pStyle w:val="305"/>
        <w:numPr>
          <w:ilvl w:val="0"/>
          <w:numId w:val="79"/>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火灾与可燃、有毒气体探测引起的联锁关断信号；</w:t>
      </w:r>
    </w:p>
    <w:p w14:paraId="6CBDC667">
      <w:pPr>
        <w:pStyle w:val="305"/>
        <w:numPr>
          <w:ilvl w:val="0"/>
          <w:numId w:val="79"/>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信号转换及各种执行机构。</w:t>
      </w:r>
    </w:p>
    <w:p w14:paraId="3044F0AB">
      <w:pPr>
        <w:pStyle w:val="261"/>
        <w:spacing w:before="156" w:after="156"/>
        <w:outlineLvl w:val="2"/>
        <w:rPr>
          <w:rFonts w:hint="default" w:ascii="Times New Roman" w:hAnsi="Times New Roman" w:cs="Times New Roman"/>
          <w:color w:val="auto"/>
          <w:highlight w:val="none"/>
        </w:rPr>
      </w:pPr>
      <w:bookmarkStart w:id="1335" w:name="_Toc26767"/>
      <w:bookmarkStart w:id="1336" w:name="_Toc30284"/>
      <w:bookmarkStart w:id="1337" w:name="_Toc13977"/>
      <w:bookmarkStart w:id="1338" w:name="_Toc20678"/>
      <w:bookmarkStart w:id="1339" w:name="_Toc32144"/>
      <w:bookmarkStart w:id="1340" w:name="_Toc27891"/>
      <w:bookmarkStart w:id="1341" w:name="_Toc5136"/>
      <w:bookmarkStart w:id="1342" w:name="_Toc2592"/>
      <w:r>
        <w:rPr>
          <w:rFonts w:hint="default" w:ascii="Times New Roman" w:hAnsi="Times New Roman" w:cs="Times New Roman"/>
          <w:color w:val="auto"/>
          <w:highlight w:val="none"/>
        </w:rPr>
        <w:t>关断级别</w:t>
      </w:r>
      <w:bookmarkEnd w:id="1335"/>
      <w:bookmarkEnd w:id="1336"/>
      <w:bookmarkEnd w:id="1337"/>
      <w:bookmarkEnd w:id="1338"/>
      <w:bookmarkEnd w:id="1339"/>
      <w:bookmarkEnd w:id="1340"/>
      <w:bookmarkEnd w:id="1341"/>
      <w:bookmarkEnd w:id="1342"/>
    </w:p>
    <w:p w14:paraId="483934CE">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弃船关断</w:t>
      </w:r>
      <w:r>
        <w:rPr>
          <w:rFonts w:hint="eastAsia" w:ascii="Times New Roman" w:hAnsi="Times New Roman" w:cs="Times New Roman"/>
          <w:color w:val="auto"/>
          <w:highlight w:val="none"/>
          <w:lang w:val="en-US" w:eastAsia="zh-CN"/>
        </w:rPr>
        <w:t>满足以下要求：</w:t>
      </w:r>
    </w:p>
    <w:p w14:paraId="0A8B72B2">
      <w:pPr>
        <w:pStyle w:val="305"/>
        <w:numPr>
          <w:ilvl w:val="0"/>
          <w:numId w:val="80"/>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在遇有不可抗拒的情况时，人员撤离前，</w:t>
      </w:r>
      <w:r>
        <w:rPr>
          <w:rFonts w:hint="eastAsia" w:ascii="宋体" w:hAnsi="宋体" w:cs="宋体"/>
          <w:color w:val="auto"/>
          <w:highlight w:val="none"/>
          <w:lang w:val="en-US" w:eastAsia="zh-CN"/>
        </w:rPr>
        <w:t>应</w:t>
      </w:r>
      <w:r>
        <w:rPr>
          <w:rFonts w:hint="default" w:ascii="宋体" w:hAnsi="宋体" w:cs="宋体"/>
          <w:color w:val="auto"/>
          <w:highlight w:val="none"/>
          <w:lang w:val="en-US" w:eastAsia="zh-CN"/>
        </w:rPr>
        <w:t>由专人执行弃船关断</w:t>
      </w:r>
      <w:r>
        <w:rPr>
          <w:rFonts w:hint="eastAsia" w:ascii="宋体" w:hAnsi="宋体" w:cs="宋体"/>
          <w:color w:val="auto"/>
          <w:highlight w:val="none"/>
          <w:lang w:val="en-US" w:eastAsia="zh-CN"/>
        </w:rPr>
        <w:t>；</w:t>
      </w:r>
    </w:p>
    <w:p w14:paraId="13E6EF1A">
      <w:pPr>
        <w:pStyle w:val="305"/>
        <w:numPr>
          <w:ilvl w:val="0"/>
          <w:numId w:val="80"/>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弃船关断按钮</w:t>
      </w:r>
      <w:r>
        <w:rPr>
          <w:rFonts w:hint="eastAsia" w:ascii="宋体" w:hAnsi="宋体" w:cs="宋体"/>
          <w:color w:val="auto"/>
          <w:highlight w:val="none"/>
          <w:lang w:val="en-US" w:eastAsia="zh-CN"/>
        </w:rPr>
        <w:t>应</w:t>
      </w:r>
      <w:r>
        <w:rPr>
          <w:rFonts w:hint="default" w:ascii="宋体" w:hAnsi="宋体" w:cs="宋体"/>
          <w:color w:val="auto"/>
          <w:highlight w:val="none"/>
          <w:lang w:val="en-US" w:eastAsia="zh-CN"/>
        </w:rPr>
        <w:t>设置在中控室、直升机甲板</w:t>
      </w:r>
      <w:r>
        <w:rPr>
          <w:rFonts w:hint="eastAsia" w:ascii="宋体" w:hAnsi="宋体" w:cs="宋体"/>
          <w:color w:val="auto"/>
          <w:highlight w:val="none"/>
          <w:lang w:val="en-US" w:eastAsia="zh-CN"/>
        </w:rPr>
        <w:t>和</w:t>
      </w:r>
      <w:r>
        <w:rPr>
          <w:rFonts w:hint="default" w:ascii="宋体" w:hAnsi="宋体" w:cs="宋体"/>
          <w:color w:val="auto"/>
          <w:highlight w:val="none"/>
          <w:lang w:val="en-US" w:eastAsia="zh-CN"/>
        </w:rPr>
        <w:t>救生艇登乘处。</w:t>
      </w:r>
    </w:p>
    <w:p w14:paraId="5268AD0C">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火气关断</w:t>
      </w:r>
      <w:r>
        <w:rPr>
          <w:rFonts w:hint="eastAsia" w:ascii="Times New Roman" w:hAnsi="Times New Roman" w:cs="Times New Roman"/>
          <w:color w:val="auto"/>
          <w:highlight w:val="none"/>
          <w:lang w:val="en-US" w:eastAsia="zh-CN"/>
        </w:rPr>
        <w:t>满足以下要求：</w:t>
      </w:r>
    </w:p>
    <w:p w14:paraId="0452A993">
      <w:pPr>
        <w:pStyle w:val="305"/>
        <w:numPr>
          <w:ilvl w:val="0"/>
          <w:numId w:val="81"/>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火灾与可燃、有毒气体探测器探测到异常情况</w:t>
      </w:r>
      <w:r>
        <w:rPr>
          <w:rFonts w:hint="eastAsia" w:ascii="宋体" w:hAnsi="宋体" w:cs="宋体"/>
          <w:color w:val="auto"/>
          <w:highlight w:val="none"/>
          <w:lang w:val="en-US" w:eastAsia="zh-CN"/>
        </w:rPr>
        <w:t>时，应</w:t>
      </w:r>
      <w:r>
        <w:rPr>
          <w:rFonts w:hint="default" w:ascii="宋体" w:hAnsi="宋体" w:cs="宋体"/>
          <w:color w:val="auto"/>
          <w:highlight w:val="none"/>
          <w:lang w:val="en-US" w:eastAsia="zh-CN"/>
        </w:rPr>
        <w:t>自动地或经人工确认后手动地启动火气关断</w:t>
      </w:r>
      <w:r>
        <w:rPr>
          <w:rFonts w:hint="eastAsia" w:ascii="宋体" w:hAnsi="宋体" w:cs="宋体"/>
          <w:color w:val="auto"/>
          <w:highlight w:val="none"/>
          <w:lang w:val="en-US" w:eastAsia="zh-CN"/>
        </w:rPr>
        <w:t>；</w:t>
      </w:r>
    </w:p>
    <w:p w14:paraId="6B20CF25">
      <w:pPr>
        <w:pStyle w:val="305"/>
        <w:numPr>
          <w:ilvl w:val="0"/>
          <w:numId w:val="81"/>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火气关断应导致公用/生产关断</w:t>
      </w:r>
      <w:r>
        <w:rPr>
          <w:rFonts w:hint="eastAsia" w:ascii="宋体" w:hAnsi="宋体" w:cs="宋体"/>
          <w:color w:val="auto"/>
          <w:highlight w:val="none"/>
          <w:lang w:val="en-US" w:eastAsia="zh-CN"/>
        </w:rPr>
        <w:t>；</w:t>
      </w:r>
    </w:p>
    <w:p w14:paraId="671301B5">
      <w:pPr>
        <w:pStyle w:val="305"/>
        <w:numPr>
          <w:ilvl w:val="0"/>
          <w:numId w:val="81"/>
        </w:numPr>
        <w:ind w:left="839" w:leftChars="0" w:hanging="419" w:firstLineChars="0"/>
        <w:rPr>
          <w:rFonts w:hint="default" w:ascii="宋体" w:hAnsi="宋体" w:cs="宋体"/>
          <w:color w:val="auto"/>
          <w:highlight w:val="none"/>
          <w:lang w:val="en-US" w:eastAsia="zh-CN"/>
        </w:rPr>
      </w:pPr>
      <w:r>
        <w:rPr>
          <w:rFonts w:hint="eastAsia" w:ascii="宋体" w:hAnsi="宋体" w:cs="宋体"/>
          <w:color w:val="auto"/>
          <w:highlight w:val="none"/>
          <w:lang w:val="en-US" w:eastAsia="zh-CN"/>
        </w:rPr>
        <w:t>火灾引发的火气关断还应打开泄压阀；</w:t>
      </w:r>
    </w:p>
    <w:p w14:paraId="04590E46">
      <w:pPr>
        <w:pStyle w:val="305"/>
        <w:numPr>
          <w:ilvl w:val="0"/>
          <w:numId w:val="81"/>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消防设施、通信设备、直升机甲板边界灯、障碍灯、雾笛、应急照明及发电供电设备应保持工作状态。</w:t>
      </w:r>
    </w:p>
    <w:p w14:paraId="1F53E8D1">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公用关断</w:t>
      </w:r>
    </w:p>
    <w:p w14:paraId="3AE6B10A">
      <w:pPr>
        <w:pStyle w:val="305"/>
        <w:numPr>
          <w:ilvl w:val="0"/>
          <w:numId w:val="0"/>
        </w:numPr>
        <w:ind w:left="420"/>
        <w:rPr>
          <w:rFonts w:hint="default" w:ascii="Times New Roman" w:hAnsi="Times New Roman" w:cs="Times New Roman"/>
          <w:color w:val="auto"/>
          <w:highlight w:val="none"/>
        </w:rPr>
      </w:pPr>
      <w:r>
        <w:rPr>
          <w:rFonts w:hint="default" w:ascii="Times New Roman" w:hAnsi="Times New Roman" w:cs="Times New Roman"/>
          <w:color w:val="auto"/>
          <w:highlight w:val="none"/>
        </w:rPr>
        <w:t>公用关断</w:t>
      </w:r>
      <w:r>
        <w:rPr>
          <w:rFonts w:hint="eastAsia" w:ascii="Times New Roman" w:cs="Times New Roman"/>
          <w:color w:val="auto"/>
          <w:highlight w:val="none"/>
          <w:lang w:val="en-US" w:eastAsia="zh-CN"/>
        </w:rPr>
        <w:t>应</w:t>
      </w:r>
      <w:r>
        <w:rPr>
          <w:rFonts w:hint="eastAsia"/>
          <w:color w:val="auto"/>
          <w:highlight w:val="none"/>
        </w:rPr>
        <w:t>由</w:t>
      </w:r>
      <w:r>
        <w:rPr>
          <w:rFonts w:hint="eastAsia"/>
          <w:color w:val="auto"/>
          <w:highlight w:val="none"/>
          <w:lang w:val="en-US" w:eastAsia="zh-CN"/>
        </w:rPr>
        <w:t>公用</w:t>
      </w:r>
      <w:r>
        <w:rPr>
          <w:rFonts w:hint="eastAsia"/>
          <w:color w:val="auto"/>
          <w:highlight w:val="none"/>
        </w:rPr>
        <w:t>系统的重要监控信号、仪表气压</w:t>
      </w:r>
      <w:r>
        <w:rPr>
          <w:rFonts w:hint="eastAsia"/>
          <w:color w:val="auto"/>
          <w:highlight w:val="none"/>
          <w:lang w:val="en-US" w:eastAsia="zh-CN"/>
        </w:rPr>
        <w:t>力</w:t>
      </w:r>
      <w:r>
        <w:rPr>
          <w:rFonts w:hint="eastAsia"/>
          <w:color w:val="auto"/>
          <w:highlight w:val="none"/>
        </w:rPr>
        <w:t>低低信号、供电系统故障信号等</w:t>
      </w:r>
      <w:r>
        <w:rPr>
          <w:rFonts w:hint="eastAsia"/>
          <w:color w:val="auto"/>
          <w:highlight w:val="none"/>
          <w:lang w:val="en-US" w:eastAsia="zh-CN"/>
        </w:rPr>
        <w:t>触发</w:t>
      </w:r>
      <w:r>
        <w:rPr>
          <w:rFonts w:hint="eastAsia"/>
          <w:color w:val="auto"/>
          <w:highlight w:val="none"/>
        </w:rPr>
        <w:t>。</w:t>
      </w:r>
    </w:p>
    <w:p w14:paraId="5C3929DC">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生产关断</w:t>
      </w:r>
    </w:p>
    <w:p w14:paraId="2BEE72A2">
      <w:pPr>
        <w:pStyle w:val="328"/>
        <w:numPr>
          <w:ilvl w:val="-1"/>
          <w:numId w:val="0"/>
        </w:numPr>
        <w:ind w:firstLine="420" w:firstLineChars="200"/>
        <w:rPr>
          <w:rFonts w:hint="default" w:ascii="Times New Roman" w:hAnsi="Times New Roman" w:cs="Times New Roman"/>
          <w:color w:val="auto"/>
          <w:highlight w:val="none"/>
        </w:rPr>
      </w:pPr>
      <w:r>
        <w:rPr>
          <w:rFonts w:hint="eastAsia"/>
          <w:color w:val="auto"/>
          <w:highlight w:val="none"/>
        </w:rPr>
        <w:t>生产关断</w:t>
      </w:r>
      <w:r>
        <w:rPr>
          <w:rFonts w:hint="eastAsia"/>
          <w:color w:val="auto"/>
          <w:highlight w:val="none"/>
          <w:lang w:val="en-US" w:eastAsia="zh-CN"/>
        </w:rPr>
        <w:t>应</w:t>
      </w:r>
      <w:r>
        <w:rPr>
          <w:rFonts w:hint="eastAsia"/>
          <w:color w:val="auto"/>
          <w:highlight w:val="none"/>
        </w:rPr>
        <w:t>由生产系统的重要监控信号、海底管</w:t>
      </w:r>
      <w:r>
        <w:rPr>
          <w:rFonts w:hint="eastAsia"/>
          <w:color w:val="auto"/>
          <w:highlight w:val="none"/>
          <w:lang w:val="en-US" w:eastAsia="zh-CN"/>
        </w:rPr>
        <w:t>道</w:t>
      </w:r>
      <w:r>
        <w:rPr>
          <w:rFonts w:hint="eastAsia"/>
          <w:color w:val="auto"/>
          <w:highlight w:val="none"/>
        </w:rPr>
        <w:t>压力高高</w:t>
      </w:r>
      <w:r>
        <w:rPr>
          <w:rFonts w:hint="eastAsia"/>
          <w:color w:val="auto"/>
          <w:highlight w:val="none"/>
          <w:lang w:val="en-US" w:eastAsia="zh-CN"/>
        </w:rPr>
        <w:t>或</w:t>
      </w:r>
      <w:r>
        <w:rPr>
          <w:rFonts w:hint="eastAsia"/>
          <w:color w:val="auto"/>
          <w:highlight w:val="none"/>
        </w:rPr>
        <w:t>低低信号等</w:t>
      </w:r>
      <w:r>
        <w:rPr>
          <w:rFonts w:hint="eastAsia"/>
          <w:color w:val="auto"/>
          <w:highlight w:val="none"/>
          <w:lang w:val="en-US" w:eastAsia="zh-CN"/>
        </w:rPr>
        <w:t>触发</w:t>
      </w:r>
      <w:r>
        <w:rPr>
          <w:rFonts w:hint="eastAsia"/>
          <w:color w:val="auto"/>
          <w:highlight w:val="none"/>
        </w:rPr>
        <w:t>。</w:t>
      </w:r>
    </w:p>
    <w:p w14:paraId="051EB0C7">
      <w:pPr>
        <w:pStyle w:val="327"/>
        <w:ind w:left="0"/>
        <w:rPr>
          <w:rFonts w:hint="default" w:ascii="Times New Roman" w:hAnsi="Times New Roman" w:cs="Times New Roman"/>
          <w:color w:val="auto"/>
          <w:highlight w:val="none"/>
        </w:rPr>
      </w:pPr>
      <w:r>
        <w:rPr>
          <w:rFonts w:hint="default" w:ascii="Times New Roman" w:hAnsi="Times New Roman" w:cs="Times New Roman"/>
          <w:color w:val="auto"/>
          <w:highlight w:val="none"/>
        </w:rPr>
        <w:t>单元关断</w:t>
      </w:r>
    </w:p>
    <w:p w14:paraId="58C6AFA2">
      <w:pPr>
        <w:pStyle w:val="328"/>
        <w:numPr>
          <w:ilvl w:val="4"/>
          <w:numId w:val="0"/>
        </w:numPr>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单元关断</w:t>
      </w:r>
      <w:r>
        <w:rPr>
          <w:rFonts w:hint="eastAsia" w:ascii="Times New Roman" w:hAnsi="Times New Roman" w:cs="Times New Roman"/>
          <w:color w:val="auto"/>
          <w:highlight w:val="none"/>
          <w:lang w:val="en-US" w:eastAsia="zh-CN"/>
        </w:rPr>
        <w:t>应</w:t>
      </w:r>
      <w:r>
        <w:rPr>
          <w:rFonts w:hint="default" w:ascii="Times New Roman" w:hAnsi="Times New Roman" w:cs="Times New Roman"/>
          <w:color w:val="auto"/>
          <w:highlight w:val="none"/>
        </w:rPr>
        <w:t>由单台设备或单系列设备故障信号触发。</w:t>
      </w:r>
    </w:p>
    <w:p w14:paraId="5F9CFA1F">
      <w:pPr>
        <w:pStyle w:val="260"/>
        <w:outlineLvl w:val="1"/>
        <w:rPr>
          <w:rFonts w:hint="default" w:ascii="Times New Roman" w:hAnsi="Times New Roman" w:cs="Times New Roman"/>
          <w:color w:val="auto"/>
          <w:highlight w:val="none"/>
        </w:rPr>
      </w:pPr>
      <w:bookmarkStart w:id="1343" w:name="_Toc28009"/>
      <w:bookmarkStart w:id="1344" w:name="_Toc9258"/>
      <w:bookmarkStart w:id="1345" w:name="_Toc20334"/>
      <w:bookmarkStart w:id="1346" w:name="_Toc24650"/>
      <w:bookmarkStart w:id="1347" w:name="_Toc183727723"/>
      <w:bookmarkStart w:id="1348" w:name="_Toc3796"/>
      <w:bookmarkStart w:id="1349" w:name="_Toc32762"/>
      <w:bookmarkStart w:id="1350" w:name="_Toc15683"/>
      <w:bookmarkStart w:id="1351" w:name="_Toc29288"/>
      <w:bookmarkStart w:id="1352" w:name="_Toc31725"/>
      <w:r>
        <w:rPr>
          <w:rFonts w:hint="default" w:ascii="Times New Roman" w:hAnsi="Times New Roman" w:cs="Times New Roman"/>
          <w:color w:val="auto"/>
          <w:highlight w:val="none"/>
        </w:rPr>
        <w:t>火灾与可燃、有毒气体探测报警系统</w:t>
      </w:r>
      <w:bookmarkEnd w:id="1343"/>
      <w:bookmarkEnd w:id="1344"/>
      <w:bookmarkEnd w:id="1345"/>
      <w:bookmarkEnd w:id="1346"/>
      <w:bookmarkEnd w:id="1347"/>
      <w:bookmarkEnd w:id="1348"/>
      <w:bookmarkEnd w:id="1349"/>
      <w:bookmarkEnd w:id="1350"/>
      <w:bookmarkEnd w:id="1351"/>
      <w:bookmarkEnd w:id="1352"/>
    </w:p>
    <w:p w14:paraId="43C3997A">
      <w:pPr>
        <w:pStyle w:val="261"/>
        <w:tabs>
          <w:tab w:val="left" w:pos="0"/>
        </w:tabs>
        <w:spacing w:before="156" w:after="156"/>
        <w:outlineLvl w:val="2"/>
        <w:rPr>
          <w:rFonts w:hint="default" w:ascii="Times New Roman" w:hAnsi="Times New Roman" w:cs="Times New Roman"/>
          <w:color w:val="auto"/>
          <w:highlight w:val="none"/>
        </w:rPr>
      </w:pPr>
      <w:bookmarkStart w:id="1353" w:name="_Toc15969"/>
      <w:bookmarkStart w:id="1354" w:name="_Toc2900"/>
      <w:bookmarkStart w:id="1355" w:name="_Toc13980"/>
      <w:bookmarkStart w:id="1356" w:name="_Toc12702"/>
      <w:bookmarkStart w:id="1357" w:name="_Toc21494"/>
      <w:bookmarkStart w:id="1358" w:name="_Toc12416"/>
      <w:bookmarkStart w:id="1359" w:name="_Toc3663"/>
      <w:r>
        <w:rPr>
          <w:rFonts w:hint="eastAsia" w:ascii="Times New Roman" w:cs="Times New Roman"/>
          <w:color w:val="auto"/>
          <w:highlight w:val="none"/>
          <w:lang w:eastAsia="zh-CN"/>
        </w:rPr>
        <w:t>通用要求</w:t>
      </w:r>
      <w:bookmarkEnd w:id="1353"/>
      <w:bookmarkEnd w:id="1354"/>
      <w:bookmarkEnd w:id="1355"/>
      <w:bookmarkEnd w:id="1356"/>
      <w:bookmarkEnd w:id="1357"/>
      <w:bookmarkEnd w:id="1358"/>
      <w:bookmarkEnd w:id="1359"/>
    </w:p>
    <w:p w14:paraId="34B8556E">
      <w:pPr>
        <w:pStyle w:val="327"/>
        <w:rPr>
          <w:rFonts w:hint="eastAsia"/>
          <w:color w:val="auto"/>
          <w:highlight w:val="none"/>
        </w:rPr>
      </w:pPr>
      <w:r>
        <w:rPr>
          <w:rFonts w:hint="eastAsia"/>
          <w:color w:val="auto"/>
          <w:highlight w:val="none"/>
        </w:rPr>
        <w:t>火灾与可燃、有毒气体探测报警系统（</w:t>
      </w:r>
      <w:r>
        <w:rPr>
          <w:rFonts w:hint="eastAsia"/>
          <w:color w:val="auto"/>
          <w:highlight w:val="none"/>
          <w:lang w:val="en-US" w:eastAsia="zh-CN"/>
        </w:rPr>
        <w:t>以下</w:t>
      </w:r>
      <w:r>
        <w:rPr>
          <w:rFonts w:hint="eastAsia"/>
          <w:color w:val="auto"/>
          <w:highlight w:val="none"/>
        </w:rPr>
        <w:t>简称</w:t>
      </w:r>
      <w:r>
        <w:rPr>
          <w:rFonts w:hint="eastAsia"/>
          <w:color w:val="auto"/>
          <w:highlight w:val="none"/>
          <w:lang w:eastAsia="zh-CN"/>
        </w:rPr>
        <w:t>“</w:t>
      </w:r>
      <w:r>
        <w:rPr>
          <w:rFonts w:hint="eastAsia"/>
          <w:color w:val="auto"/>
          <w:highlight w:val="none"/>
        </w:rPr>
        <w:t>火气系统</w:t>
      </w:r>
      <w:r>
        <w:rPr>
          <w:rFonts w:hint="eastAsia"/>
          <w:color w:val="auto"/>
          <w:highlight w:val="none"/>
          <w:lang w:eastAsia="zh-CN"/>
        </w:rPr>
        <w:t>”</w:t>
      </w:r>
      <w:r>
        <w:rPr>
          <w:rFonts w:hint="eastAsia"/>
          <w:color w:val="auto"/>
          <w:highlight w:val="none"/>
        </w:rPr>
        <w:t>）</w:t>
      </w:r>
      <w:r>
        <w:rPr>
          <w:rFonts w:hint="eastAsia"/>
          <w:color w:val="auto"/>
          <w:highlight w:val="none"/>
          <w:lang w:val="en-US" w:eastAsia="zh-CN"/>
        </w:rPr>
        <w:t>应</w:t>
      </w:r>
      <w:r>
        <w:rPr>
          <w:rFonts w:hint="eastAsia"/>
          <w:color w:val="auto"/>
          <w:highlight w:val="none"/>
        </w:rPr>
        <w:t>包括火气控制系统、火气探测设备和报警系统，以及与应急关断系统、消防系统和暖通系统的接口。</w:t>
      </w:r>
    </w:p>
    <w:p w14:paraId="391DB9DA">
      <w:pPr>
        <w:pStyle w:val="327"/>
        <w:rPr>
          <w:rFonts w:hint="eastAsia" w:ascii="宋体" w:hAnsi="宋体" w:eastAsia="宋体" w:cs="宋体"/>
          <w:color w:val="auto"/>
          <w:highlight w:val="none"/>
        </w:rPr>
      </w:pPr>
      <w:r>
        <w:rPr>
          <w:rFonts w:hint="default" w:ascii="Times New Roman" w:hAnsi="Times New Roman" w:cs="Times New Roman"/>
          <w:color w:val="auto"/>
          <w:highlight w:val="none"/>
        </w:rPr>
        <w:t>火灾与可燃、有毒气体探测器的选型及设置地点、数量，应保证对可能发生火灾和可燃、有毒气体泄漏位置进行连续监</w:t>
      </w:r>
      <w:r>
        <w:rPr>
          <w:rFonts w:hint="eastAsia" w:ascii="宋体" w:hAnsi="宋体" w:eastAsia="宋体" w:cs="宋体"/>
          <w:color w:val="auto"/>
          <w:highlight w:val="none"/>
        </w:rPr>
        <w:t>测。</w:t>
      </w:r>
    </w:p>
    <w:p w14:paraId="5A878E9A">
      <w:pPr>
        <w:pStyle w:val="327"/>
        <w:rPr>
          <w:rFonts w:hint="eastAsia" w:ascii="宋体" w:hAnsi="宋体" w:eastAsia="宋体" w:cs="宋体"/>
          <w:color w:val="auto"/>
          <w:highlight w:val="none"/>
        </w:rPr>
      </w:pPr>
      <w:r>
        <w:rPr>
          <w:rFonts w:hint="eastAsia" w:ascii="宋体" w:hAnsi="宋体" w:eastAsia="宋体" w:cs="宋体"/>
          <w:color w:val="auto"/>
          <w:highlight w:val="none"/>
        </w:rPr>
        <w:t>火灾与可燃、有毒气体探测器应按</w:t>
      </w:r>
      <w:r>
        <w:rPr>
          <w:rFonts w:hint="eastAsia" w:ascii="宋体" w:hAnsi="宋体" w:eastAsia="宋体" w:cs="宋体"/>
          <w:color w:val="auto"/>
          <w:highlight w:val="none"/>
          <w:lang w:val="en-US" w:eastAsia="zh-CN"/>
        </w:rPr>
        <w:t>设计要求</w:t>
      </w:r>
      <w:r>
        <w:rPr>
          <w:rFonts w:hint="eastAsia" w:ascii="宋体" w:hAnsi="宋体" w:eastAsia="宋体" w:cs="宋体"/>
          <w:color w:val="auto"/>
          <w:highlight w:val="none"/>
        </w:rPr>
        <w:t>进行标定试验。火气系统应</w:t>
      </w:r>
      <w:r>
        <w:rPr>
          <w:rFonts w:hint="eastAsia" w:ascii="宋体" w:hAnsi="宋体" w:eastAsia="宋体" w:cs="宋体"/>
          <w:color w:val="auto"/>
          <w:highlight w:val="none"/>
          <w:lang w:val="en-US" w:eastAsia="zh-CN"/>
        </w:rPr>
        <w:t>能</w:t>
      </w:r>
      <w:r>
        <w:rPr>
          <w:rFonts w:hint="eastAsia" w:ascii="宋体" w:hAnsi="宋体" w:eastAsia="宋体" w:cs="宋体"/>
          <w:color w:val="auto"/>
          <w:highlight w:val="none"/>
        </w:rPr>
        <w:t>进行自检和故障报警。</w:t>
      </w:r>
    </w:p>
    <w:p w14:paraId="6778D318">
      <w:pPr>
        <w:pStyle w:val="327"/>
        <w:rPr>
          <w:rFonts w:hint="eastAsia" w:ascii="宋体" w:hAnsi="宋体" w:eastAsia="宋体" w:cs="宋体"/>
          <w:color w:val="auto"/>
          <w:highlight w:val="none"/>
        </w:rPr>
      </w:pPr>
      <w:r>
        <w:rPr>
          <w:rFonts w:hint="eastAsia" w:ascii="宋体" w:hAnsi="宋体" w:eastAsia="宋体" w:cs="宋体"/>
          <w:color w:val="auto"/>
          <w:highlight w:val="none"/>
        </w:rPr>
        <w:t>如火气系统具有自动启动灭火系统功能时，应</w:t>
      </w:r>
      <w:r>
        <w:rPr>
          <w:rFonts w:hint="eastAsia" w:ascii="宋体" w:hAnsi="宋体" w:eastAsia="宋体" w:cs="宋体"/>
          <w:color w:val="auto"/>
          <w:highlight w:val="none"/>
          <w:lang w:val="en-US" w:eastAsia="zh-CN"/>
        </w:rPr>
        <w:t>采取</w:t>
      </w:r>
      <w:r>
        <w:rPr>
          <w:rFonts w:hint="eastAsia" w:ascii="宋体" w:hAnsi="宋体" w:eastAsia="宋体" w:cs="宋体"/>
          <w:color w:val="auto"/>
          <w:highlight w:val="none"/>
        </w:rPr>
        <w:t>防止误动作的措施</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有人工作和休息的船体舱室不</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设置自动释放灭火剂功能。</w:t>
      </w:r>
    </w:p>
    <w:p w14:paraId="300B66CE">
      <w:pPr>
        <w:pStyle w:val="261"/>
        <w:spacing w:before="156" w:after="156"/>
        <w:outlineLvl w:val="2"/>
        <w:rPr>
          <w:rFonts w:hint="default" w:ascii="Times New Roman" w:hAnsi="Times New Roman" w:cs="Times New Roman"/>
          <w:color w:val="auto"/>
          <w:highlight w:val="none"/>
        </w:rPr>
      </w:pPr>
      <w:bookmarkStart w:id="1360" w:name="_Toc23339"/>
      <w:bookmarkStart w:id="1361" w:name="_Toc27398"/>
      <w:bookmarkStart w:id="1362" w:name="_Toc3717"/>
      <w:bookmarkStart w:id="1363" w:name="_Toc26631"/>
      <w:bookmarkStart w:id="1364" w:name="_Toc16964"/>
      <w:bookmarkStart w:id="1365" w:name="_Toc10878"/>
      <w:bookmarkStart w:id="1366" w:name="_Toc26287"/>
      <w:bookmarkStart w:id="1367" w:name="_Toc293"/>
      <w:r>
        <w:rPr>
          <w:rFonts w:hint="default" w:ascii="Times New Roman" w:hAnsi="Times New Roman" w:cs="Times New Roman"/>
          <w:color w:val="auto"/>
          <w:highlight w:val="none"/>
        </w:rPr>
        <w:t>火灾探测报警系统</w:t>
      </w:r>
      <w:bookmarkEnd w:id="1360"/>
      <w:bookmarkEnd w:id="1361"/>
      <w:bookmarkEnd w:id="1362"/>
      <w:bookmarkEnd w:id="1363"/>
      <w:bookmarkEnd w:id="1364"/>
      <w:bookmarkEnd w:id="1365"/>
      <w:bookmarkEnd w:id="1366"/>
    </w:p>
    <w:p w14:paraId="688C0E4C">
      <w:pPr>
        <w:pStyle w:val="327"/>
        <w:rPr>
          <w:rFonts w:hint="default" w:ascii="Times New Roman" w:hAnsi="Times New Roman" w:cs="Times New Roman"/>
          <w:color w:val="auto"/>
          <w:highlight w:val="none"/>
        </w:rPr>
      </w:pPr>
      <w:r>
        <w:rPr>
          <w:rFonts w:hint="eastAsia"/>
          <w:color w:val="auto"/>
          <w:highlight w:val="none"/>
        </w:rPr>
        <w:t>在生活区</w:t>
      </w:r>
      <w:r>
        <w:rPr>
          <w:rFonts w:hint="eastAsia"/>
          <w:color w:val="auto"/>
          <w:highlight w:val="none"/>
          <w:lang w:eastAsia="zh-CN"/>
        </w:rPr>
        <w:t>、</w:t>
      </w:r>
      <w:r>
        <w:rPr>
          <w:rFonts w:hint="eastAsia"/>
          <w:color w:val="auto"/>
          <w:highlight w:val="none"/>
          <w:lang w:val="en-US" w:eastAsia="zh-CN"/>
        </w:rPr>
        <w:t>生产</w:t>
      </w:r>
      <w:r>
        <w:rPr>
          <w:rFonts w:hint="eastAsia"/>
          <w:color w:val="auto"/>
          <w:highlight w:val="none"/>
        </w:rPr>
        <w:t>区</w:t>
      </w:r>
      <w:r>
        <w:rPr>
          <w:rFonts w:hint="eastAsia"/>
          <w:color w:val="auto"/>
          <w:highlight w:val="none"/>
          <w:lang w:eastAsia="zh-CN"/>
        </w:rPr>
        <w:t>、</w:t>
      </w:r>
      <w:r>
        <w:rPr>
          <w:rFonts w:hint="eastAsia"/>
          <w:color w:val="auto"/>
          <w:highlight w:val="none"/>
          <w:lang w:val="en-US" w:eastAsia="zh-CN"/>
        </w:rPr>
        <w:t>公用区</w:t>
      </w:r>
      <w:r>
        <w:rPr>
          <w:rFonts w:hint="eastAsia"/>
          <w:color w:val="auto"/>
          <w:highlight w:val="none"/>
        </w:rPr>
        <w:t>和</w:t>
      </w:r>
      <w:r>
        <w:rPr>
          <w:rFonts w:hint="eastAsia"/>
          <w:color w:val="auto"/>
          <w:highlight w:val="none"/>
          <w:lang w:val="en-US" w:eastAsia="zh-CN"/>
        </w:rPr>
        <w:t>现场</w:t>
      </w:r>
      <w:r>
        <w:rPr>
          <w:rFonts w:hint="eastAsia"/>
          <w:color w:val="auto"/>
          <w:highlight w:val="none"/>
        </w:rPr>
        <w:t>房间应安装热探测器、烟探测器</w:t>
      </w:r>
      <w:r>
        <w:rPr>
          <w:rFonts w:hint="eastAsia"/>
          <w:color w:val="auto"/>
          <w:highlight w:val="none"/>
          <w:lang w:eastAsia="zh-CN"/>
        </w:rPr>
        <w:t>、</w:t>
      </w:r>
      <w:r>
        <w:rPr>
          <w:rFonts w:hint="eastAsia"/>
          <w:color w:val="auto"/>
          <w:highlight w:val="none"/>
        </w:rPr>
        <w:t>火焰探测器、易熔塞回路及</w:t>
      </w:r>
      <w:r>
        <w:rPr>
          <w:rFonts w:hint="eastAsia"/>
          <w:color w:val="auto"/>
          <w:highlight w:val="none"/>
          <w:lang w:eastAsia="zh-CN"/>
        </w:rPr>
        <w:t>其他</w:t>
      </w:r>
      <w:r>
        <w:rPr>
          <w:rFonts w:hint="eastAsia"/>
          <w:color w:val="auto"/>
          <w:highlight w:val="none"/>
        </w:rPr>
        <w:t>类型的探测器，</w:t>
      </w:r>
      <w:r>
        <w:rPr>
          <w:rFonts w:hint="eastAsia"/>
          <w:color w:val="auto"/>
          <w:highlight w:val="none"/>
          <w:lang w:val="en-US" w:eastAsia="zh-CN"/>
        </w:rPr>
        <w:t>并应</w:t>
      </w:r>
      <w:r>
        <w:rPr>
          <w:rFonts w:hint="eastAsia"/>
          <w:color w:val="auto"/>
          <w:highlight w:val="none"/>
        </w:rPr>
        <w:t>在火气系统和现场进行报警</w:t>
      </w:r>
      <w:r>
        <w:rPr>
          <w:rFonts w:hint="eastAsia"/>
          <w:color w:val="auto"/>
          <w:highlight w:val="none"/>
          <w:lang w:val="en-US" w:eastAsia="zh-CN"/>
        </w:rPr>
        <w:t>和关断</w:t>
      </w:r>
      <w:r>
        <w:rPr>
          <w:rFonts w:hint="eastAsia"/>
          <w:color w:val="auto"/>
          <w:highlight w:val="none"/>
          <w:lang w:eastAsia="zh-CN"/>
        </w:rPr>
        <w:t>，</w:t>
      </w:r>
      <w:r>
        <w:rPr>
          <w:rFonts w:hint="eastAsia"/>
          <w:color w:val="auto"/>
          <w:highlight w:val="none"/>
        </w:rPr>
        <w:t>切断火灾区域的油气流</w:t>
      </w:r>
      <w:r>
        <w:rPr>
          <w:rFonts w:hint="eastAsia"/>
          <w:color w:val="auto"/>
          <w:highlight w:val="none"/>
          <w:lang w:eastAsia="zh-CN"/>
        </w:rPr>
        <w:t>、</w:t>
      </w:r>
      <w:r>
        <w:rPr>
          <w:rFonts w:hint="eastAsia"/>
          <w:color w:val="auto"/>
          <w:highlight w:val="none"/>
        </w:rPr>
        <w:t>该区域的通风系统</w:t>
      </w:r>
      <w:r>
        <w:rPr>
          <w:rFonts w:hint="eastAsia"/>
          <w:color w:val="auto"/>
          <w:highlight w:val="none"/>
          <w:lang w:eastAsia="zh-CN"/>
        </w:rPr>
        <w:t>、</w:t>
      </w:r>
      <w:r>
        <w:rPr>
          <w:rFonts w:hint="eastAsia"/>
          <w:color w:val="auto"/>
          <w:highlight w:val="none"/>
        </w:rPr>
        <w:t>电源</w:t>
      </w:r>
      <w:r>
        <w:rPr>
          <w:rFonts w:hint="eastAsia"/>
          <w:color w:val="auto"/>
          <w:highlight w:val="none"/>
          <w:lang w:eastAsia="zh-CN"/>
        </w:rPr>
        <w:t>，</w:t>
      </w:r>
      <w:r>
        <w:rPr>
          <w:rFonts w:hint="eastAsia"/>
          <w:color w:val="auto"/>
          <w:highlight w:val="none"/>
        </w:rPr>
        <w:t>停止火灾区域设备的运转及燃油供应（不包括应急电源及消防泵）。</w:t>
      </w:r>
    </w:p>
    <w:p w14:paraId="5488625C">
      <w:pPr>
        <w:pStyle w:val="327"/>
        <w:rPr>
          <w:rFonts w:hint="default" w:ascii="Times New Roman" w:hAnsi="Times New Roman" w:cs="Times New Roman"/>
          <w:color w:val="auto"/>
          <w:highlight w:val="none"/>
        </w:rPr>
      </w:pPr>
      <w:r>
        <w:rPr>
          <w:rFonts w:hint="eastAsia" w:ascii="Times New Roman" w:eastAsia="宋体"/>
          <w:color w:val="auto"/>
          <w:highlight w:val="none"/>
        </w:rPr>
        <w:t>应在人</w:t>
      </w:r>
      <w:r>
        <w:rPr>
          <w:rFonts w:hint="eastAsia" w:ascii="Times New Roman" w:eastAsia="宋体"/>
          <w:color w:val="auto"/>
          <w:highlight w:val="none"/>
          <w:lang w:val="en-US" w:eastAsia="zh-CN"/>
        </w:rPr>
        <w:t>员</w:t>
      </w:r>
      <w:r>
        <w:rPr>
          <w:rFonts w:hint="eastAsia" w:ascii="Times New Roman" w:eastAsia="宋体"/>
          <w:color w:val="auto"/>
          <w:highlight w:val="none"/>
        </w:rPr>
        <w:t>易于到达的地</w:t>
      </w:r>
      <w:r>
        <w:rPr>
          <w:rFonts w:hint="eastAsia" w:ascii="Times New Roman" w:eastAsia="宋体"/>
          <w:color w:val="auto"/>
          <w:highlight w:val="none"/>
          <w:lang w:val="en-US" w:eastAsia="zh-CN"/>
        </w:rPr>
        <w:t>点</w:t>
      </w:r>
      <w:r>
        <w:rPr>
          <w:rFonts w:hint="eastAsia" w:ascii="Times New Roman" w:eastAsia="宋体"/>
          <w:color w:val="auto"/>
          <w:highlight w:val="none"/>
        </w:rPr>
        <w:t>和逃生通道的关键部位设</w:t>
      </w:r>
      <w:r>
        <w:rPr>
          <w:rFonts w:hint="eastAsia" w:ascii="Times New Roman" w:eastAsia="宋体"/>
          <w:color w:val="auto"/>
          <w:highlight w:val="none"/>
          <w:lang w:val="en-US" w:eastAsia="zh-CN"/>
        </w:rPr>
        <w:t>置</w:t>
      </w:r>
      <w:r>
        <w:rPr>
          <w:rFonts w:hint="eastAsia" w:ascii="Times New Roman" w:eastAsia="宋体"/>
          <w:color w:val="auto"/>
          <w:highlight w:val="none"/>
        </w:rPr>
        <w:t>手动火灾报警按钮</w:t>
      </w:r>
      <w:r>
        <w:rPr>
          <w:rFonts w:hint="eastAsia" w:ascii="Times New Roman" w:eastAsia="宋体"/>
          <w:color w:val="auto"/>
          <w:highlight w:val="none"/>
          <w:lang w:eastAsia="zh-CN"/>
        </w:rPr>
        <w:t>，</w:t>
      </w:r>
      <w:r>
        <w:rPr>
          <w:rFonts w:hint="eastAsia" w:ascii="Times New Roman" w:eastAsia="宋体"/>
          <w:color w:val="auto"/>
          <w:highlight w:val="none"/>
          <w:lang w:val="en-US" w:eastAsia="zh-CN"/>
        </w:rPr>
        <w:t>按钮</w:t>
      </w:r>
      <w:r>
        <w:rPr>
          <w:rFonts w:hint="eastAsia"/>
          <w:color w:val="auto"/>
          <w:highlight w:val="none"/>
        </w:rPr>
        <w:t>应配</w:t>
      </w:r>
      <w:r>
        <w:rPr>
          <w:rFonts w:hint="eastAsia"/>
          <w:color w:val="auto"/>
          <w:highlight w:val="none"/>
          <w:lang w:val="en-US" w:eastAsia="zh-CN"/>
        </w:rPr>
        <w:t>备清晰标识</w:t>
      </w:r>
      <w:r>
        <w:rPr>
          <w:rFonts w:hint="eastAsia"/>
          <w:color w:val="auto"/>
          <w:highlight w:val="none"/>
        </w:rPr>
        <w:t>和防误操作外壳</w:t>
      </w:r>
      <w:r>
        <w:rPr>
          <w:rFonts w:hint="eastAsia" w:ascii="Times New Roman" w:eastAsia="宋体"/>
          <w:color w:val="auto"/>
          <w:highlight w:val="none"/>
          <w:lang w:eastAsia="zh-CN"/>
        </w:rPr>
        <w:t>。</w:t>
      </w:r>
    </w:p>
    <w:p w14:paraId="50B0C8CA">
      <w:pPr>
        <w:pStyle w:val="261"/>
        <w:spacing w:before="156" w:after="156"/>
        <w:outlineLvl w:val="2"/>
        <w:rPr>
          <w:rFonts w:hint="default" w:ascii="Times New Roman" w:hAnsi="Times New Roman" w:cs="Times New Roman"/>
          <w:color w:val="auto"/>
          <w:highlight w:val="none"/>
        </w:rPr>
      </w:pPr>
      <w:bookmarkStart w:id="1368" w:name="_Toc29734"/>
      <w:bookmarkStart w:id="1369" w:name="_Toc13728"/>
      <w:bookmarkStart w:id="1370" w:name="_Toc24061"/>
      <w:bookmarkStart w:id="1371" w:name="_Toc1648"/>
      <w:bookmarkStart w:id="1372" w:name="_Toc15464"/>
      <w:bookmarkStart w:id="1373" w:name="_Toc12594"/>
      <w:bookmarkStart w:id="1374" w:name="_Toc842"/>
      <w:r>
        <w:rPr>
          <w:rFonts w:hint="default" w:ascii="Times New Roman" w:hAnsi="Times New Roman" w:cs="Times New Roman"/>
          <w:color w:val="auto"/>
          <w:highlight w:val="none"/>
        </w:rPr>
        <w:t>可燃、有毒气体探测报警系统</w:t>
      </w:r>
      <w:bookmarkEnd w:id="1367"/>
      <w:bookmarkEnd w:id="1368"/>
      <w:bookmarkEnd w:id="1369"/>
      <w:bookmarkEnd w:id="1370"/>
      <w:bookmarkEnd w:id="1371"/>
      <w:bookmarkEnd w:id="1372"/>
      <w:bookmarkEnd w:id="1373"/>
      <w:bookmarkEnd w:id="1374"/>
    </w:p>
    <w:p w14:paraId="13BCFD98">
      <w:pPr>
        <w:pStyle w:val="327"/>
        <w:rPr>
          <w:rFonts w:hint="eastAsia" w:ascii="宋体" w:hAnsi="宋体" w:eastAsia="宋体" w:cs="宋体"/>
          <w:color w:val="auto"/>
          <w:highlight w:val="none"/>
        </w:rPr>
      </w:pPr>
      <w:r>
        <w:rPr>
          <w:rFonts w:hint="eastAsia" w:ascii="宋体" w:hAnsi="宋体" w:eastAsia="宋体" w:cs="宋体"/>
          <w:color w:val="auto"/>
          <w:highlight w:val="none"/>
        </w:rPr>
        <w:t>可燃、有毒气体探测器应安装在泄漏源附近和可燃、有毒气体容易聚积的地方及通风和助燃空气的入口处。</w:t>
      </w:r>
    </w:p>
    <w:p w14:paraId="46ECC3F1">
      <w:pPr>
        <w:pStyle w:val="327"/>
        <w:rPr>
          <w:rFonts w:hint="eastAsia" w:ascii="宋体" w:hAnsi="宋体" w:eastAsia="宋体" w:cs="宋体"/>
          <w:color w:val="auto"/>
          <w:highlight w:val="none"/>
        </w:rPr>
      </w:pPr>
      <w:r>
        <w:rPr>
          <w:rFonts w:hint="eastAsia" w:ascii="宋体" w:hAnsi="宋体" w:eastAsia="宋体" w:cs="宋体"/>
          <w:color w:val="auto"/>
          <w:highlight w:val="none"/>
        </w:rPr>
        <w:t>当探测到的可燃性气体浓度达到爆炸下限的2</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%时，应在火气系统上进行声、光报警；浓度达到爆炸下限的50%时</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在火</w:t>
      </w:r>
      <w:r>
        <w:rPr>
          <w:rFonts w:hint="eastAsia" w:ascii="宋体" w:hAnsi="宋体" w:eastAsia="宋体" w:cs="宋体"/>
          <w:color w:val="auto"/>
          <w:highlight w:val="none"/>
          <w:lang w:val="en-US" w:eastAsia="zh-CN"/>
        </w:rPr>
        <w:t>气系统</w:t>
      </w:r>
      <w:r>
        <w:rPr>
          <w:rFonts w:hint="eastAsia" w:ascii="宋体" w:hAnsi="宋体" w:eastAsia="宋体" w:cs="宋体"/>
          <w:color w:val="auto"/>
          <w:highlight w:val="none"/>
        </w:rPr>
        <w:t>上进行声、光报警和相应的关断。</w:t>
      </w:r>
    </w:p>
    <w:p w14:paraId="5087DD1B">
      <w:pPr>
        <w:pStyle w:val="327"/>
        <w:jc w:val="both"/>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当空气中硫化氢浓度达到职业接触限值的100%及以上，或工艺管线中硫化氢浓度达到100ppm及以上时，应在硫化氢气体泄漏可能扩散到的区域设置硫化氢探测器。</w:t>
      </w:r>
    </w:p>
    <w:p w14:paraId="6F24D049">
      <w:pPr>
        <w:pStyle w:val="327"/>
        <w:rPr>
          <w:rFonts w:hint="eastAsia" w:ascii="宋体" w:hAnsi="宋体" w:eastAsia="宋体" w:cs="宋体"/>
          <w:color w:val="auto"/>
          <w:highlight w:val="none"/>
        </w:rPr>
      </w:pPr>
      <w:r>
        <w:rPr>
          <w:rFonts w:hint="eastAsia" w:ascii="宋体" w:hAnsi="宋体" w:eastAsia="宋体" w:cs="宋体"/>
          <w:color w:val="auto"/>
          <w:highlight w:val="none"/>
        </w:rPr>
        <w:t>当探测到的</w:t>
      </w:r>
      <w:r>
        <w:rPr>
          <w:rFonts w:hint="eastAsia" w:ascii="宋体" w:hAnsi="宋体" w:eastAsia="宋体" w:cs="宋体"/>
          <w:color w:val="auto"/>
          <w:highlight w:val="none"/>
          <w:lang w:val="en-US" w:eastAsia="zh-CN"/>
        </w:rPr>
        <w:t>硫化氢气体</w:t>
      </w:r>
      <w:r>
        <w:rPr>
          <w:rFonts w:hint="eastAsia" w:ascii="宋体" w:hAnsi="宋体" w:eastAsia="宋体" w:cs="宋体"/>
          <w:color w:val="auto"/>
          <w:highlight w:val="none"/>
        </w:rPr>
        <w:t>浓度达到职业接触限值的100%时，应在火气系统上进行连续的声、光</w:t>
      </w:r>
      <w:r>
        <w:rPr>
          <w:rFonts w:hint="eastAsia" w:ascii="宋体" w:hAnsi="宋体" w:eastAsia="宋体" w:cs="宋体"/>
          <w:color w:val="auto"/>
          <w:highlight w:val="none"/>
          <w:lang w:val="en-US" w:eastAsia="zh-CN"/>
        </w:rPr>
        <w:t>预报警</w:t>
      </w:r>
      <w:r>
        <w:rPr>
          <w:rFonts w:hint="eastAsia" w:ascii="宋体" w:hAnsi="宋体" w:eastAsia="宋体" w:cs="宋体"/>
          <w:color w:val="auto"/>
          <w:highlight w:val="none"/>
        </w:rPr>
        <w:t>；浓度达到职业接触限值的200%时应在火气系统上进行声、光</w:t>
      </w:r>
      <w:r>
        <w:rPr>
          <w:rFonts w:hint="eastAsia" w:ascii="宋体" w:hAnsi="宋体" w:eastAsia="宋体" w:cs="宋体"/>
          <w:color w:val="auto"/>
          <w:highlight w:val="none"/>
          <w:lang w:val="en-US" w:eastAsia="zh-CN"/>
        </w:rPr>
        <w:t>高报警</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浓度达到职业接触限值的</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00%时应在火气系统上进行声、光</w:t>
      </w:r>
      <w:r>
        <w:rPr>
          <w:rFonts w:hint="eastAsia" w:ascii="宋体" w:hAnsi="宋体" w:eastAsia="宋体" w:cs="宋体"/>
          <w:color w:val="auto"/>
          <w:highlight w:val="none"/>
          <w:lang w:val="en-US" w:eastAsia="zh-CN"/>
        </w:rPr>
        <w:t>高高报警</w:t>
      </w:r>
      <w:r>
        <w:rPr>
          <w:rFonts w:hint="eastAsia" w:ascii="宋体" w:hAnsi="宋体" w:eastAsia="宋体" w:cs="宋体"/>
          <w:color w:val="auto"/>
          <w:highlight w:val="none"/>
        </w:rPr>
        <w:t>和相应的关断。</w:t>
      </w:r>
    </w:p>
    <w:p w14:paraId="2463B828">
      <w:pPr>
        <w:pStyle w:val="327"/>
        <w:rPr>
          <w:rFonts w:hint="eastAsia" w:ascii="宋体" w:hAnsi="宋体" w:eastAsia="宋体" w:cs="宋体"/>
          <w:color w:val="auto"/>
          <w:highlight w:val="none"/>
        </w:rPr>
      </w:pPr>
      <w:r>
        <w:rPr>
          <w:rFonts w:hint="eastAsia" w:ascii="宋体" w:hAnsi="宋体" w:eastAsia="宋体" w:cs="宋体"/>
          <w:color w:val="auto"/>
          <w:sz w:val="21"/>
          <w:szCs w:val="21"/>
          <w:highlight w:val="none"/>
        </w:rPr>
        <w:t>当探测到的</w:t>
      </w:r>
      <w:r>
        <w:rPr>
          <w:rFonts w:hint="eastAsia" w:ascii="宋体" w:hAnsi="宋体" w:eastAsia="宋体" w:cs="宋体"/>
          <w:color w:val="auto"/>
          <w:sz w:val="21"/>
          <w:szCs w:val="21"/>
          <w:highlight w:val="none"/>
          <w:lang w:val="en-US" w:eastAsia="zh-CN"/>
        </w:rPr>
        <w:t>其他</w:t>
      </w:r>
      <w:r>
        <w:rPr>
          <w:rFonts w:hint="eastAsia" w:ascii="宋体" w:hAnsi="宋体" w:eastAsia="宋体" w:cs="宋体"/>
          <w:color w:val="auto"/>
          <w:sz w:val="21"/>
          <w:szCs w:val="21"/>
          <w:highlight w:val="none"/>
        </w:rPr>
        <w:t>有毒气体浓度达到职业接触限值的100%和</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或200%时，应在火气系统上进行连续的声和光报警；浓度达到关断设计值时应在火气系统上进行声、光报警和相应的关断</w:t>
      </w:r>
      <w:r>
        <w:rPr>
          <w:rFonts w:hint="eastAsia" w:ascii="宋体" w:hAnsi="宋体" w:eastAsia="宋体" w:cs="宋体"/>
          <w:color w:val="auto"/>
          <w:highlight w:val="none"/>
        </w:rPr>
        <w:t>。</w:t>
      </w:r>
    </w:p>
    <w:p w14:paraId="476793A4">
      <w:pPr>
        <w:pStyle w:val="303"/>
        <w:numPr>
          <w:ilvl w:val="-1"/>
          <w:numId w:val="0"/>
        </w:numPr>
        <w:bidi w:val="0"/>
        <w:ind w:left="0" w:leftChars="0" w:firstLine="360" w:firstLineChars="20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注：</w:t>
      </w:r>
      <w:r>
        <w:rPr>
          <w:rFonts w:hint="eastAsia" w:ascii="宋体" w:hAnsi="宋体" w:eastAsia="宋体" w:cs="宋体"/>
          <w:color w:val="auto"/>
          <w:highlight w:val="none"/>
          <w:lang w:val="en-US" w:eastAsia="zh-CN"/>
        </w:rPr>
        <w:t>职业接触限值指劳动者在职业活动中长期反复接触，不会对绝大多数接触者的健康引起有害作用的容许接触水平。化学因素的职业接触限值分为最高容许浓度、短时间接触容许浓度和时间加权平均容许浓度三种。</w:t>
      </w:r>
    </w:p>
    <w:p w14:paraId="397F464C">
      <w:pPr>
        <w:pStyle w:val="260"/>
        <w:outlineLvl w:val="1"/>
        <w:rPr>
          <w:rFonts w:hint="default" w:ascii="Times New Roman" w:hAnsi="Times New Roman" w:cs="Times New Roman"/>
          <w:color w:val="auto"/>
          <w:highlight w:val="none"/>
        </w:rPr>
      </w:pPr>
      <w:bookmarkStart w:id="1375" w:name="_Toc21809"/>
      <w:bookmarkStart w:id="1376" w:name="_Toc183727724"/>
      <w:bookmarkStart w:id="1377" w:name="_Toc3291"/>
      <w:bookmarkStart w:id="1378" w:name="_Toc10028"/>
      <w:bookmarkStart w:id="1379" w:name="_Toc14639"/>
      <w:bookmarkStart w:id="1380" w:name="_Toc29671"/>
      <w:bookmarkStart w:id="1381" w:name="_Toc2973"/>
      <w:bookmarkStart w:id="1382" w:name="_Toc19154"/>
      <w:bookmarkStart w:id="1383" w:name="_Toc21654"/>
      <w:bookmarkStart w:id="1384" w:name="_Toc11108"/>
      <w:r>
        <w:rPr>
          <w:rFonts w:hint="default" w:ascii="Times New Roman" w:hAnsi="Times New Roman" w:cs="Times New Roman"/>
          <w:color w:val="auto"/>
          <w:highlight w:val="none"/>
        </w:rPr>
        <w:t>控制系统试验要求</w:t>
      </w:r>
      <w:bookmarkEnd w:id="1375"/>
      <w:bookmarkEnd w:id="1376"/>
      <w:bookmarkEnd w:id="1377"/>
      <w:bookmarkEnd w:id="1378"/>
      <w:bookmarkEnd w:id="1379"/>
      <w:bookmarkEnd w:id="1380"/>
      <w:bookmarkEnd w:id="1381"/>
      <w:bookmarkEnd w:id="1382"/>
      <w:bookmarkEnd w:id="1383"/>
      <w:bookmarkEnd w:id="1384"/>
    </w:p>
    <w:p w14:paraId="2D273E24">
      <w:pPr>
        <w:pStyle w:val="261"/>
        <w:tabs>
          <w:tab w:val="left" w:pos="0"/>
        </w:tabs>
        <w:spacing w:before="156" w:after="156"/>
        <w:outlineLvl w:val="2"/>
        <w:rPr>
          <w:rFonts w:hint="default" w:ascii="Times New Roman" w:hAnsi="Times New Roman" w:cs="Times New Roman"/>
          <w:color w:val="auto"/>
          <w:highlight w:val="none"/>
        </w:rPr>
      </w:pPr>
      <w:bookmarkStart w:id="1385" w:name="_Toc24539"/>
      <w:bookmarkStart w:id="1386" w:name="_Toc2019"/>
      <w:bookmarkStart w:id="1387" w:name="_Toc14833"/>
      <w:bookmarkStart w:id="1388" w:name="_Toc20372"/>
      <w:bookmarkStart w:id="1389" w:name="_Toc28393"/>
      <w:bookmarkStart w:id="1390" w:name="_Toc8968"/>
      <w:bookmarkStart w:id="1391" w:name="_Toc9760"/>
      <w:bookmarkStart w:id="1392" w:name="_Toc22457"/>
      <w:bookmarkStart w:id="1393" w:name="_Toc26558"/>
      <w:r>
        <w:rPr>
          <w:rFonts w:hint="default" w:ascii="Times New Roman" w:hAnsi="Times New Roman" w:cs="Times New Roman"/>
          <w:color w:val="auto"/>
          <w:highlight w:val="none"/>
        </w:rPr>
        <w:t>出厂试验</w:t>
      </w:r>
      <w:bookmarkEnd w:id="1385"/>
      <w:bookmarkEnd w:id="1386"/>
      <w:bookmarkEnd w:id="1387"/>
      <w:bookmarkEnd w:id="1388"/>
      <w:bookmarkEnd w:id="1389"/>
      <w:bookmarkEnd w:id="1390"/>
      <w:bookmarkEnd w:id="1391"/>
      <w:bookmarkEnd w:id="1392"/>
      <w:bookmarkEnd w:id="1393"/>
    </w:p>
    <w:p w14:paraId="66C34E78">
      <w:pPr>
        <w:pStyle w:val="39"/>
        <w:spacing w:after="0"/>
        <w:ind w:right="113" w:firstLine="420" w:firstLineChars="200"/>
        <w:jc w:val="both"/>
        <w:rPr>
          <w:rFonts w:hint="default" w:ascii="Times New Roman" w:hAnsi="Times New Roman" w:cs="Times New Roman" w:eastAsiaTheme="minorEastAsia"/>
          <w:color w:val="auto"/>
          <w:highlight w:val="none"/>
        </w:rPr>
      </w:pPr>
      <w:r>
        <w:rPr>
          <w:rFonts w:hint="eastAsia"/>
          <w:color w:val="auto"/>
          <w:highlight w:val="none"/>
        </w:rPr>
        <w:t>承制厂家应对其产品进行试验，逐一确认回路之间的相互关系并逐一确认各个逻辑功能。</w:t>
      </w:r>
      <w:r>
        <w:rPr>
          <w:rFonts w:hint="eastAsia"/>
          <w:color w:val="auto"/>
          <w:highlight w:val="none"/>
          <w:lang w:val="en-US" w:eastAsia="zh-CN"/>
        </w:rPr>
        <w:t>出厂</w:t>
      </w:r>
      <w:r>
        <w:rPr>
          <w:rFonts w:hint="eastAsia"/>
          <w:color w:val="auto"/>
          <w:highlight w:val="none"/>
        </w:rPr>
        <w:t>试验应得到发证检验机构的认可</w:t>
      </w:r>
      <w:r>
        <w:rPr>
          <w:rFonts w:hint="default" w:ascii="Times New Roman" w:hAnsi="Times New Roman" w:cs="Times New Roman" w:eastAsiaTheme="minorEastAsia"/>
          <w:color w:val="auto"/>
          <w:highlight w:val="none"/>
        </w:rPr>
        <w:t>。</w:t>
      </w:r>
    </w:p>
    <w:p w14:paraId="5BF16CE1">
      <w:pPr>
        <w:pStyle w:val="261"/>
        <w:tabs>
          <w:tab w:val="left" w:pos="0"/>
        </w:tabs>
        <w:spacing w:before="156" w:after="156"/>
        <w:outlineLvl w:val="2"/>
        <w:rPr>
          <w:rFonts w:hint="default" w:ascii="Times New Roman" w:hAnsi="Times New Roman" w:cs="Times New Roman"/>
          <w:color w:val="auto"/>
          <w:highlight w:val="none"/>
        </w:rPr>
      </w:pPr>
      <w:bookmarkStart w:id="1394" w:name="_Toc10907"/>
      <w:bookmarkStart w:id="1395" w:name="_Toc21519"/>
      <w:bookmarkStart w:id="1396" w:name="_Toc31637"/>
      <w:bookmarkStart w:id="1397" w:name="_Toc13982"/>
      <w:bookmarkStart w:id="1398" w:name="_Toc14683"/>
      <w:bookmarkStart w:id="1399" w:name="_Toc32058"/>
      <w:bookmarkStart w:id="1400" w:name="_Toc30777"/>
      <w:bookmarkStart w:id="1401" w:name="_Toc25293"/>
      <w:bookmarkStart w:id="1402" w:name="_Toc2577"/>
      <w:r>
        <w:rPr>
          <w:rFonts w:hint="default" w:ascii="Times New Roman" w:hAnsi="Times New Roman" w:cs="Times New Roman"/>
          <w:color w:val="auto"/>
          <w:highlight w:val="none"/>
        </w:rPr>
        <w:t>重复试验</w:t>
      </w:r>
      <w:bookmarkEnd w:id="1394"/>
      <w:bookmarkEnd w:id="1395"/>
      <w:r>
        <w:rPr>
          <w:rFonts w:hint="eastAsia" w:ascii="Times New Roman" w:cs="Times New Roman"/>
          <w:color w:val="auto"/>
          <w:highlight w:val="none"/>
          <w:lang w:eastAsia="zh-CN"/>
        </w:rPr>
        <w:t>（</w:t>
      </w:r>
      <w:r>
        <w:rPr>
          <w:rFonts w:hint="eastAsia" w:ascii="Times New Roman" w:cs="Times New Roman"/>
          <w:color w:val="auto"/>
          <w:highlight w:val="none"/>
          <w:lang w:val="en-US" w:eastAsia="zh-CN"/>
        </w:rPr>
        <w:t>现场试验</w:t>
      </w:r>
      <w:r>
        <w:rPr>
          <w:rFonts w:hint="eastAsia" w:ascii="Times New Roman" w:cs="Times New Roman"/>
          <w:color w:val="auto"/>
          <w:highlight w:val="none"/>
          <w:lang w:eastAsia="zh-CN"/>
        </w:rPr>
        <w:t>）</w:t>
      </w:r>
      <w:bookmarkEnd w:id="1396"/>
      <w:bookmarkEnd w:id="1397"/>
      <w:bookmarkEnd w:id="1398"/>
      <w:bookmarkEnd w:id="1399"/>
      <w:bookmarkEnd w:id="1400"/>
      <w:bookmarkEnd w:id="1401"/>
      <w:bookmarkEnd w:id="1402"/>
    </w:p>
    <w:p w14:paraId="21018C08">
      <w:pPr>
        <w:pStyle w:val="39"/>
        <w:spacing w:after="0"/>
        <w:ind w:right="113" w:firstLine="420" w:firstLineChars="200"/>
        <w:jc w:val="both"/>
        <w:rPr>
          <w:rFonts w:hint="default" w:ascii="Times New Roman" w:hAnsi="Times New Roman" w:cs="Times New Roman" w:eastAsiaTheme="minorEastAsia"/>
          <w:color w:val="auto"/>
          <w:spacing w:val="-2"/>
          <w:highlight w:val="none"/>
        </w:rPr>
      </w:pPr>
      <w:r>
        <w:rPr>
          <w:rFonts w:hint="default" w:ascii="Times New Roman" w:hAnsi="Times New Roman" w:cs="Times New Roman" w:eastAsiaTheme="minorEastAsia"/>
          <w:color w:val="auto"/>
          <w:highlight w:val="none"/>
        </w:rPr>
        <w:t>控制系统</w:t>
      </w:r>
      <w:r>
        <w:rPr>
          <w:rFonts w:hint="default" w:ascii="Times New Roman" w:hAnsi="Times New Roman" w:cs="Times New Roman" w:eastAsiaTheme="minorEastAsia"/>
          <w:color w:val="auto"/>
          <w:spacing w:val="-2"/>
          <w:highlight w:val="none"/>
        </w:rPr>
        <w:t>到货安装后，应对出厂试验中做过的部分进行联调试验，确认其功能是否正确。</w:t>
      </w:r>
    </w:p>
    <w:p w14:paraId="5D7C2C5E">
      <w:pPr>
        <w:pStyle w:val="261"/>
        <w:tabs>
          <w:tab w:val="left" w:pos="0"/>
        </w:tabs>
        <w:spacing w:before="156" w:after="156"/>
        <w:outlineLvl w:val="2"/>
        <w:rPr>
          <w:rFonts w:hint="default" w:ascii="Times New Roman" w:hAnsi="Times New Roman" w:cs="Times New Roman"/>
          <w:color w:val="auto"/>
          <w:highlight w:val="none"/>
        </w:rPr>
      </w:pPr>
      <w:bookmarkStart w:id="1403" w:name="_Toc21526"/>
      <w:bookmarkStart w:id="1404" w:name="_Toc3724"/>
      <w:bookmarkStart w:id="1405" w:name="_Toc3264"/>
      <w:bookmarkStart w:id="1406" w:name="_Toc15298"/>
      <w:bookmarkStart w:id="1407" w:name="_Toc27436"/>
      <w:bookmarkStart w:id="1408" w:name="_Toc19928"/>
      <w:bookmarkStart w:id="1409" w:name="_Toc7685"/>
      <w:bookmarkStart w:id="1410" w:name="_Toc13717"/>
      <w:bookmarkStart w:id="1411" w:name="_Toc10465"/>
      <w:r>
        <w:rPr>
          <w:rFonts w:hint="default" w:ascii="Times New Roman" w:hAnsi="Times New Roman" w:cs="Times New Roman"/>
          <w:color w:val="auto"/>
          <w:highlight w:val="none"/>
        </w:rPr>
        <w:t>最终试验</w:t>
      </w:r>
      <w:bookmarkEnd w:id="1403"/>
      <w:bookmarkEnd w:id="1404"/>
      <w:bookmarkEnd w:id="1405"/>
      <w:bookmarkEnd w:id="1406"/>
      <w:bookmarkEnd w:id="1407"/>
      <w:bookmarkEnd w:id="1408"/>
      <w:bookmarkEnd w:id="1409"/>
      <w:bookmarkEnd w:id="1410"/>
      <w:bookmarkEnd w:id="1411"/>
    </w:p>
    <w:p w14:paraId="6644CD0E">
      <w:pPr>
        <w:ind w:firstLine="420" w:firstLineChars="200"/>
        <w:rPr>
          <w:color w:val="auto"/>
          <w:highlight w:val="none"/>
        </w:rPr>
      </w:pPr>
      <w:r>
        <w:rPr>
          <w:rFonts w:hint="eastAsia"/>
          <w:color w:val="auto"/>
          <w:highlight w:val="none"/>
        </w:rPr>
        <w:t>海上试运</w:t>
      </w:r>
      <w:r>
        <w:rPr>
          <w:rFonts w:hint="eastAsia"/>
          <w:color w:val="auto"/>
          <w:highlight w:val="none"/>
          <w:lang w:val="en-US" w:eastAsia="zh-CN"/>
        </w:rPr>
        <w:t>行期间</w:t>
      </w:r>
      <w:r>
        <w:rPr>
          <w:rFonts w:hint="eastAsia"/>
          <w:color w:val="auto"/>
          <w:highlight w:val="none"/>
        </w:rPr>
        <w:t>，应对控制系统硬件和软件部分进行最终确认试验。试验完成后应</w:t>
      </w:r>
      <w:r>
        <w:rPr>
          <w:rFonts w:hint="eastAsia"/>
          <w:color w:val="auto"/>
          <w:highlight w:val="none"/>
          <w:lang w:val="en-US" w:eastAsia="zh-CN"/>
        </w:rPr>
        <w:t>出具</w:t>
      </w:r>
      <w:r>
        <w:rPr>
          <w:rFonts w:hint="eastAsia"/>
          <w:color w:val="auto"/>
          <w:highlight w:val="none"/>
        </w:rPr>
        <w:t>由发证检验机构签署的试验报告。</w:t>
      </w:r>
    </w:p>
    <w:p w14:paraId="6D68A6C5">
      <w:pPr>
        <w:pStyle w:val="260"/>
        <w:jc w:val="both"/>
        <w:outlineLvl w:val="1"/>
        <w:rPr>
          <w:rFonts w:hint="default" w:ascii="Times New Roman" w:hAnsi="Times New Roman" w:cs="Times New Roman"/>
          <w:color w:val="auto"/>
          <w:highlight w:val="none"/>
        </w:rPr>
      </w:pPr>
      <w:bookmarkStart w:id="1412" w:name="_Toc4840"/>
      <w:bookmarkStart w:id="1413" w:name="_Toc28253"/>
      <w:bookmarkStart w:id="1414" w:name="_Toc11306"/>
      <w:bookmarkStart w:id="1415" w:name="_Toc15254"/>
      <w:bookmarkStart w:id="1416" w:name="_Toc19486"/>
      <w:bookmarkStart w:id="1417" w:name="_Toc183727727"/>
      <w:bookmarkStart w:id="1418" w:name="_Toc30732"/>
      <w:bookmarkStart w:id="1419" w:name="_Toc20329"/>
      <w:bookmarkStart w:id="1420" w:name="_Toc21373"/>
      <w:bookmarkStart w:id="1421" w:name="_Toc31894"/>
      <w:r>
        <w:rPr>
          <w:rFonts w:hint="default" w:ascii="Times New Roman" w:hAnsi="Times New Roman" w:cs="Times New Roman"/>
          <w:color w:val="auto"/>
          <w:highlight w:val="none"/>
        </w:rPr>
        <w:t>电源</w:t>
      </w:r>
      <w:bookmarkEnd w:id="1412"/>
      <w:bookmarkEnd w:id="1413"/>
      <w:bookmarkEnd w:id="1414"/>
      <w:bookmarkEnd w:id="1415"/>
      <w:bookmarkEnd w:id="1416"/>
      <w:bookmarkEnd w:id="1417"/>
      <w:bookmarkEnd w:id="1418"/>
      <w:bookmarkEnd w:id="1419"/>
      <w:bookmarkEnd w:id="1420"/>
      <w:bookmarkEnd w:id="1421"/>
    </w:p>
    <w:p w14:paraId="286D4656">
      <w:pPr>
        <w:pStyle w:val="326"/>
        <w:jc w:val="both"/>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仪表及控制系统、应急关断系统、火气系统应由</w:t>
      </w:r>
      <w:r>
        <w:rPr>
          <w:rFonts w:hint="eastAsia" w:ascii="Times New Roman" w:cs="Times New Roman" w:eastAsiaTheme="minorEastAsia"/>
          <w:color w:val="auto"/>
          <w:highlight w:val="none"/>
          <w:lang w:val="en-US" w:eastAsia="zh-CN"/>
        </w:rPr>
        <w:t>主</w:t>
      </w:r>
      <w:r>
        <w:rPr>
          <w:rFonts w:hint="default" w:ascii="Times New Roman" w:hAnsi="Times New Roman" w:cs="Times New Roman" w:eastAsiaTheme="minorEastAsia"/>
          <w:color w:val="auto"/>
          <w:highlight w:val="none"/>
        </w:rPr>
        <w:t>电源</w:t>
      </w:r>
      <w:r>
        <w:rPr>
          <w:rFonts w:hint="eastAsia" w:ascii="Times New Roman" w:cs="Times New Roman" w:eastAsiaTheme="minorEastAsia"/>
          <w:color w:val="auto"/>
          <w:highlight w:val="none"/>
          <w:lang w:val="en-US" w:eastAsia="zh-CN"/>
        </w:rPr>
        <w:t>和应急电源</w:t>
      </w:r>
      <w:r>
        <w:rPr>
          <w:rFonts w:hint="default" w:ascii="Times New Roman" w:hAnsi="Times New Roman" w:cs="Times New Roman" w:eastAsiaTheme="minorEastAsia"/>
          <w:color w:val="auto"/>
          <w:highlight w:val="none"/>
        </w:rPr>
        <w:t>供电。正常情况下由主电源供电，当主电源失效时，由应急电源不间断地供电。</w:t>
      </w:r>
    </w:p>
    <w:p w14:paraId="0DB0B266">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不间断电源的容量、电压和频率应满足在应急供电时对仪表及控制系统、应急关断系统及火气系统的供电要求，并应保证至少供电</w:t>
      </w:r>
      <w:r>
        <w:rPr>
          <w:rFonts w:hint="eastAsia" w:ascii="宋体" w:hAnsi="宋体" w:eastAsia="宋体" w:cs="宋体"/>
          <w:color w:val="auto"/>
          <w:highlight w:val="none"/>
          <w:lang w:val="en-US" w:eastAsia="zh-CN"/>
        </w:rPr>
        <w:t>0.5 h</w:t>
      </w:r>
      <w:r>
        <w:rPr>
          <w:rFonts w:hint="eastAsia" w:ascii="宋体" w:hAnsi="宋体" w:eastAsia="宋体" w:cs="宋体"/>
          <w:color w:val="auto"/>
          <w:highlight w:val="none"/>
        </w:rPr>
        <w:t>。</w:t>
      </w:r>
    </w:p>
    <w:p w14:paraId="4D268B8A">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火气探测系统应自带电池，应保证火气探测系统在UPS断电后仍能正常工作至少</w:t>
      </w:r>
      <w:r>
        <w:rPr>
          <w:rFonts w:hint="eastAsia" w:ascii="宋体" w:hAnsi="宋体" w:eastAsia="宋体" w:cs="宋体"/>
          <w:color w:val="auto"/>
          <w:highlight w:val="none"/>
          <w:lang w:val="en-US" w:eastAsia="zh-CN"/>
        </w:rPr>
        <w:t>0.5 h</w:t>
      </w:r>
      <w:r>
        <w:rPr>
          <w:rFonts w:hint="eastAsia" w:ascii="宋体" w:hAnsi="宋体" w:eastAsia="宋体" w:cs="宋体"/>
          <w:color w:val="auto"/>
          <w:highlight w:val="none"/>
        </w:rPr>
        <w:t>。</w:t>
      </w:r>
    </w:p>
    <w:p w14:paraId="64D6C4EC">
      <w:pPr>
        <w:pStyle w:val="260"/>
        <w:jc w:val="both"/>
        <w:outlineLvl w:val="1"/>
        <w:rPr>
          <w:rFonts w:hint="default" w:ascii="Times New Roman" w:hAnsi="Times New Roman" w:cs="Times New Roman"/>
          <w:color w:val="auto"/>
          <w:highlight w:val="none"/>
        </w:rPr>
      </w:pPr>
      <w:bookmarkStart w:id="1422" w:name="_Toc12639"/>
      <w:bookmarkStart w:id="1423" w:name="_Toc5665"/>
      <w:bookmarkStart w:id="1424" w:name="_Toc2059"/>
      <w:bookmarkStart w:id="1425" w:name="_Toc16428"/>
      <w:bookmarkStart w:id="1426" w:name="_Toc21818"/>
      <w:bookmarkStart w:id="1427" w:name="_Toc5024"/>
      <w:bookmarkStart w:id="1428" w:name="_Toc183727728"/>
      <w:bookmarkStart w:id="1429" w:name="_Toc22622"/>
      <w:bookmarkStart w:id="1430" w:name="_Toc17598"/>
      <w:bookmarkStart w:id="1431" w:name="_Toc30246"/>
      <w:r>
        <w:rPr>
          <w:rFonts w:hint="default" w:ascii="Times New Roman" w:hAnsi="Times New Roman" w:cs="Times New Roman"/>
          <w:color w:val="auto"/>
          <w:highlight w:val="none"/>
        </w:rPr>
        <w:t>接地</w:t>
      </w:r>
      <w:bookmarkEnd w:id="1422"/>
      <w:bookmarkEnd w:id="1423"/>
      <w:bookmarkEnd w:id="1424"/>
      <w:bookmarkEnd w:id="1425"/>
      <w:bookmarkEnd w:id="1426"/>
      <w:bookmarkEnd w:id="1427"/>
      <w:bookmarkEnd w:id="1428"/>
      <w:bookmarkEnd w:id="1429"/>
      <w:bookmarkEnd w:id="1430"/>
      <w:bookmarkEnd w:id="1431"/>
    </w:p>
    <w:p w14:paraId="099634B0">
      <w:pPr>
        <w:pStyle w:val="326"/>
        <w:numPr>
          <w:ilvl w:val="-1"/>
          <w:numId w:val="0"/>
        </w:numPr>
        <w:ind w:firstLine="420" w:firstLineChars="200"/>
        <w:jc w:val="both"/>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本质安全型仪表电路的接地应与非本质安全型仪表电路的接地分开。</w:t>
      </w:r>
    </w:p>
    <w:p w14:paraId="241E1C94">
      <w:pPr>
        <w:pStyle w:val="259"/>
        <w:numPr>
          <w:ilvl w:val="0"/>
          <w:numId w:val="33"/>
        </w:numPr>
        <w:outlineLvl w:val="0"/>
        <w:rPr>
          <w:rFonts w:hint="default" w:ascii="Times New Roman" w:hAnsi="Times New Roman" w:cs="Times New Roman"/>
          <w:color w:val="auto"/>
          <w:highlight w:val="none"/>
        </w:rPr>
      </w:pPr>
      <w:bookmarkStart w:id="1432" w:name="_Toc27845"/>
      <w:bookmarkStart w:id="1433" w:name="_Toc32265"/>
      <w:bookmarkStart w:id="1434" w:name="_Toc10517"/>
      <w:bookmarkStart w:id="1435" w:name="_Toc3095"/>
      <w:bookmarkStart w:id="1436" w:name="_Toc18831"/>
      <w:bookmarkStart w:id="1437" w:name="_Toc10307"/>
      <w:bookmarkStart w:id="1438" w:name="_Toc15397"/>
      <w:r>
        <w:rPr>
          <w:rFonts w:hint="default" w:ascii="Times New Roman" w:hAnsi="Times New Roman" w:cs="Times New Roman"/>
          <w:color w:val="auto"/>
          <w:highlight w:val="none"/>
        </w:rPr>
        <w:t>防火</w:t>
      </w:r>
      <w:bookmarkEnd w:id="1281"/>
      <w:bookmarkEnd w:id="1282"/>
      <w:bookmarkEnd w:id="1283"/>
      <w:bookmarkEnd w:id="1432"/>
      <w:bookmarkEnd w:id="1433"/>
      <w:bookmarkEnd w:id="1434"/>
      <w:bookmarkEnd w:id="1435"/>
      <w:bookmarkEnd w:id="1436"/>
      <w:bookmarkEnd w:id="1437"/>
      <w:r>
        <w:rPr>
          <w:rFonts w:hint="eastAsia" w:ascii="Times New Roman" w:cs="Times New Roman"/>
          <w:color w:val="auto"/>
          <w:highlight w:val="none"/>
          <w:lang w:val="en-US" w:eastAsia="zh-CN"/>
        </w:rPr>
        <w:t>系统</w:t>
      </w:r>
      <w:bookmarkEnd w:id="1438"/>
    </w:p>
    <w:p w14:paraId="4F466DB2">
      <w:pPr>
        <w:pStyle w:val="260"/>
        <w:jc w:val="both"/>
        <w:outlineLvl w:val="1"/>
        <w:rPr>
          <w:rFonts w:hint="default" w:ascii="Times New Roman" w:hAnsi="Times New Roman" w:cs="Times New Roman"/>
          <w:color w:val="auto"/>
          <w:highlight w:val="none"/>
        </w:rPr>
      </w:pPr>
      <w:bookmarkStart w:id="1439" w:name="_Toc27642"/>
      <w:bookmarkStart w:id="1440" w:name="_Toc10008"/>
      <w:bookmarkStart w:id="1441" w:name="_Toc902"/>
      <w:bookmarkStart w:id="1442" w:name="_Toc11173"/>
      <w:bookmarkStart w:id="1443" w:name="_Toc24055"/>
      <w:bookmarkStart w:id="1444" w:name="_Toc29873"/>
      <w:bookmarkStart w:id="1445" w:name="_Toc25766"/>
      <w:bookmarkStart w:id="1446" w:name="_Toc18642"/>
      <w:bookmarkStart w:id="1447" w:name="_Toc29092"/>
      <w:bookmarkStart w:id="1448" w:name="_Toc3004"/>
      <w:r>
        <w:rPr>
          <w:rFonts w:hint="default" w:ascii="Times New Roman" w:hAnsi="Times New Roman" w:cs="Times New Roman"/>
          <w:color w:val="auto"/>
          <w:highlight w:val="none"/>
        </w:rPr>
        <w:t>防火分隔</w:t>
      </w:r>
      <w:bookmarkEnd w:id="1439"/>
      <w:bookmarkEnd w:id="1440"/>
      <w:bookmarkEnd w:id="1441"/>
      <w:bookmarkEnd w:id="1442"/>
      <w:bookmarkEnd w:id="1443"/>
      <w:bookmarkEnd w:id="1444"/>
      <w:bookmarkEnd w:id="1445"/>
      <w:bookmarkEnd w:id="1446"/>
      <w:bookmarkEnd w:id="1447"/>
      <w:bookmarkEnd w:id="1448"/>
    </w:p>
    <w:p w14:paraId="3E5421D5">
      <w:pPr>
        <w:pStyle w:val="326"/>
        <w:jc w:val="both"/>
        <w:rPr>
          <w:rFonts w:hint="eastAsia" w:ascii="宋体" w:hAnsi="宋体" w:eastAsia="宋体" w:cs="宋体"/>
          <w:color w:val="auto"/>
          <w:highlight w:val="none"/>
        </w:rPr>
      </w:pPr>
      <w:bookmarkStart w:id="1449" w:name="_Toc16220"/>
      <w:r>
        <w:rPr>
          <w:rFonts w:hint="eastAsia" w:ascii="宋体" w:hAnsi="宋体" w:eastAsia="宋体" w:cs="宋体"/>
          <w:color w:val="auto"/>
          <w:highlight w:val="none"/>
        </w:rPr>
        <w:t>H级分隔应满足</w:t>
      </w:r>
      <w:r>
        <w:rPr>
          <w:rFonts w:hint="eastAsia" w:ascii="宋体" w:hAnsi="宋体" w:eastAsia="宋体" w:cs="宋体"/>
          <w:color w:val="auto"/>
          <w:highlight w:val="none"/>
          <w:lang w:val="en-US" w:eastAsia="zh-CN"/>
        </w:rPr>
        <w:t>以下</w:t>
      </w:r>
      <w:r>
        <w:rPr>
          <w:rFonts w:hint="eastAsia" w:ascii="宋体" w:hAnsi="宋体" w:eastAsia="宋体" w:cs="宋体"/>
          <w:color w:val="auto"/>
          <w:highlight w:val="none"/>
        </w:rPr>
        <w:t>要求：</w:t>
      </w:r>
    </w:p>
    <w:p w14:paraId="59FB94D9">
      <w:pPr>
        <w:pStyle w:val="305"/>
        <w:numPr>
          <w:ilvl w:val="0"/>
          <w:numId w:val="8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以钢或其他等效材料制造；</w:t>
      </w:r>
    </w:p>
    <w:p w14:paraId="29DD8FE6">
      <w:pPr>
        <w:pStyle w:val="305"/>
        <w:numPr>
          <w:ilvl w:val="0"/>
          <w:numId w:val="8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有防挠加强；</w:t>
      </w:r>
    </w:p>
    <w:p w14:paraId="19CAEF82">
      <w:pPr>
        <w:pStyle w:val="305"/>
        <w:numPr>
          <w:ilvl w:val="0"/>
          <w:numId w:val="8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其构造在2 h的标准耐火试验过程中，烟和火焰不能通过；</w:t>
      </w:r>
    </w:p>
    <w:p w14:paraId="2742432A">
      <w:pPr>
        <w:pStyle w:val="305"/>
        <w:numPr>
          <w:ilvl w:val="0"/>
          <w:numId w:val="8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不同H级分隔的隔热时间满足表3要求；</w:t>
      </w:r>
    </w:p>
    <w:p w14:paraId="5EDC02E2">
      <w:pPr>
        <w:pStyle w:val="305"/>
        <w:numPr>
          <w:ilvl w:val="0"/>
          <w:numId w:val="82"/>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采用发证检验机构认可的不燃材料隔热，在表3所示时间内，其背火面的平均温度比初始温度升高不超过140 ℃，且背火面任何一点的温度比初始温度升高不超过180 ℃。</w:t>
      </w:r>
    </w:p>
    <w:p w14:paraId="432AD050">
      <w:pPr>
        <w:pStyle w:val="301"/>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 xml:space="preserve"> H级分隔</w:t>
      </w:r>
    </w:p>
    <w:tbl>
      <w:tblPr>
        <w:tblStyle w:val="8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89"/>
        <w:gridCol w:w="4686"/>
      </w:tblGrid>
      <w:tr w14:paraId="318EFE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785" w:type="dxa"/>
            <w:tcBorders>
              <w:top w:val="single" w:color="auto" w:sz="8" w:space="0"/>
              <w:left w:val="single" w:color="auto" w:sz="8" w:space="0"/>
              <w:bottom w:val="single" w:color="auto" w:sz="8" w:space="0"/>
              <w:right w:val="single" w:color="auto" w:sz="4" w:space="0"/>
              <w:tl2br w:val="nil"/>
              <w:tr2bl w:val="nil"/>
            </w:tcBorders>
            <w:noWrap w:val="0"/>
            <w:vAlign w:val="center"/>
          </w:tcPr>
          <w:p w14:paraId="48D47917">
            <w:pPr>
              <w:widowControl/>
              <w:adjustRightInd w:val="0"/>
              <w:snapToGrid w:val="0"/>
              <w:spacing w:beforeLines="0" w:afterLines="0"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耐火等级</w:t>
            </w:r>
          </w:p>
        </w:tc>
        <w:tc>
          <w:tcPr>
            <w:tcW w:w="4786" w:type="dxa"/>
            <w:tcBorders>
              <w:top w:val="single" w:color="auto" w:sz="8" w:space="0"/>
              <w:left w:val="single" w:color="auto" w:sz="4" w:space="0"/>
              <w:bottom w:val="single" w:color="auto" w:sz="8" w:space="0"/>
              <w:right w:val="single" w:color="auto" w:sz="8" w:space="0"/>
              <w:tl2br w:val="nil"/>
              <w:tr2bl w:val="nil"/>
            </w:tcBorders>
            <w:noWrap w:val="0"/>
            <w:vAlign w:val="top"/>
          </w:tcPr>
          <w:p w14:paraId="6F888F98">
            <w:pPr>
              <w:widowControl/>
              <w:adjustRightInd w:val="0"/>
              <w:snapToGrid w:val="0"/>
              <w:spacing w:beforeLines="0" w:afterLines="0" w:line="240" w:lineRule="atLeast"/>
              <w:jc w:val="center"/>
              <w:rPr>
                <w:rFonts w:hint="default" w:ascii="Times New Roman" w:hAnsi="Times New Roman" w:cs="Times New Roman"/>
                <w:color w:val="auto"/>
                <w:kern w:val="0"/>
                <w:sz w:val="18"/>
                <w:szCs w:val="18"/>
                <w:highlight w:val="none"/>
              </w:rPr>
            </w:pPr>
            <w:r>
              <w:rPr>
                <w:rFonts w:hint="default" w:ascii="Times New Roman" w:hAnsi="Times New Roman" w:cs="Times New Roman"/>
                <w:color w:val="auto"/>
                <w:kern w:val="0"/>
                <w:sz w:val="18"/>
                <w:szCs w:val="18"/>
                <w:highlight w:val="none"/>
              </w:rPr>
              <w:t>隔热时间</w:t>
            </w:r>
          </w:p>
        </w:tc>
      </w:tr>
      <w:tr w14:paraId="4EF79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Borders>
              <w:top w:val="single" w:color="auto" w:sz="8" w:space="0"/>
              <w:left w:val="single" w:color="auto" w:sz="8" w:space="0"/>
              <w:bottom w:val="single" w:color="auto" w:sz="4" w:space="0"/>
              <w:right w:val="single" w:color="auto" w:sz="4" w:space="0"/>
              <w:tl2br w:val="nil"/>
              <w:tr2bl w:val="nil"/>
            </w:tcBorders>
            <w:noWrap w:val="0"/>
            <w:vAlign w:val="top"/>
          </w:tcPr>
          <w:p w14:paraId="5794947B">
            <w:pPr>
              <w:widowControl/>
              <w:adjustRightInd w:val="0"/>
              <w:snapToGrid w:val="0"/>
              <w:spacing w:beforeLines="0" w:afterLines="0" w:line="240" w:lineRule="atLeas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H-120级</w:t>
            </w:r>
          </w:p>
        </w:tc>
        <w:tc>
          <w:tcPr>
            <w:tcW w:w="4786" w:type="dxa"/>
            <w:tcBorders>
              <w:top w:val="single" w:color="auto" w:sz="8" w:space="0"/>
              <w:left w:val="single" w:color="auto" w:sz="4" w:space="0"/>
              <w:bottom w:val="single" w:color="auto" w:sz="4" w:space="0"/>
              <w:right w:val="single" w:color="auto" w:sz="8" w:space="0"/>
              <w:tl2br w:val="nil"/>
              <w:tr2bl w:val="nil"/>
            </w:tcBorders>
            <w:noWrap w:val="0"/>
            <w:vAlign w:val="top"/>
          </w:tcPr>
          <w:p w14:paraId="69FDDC33">
            <w:pPr>
              <w:widowControl/>
              <w:adjustRightInd w:val="0"/>
              <w:snapToGrid w:val="0"/>
              <w:spacing w:beforeLines="0" w:afterLines="0" w:line="240" w:lineRule="atLeas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120 min</w:t>
            </w:r>
          </w:p>
        </w:tc>
      </w:tr>
      <w:tr w14:paraId="6B89A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Borders>
              <w:top w:val="single" w:color="auto" w:sz="4" w:space="0"/>
              <w:left w:val="single" w:color="auto" w:sz="8" w:space="0"/>
              <w:bottom w:val="single" w:color="auto" w:sz="4" w:space="0"/>
              <w:right w:val="single" w:color="auto" w:sz="4" w:space="0"/>
              <w:tl2br w:val="nil"/>
              <w:tr2bl w:val="nil"/>
            </w:tcBorders>
            <w:noWrap w:val="0"/>
            <w:vAlign w:val="top"/>
          </w:tcPr>
          <w:p w14:paraId="477EE81C">
            <w:pPr>
              <w:widowControl/>
              <w:adjustRightInd w:val="0"/>
              <w:snapToGrid w:val="0"/>
              <w:spacing w:beforeLines="0" w:afterLines="0" w:line="240" w:lineRule="atLeas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H-60级</w:t>
            </w:r>
          </w:p>
        </w:tc>
        <w:tc>
          <w:tcPr>
            <w:tcW w:w="4786" w:type="dxa"/>
            <w:tcBorders>
              <w:top w:val="single" w:color="auto" w:sz="4" w:space="0"/>
              <w:left w:val="single" w:color="auto" w:sz="4" w:space="0"/>
              <w:bottom w:val="single" w:color="auto" w:sz="4" w:space="0"/>
              <w:right w:val="single" w:color="auto" w:sz="8" w:space="0"/>
              <w:tl2br w:val="nil"/>
              <w:tr2bl w:val="nil"/>
            </w:tcBorders>
            <w:noWrap w:val="0"/>
            <w:vAlign w:val="top"/>
          </w:tcPr>
          <w:p w14:paraId="4BA745A3">
            <w:pPr>
              <w:widowControl/>
              <w:adjustRightInd w:val="0"/>
              <w:snapToGrid w:val="0"/>
              <w:spacing w:beforeLines="0" w:afterLines="0" w:line="240" w:lineRule="atLeas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 min</w:t>
            </w:r>
          </w:p>
        </w:tc>
      </w:tr>
      <w:tr w14:paraId="57A22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4785" w:type="dxa"/>
            <w:tcBorders>
              <w:top w:val="single" w:color="auto" w:sz="4" w:space="0"/>
              <w:left w:val="single" w:color="auto" w:sz="8" w:space="0"/>
              <w:bottom w:val="single" w:color="auto" w:sz="8" w:space="0"/>
              <w:right w:val="single" w:color="auto" w:sz="4" w:space="0"/>
              <w:tl2br w:val="nil"/>
              <w:tr2bl w:val="nil"/>
            </w:tcBorders>
            <w:noWrap w:val="0"/>
            <w:vAlign w:val="top"/>
          </w:tcPr>
          <w:p w14:paraId="20FF5BDE">
            <w:pPr>
              <w:widowControl/>
              <w:adjustRightInd w:val="0"/>
              <w:snapToGrid w:val="0"/>
              <w:spacing w:beforeLines="0" w:afterLines="0" w:line="240" w:lineRule="atLeas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H-0级</w:t>
            </w:r>
          </w:p>
        </w:tc>
        <w:tc>
          <w:tcPr>
            <w:tcW w:w="4786" w:type="dxa"/>
            <w:tcBorders>
              <w:top w:val="single" w:color="auto" w:sz="4" w:space="0"/>
              <w:left w:val="single" w:color="auto" w:sz="4" w:space="0"/>
              <w:bottom w:val="single" w:color="auto" w:sz="8" w:space="0"/>
              <w:right w:val="single" w:color="auto" w:sz="8" w:space="0"/>
              <w:tl2br w:val="nil"/>
              <w:tr2bl w:val="nil"/>
            </w:tcBorders>
            <w:noWrap w:val="0"/>
            <w:vAlign w:val="top"/>
          </w:tcPr>
          <w:p w14:paraId="582572FB">
            <w:pPr>
              <w:widowControl/>
              <w:adjustRightInd w:val="0"/>
              <w:snapToGrid w:val="0"/>
              <w:spacing w:beforeLines="0" w:afterLines="0" w:line="240" w:lineRule="atLeas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0 min</w:t>
            </w:r>
          </w:p>
        </w:tc>
      </w:tr>
    </w:tbl>
    <w:p w14:paraId="28308633">
      <w:pPr>
        <w:pStyle w:val="326"/>
        <w:jc w:val="both"/>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A级分隔</w:t>
      </w:r>
      <w:r>
        <w:rPr>
          <w:rFonts w:hint="default" w:ascii="Times New Roman" w:hAnsi="Times New Roman" w:cs="Times New Roman" w:eastAsiaTheme="minorEastAsia"/>
          <w:color w:val="auto"/>
          <w:highlight w:val="none"/>
          <w:lang w:val="en-US" w:eastAsia="zh-CN"/>
        </w:rPr>
        <w:t>应满足以下要求</w:t>
      </w:r>
      <w:r>
        <w:rPr>
          <w:rFonts w:hint="default" w:ascii="Times New Roman" w:hAnsi="Times New Roman" w:cs="Times New Roman" w:eastAsiaTheme="minorEastAsia"/>
          <w:color w:val="auto"/>
          <w:highlight w:val="none"/>
        </w:rPr>
        <w:t>：</w:t>
      </w:r>
    </w:p>
    <w:p w14:paraId="1A5D0724">
      <w:pPr>
        <w:pStyle w:val="305"/>
        <w:numPr>
          <w:ilvl w:val="0"/>
          <w:numId w:val="8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以钢或其他等效材料制造；</w:t>
      </w:r>
    </w:p>
    <w:p w14:paraId="52B062FA">
      <w:pPr>
        <w:pStyle w:val="305"/>
        <w:numPr>
          <w:ilvl w:val="0"/>
          <w:numId w:val="8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有防挠加强；</w:t>
      </w:r>
    </w:p>
    <w:p w14:paraId="2C6B66F6">
      <w:pPr>
        <w:pStyle w:val="305"/>
        <w:numPr>
          <w:ilvl w:val="0"/>
          <w:numId w:val="8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其构造应在1h的标准耐火试验过程中，烟及火焰不能通过；</w:t>
      </w:r>
    </w:p>
    <w:p w14:paraId="3842B77E">
      <w:pPr>
        <w:pStyle w:val="305"/>
        <w:numPr>
          <w:ilvl w:val="0"/>
          <w:numId w:val="8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不同的A级分隔的隔热时间应满足表4要求；</w:t>
      </w:r>
    </w:p>
    <w:p w14:paraId="4711CCEA">
      <w:pPr>
        <w:pStyle w:val="305"/>
        <w:numPr>
          <w:ilvl w:val="0"/>
          <w:numId w:val="84"/>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采用发证检验机构认可的不燃材料隔热，在表4所示时间内，其背火面的平均温度比初始温度升高不超过140 ℃，且背火面任何一点的温度比初始温度升高不超过180 ℃。</w:t>
      </w:r>
    </w:p>
    <w:p w14:paraId="754C9B85">
      <w:pPr>
        <w:pStyle w:val="301"/>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A级分隔</w:t>
      </w:r>
    </w:p>
    <w:tbl>
      <w:tblPr>
        <w:tblStyle w:val="8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88"/>
        <w:gridCol w:w="4687"/>
      </w:tblGrid>
      <w:tr w14:paraId="19FFFB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785" w:type="dxa"/>
            <w:tcBorders>
              <w:bottom w:val="single" w:color="auto" w:sz="8" w:space="0"/>
            </w:tcBorders>
            <w:vAlign w:val="center"/>
          </w:tcPr>
          <w:p w14:paraId="089FF058">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耐火等级</w:t>
            </w:r>
          </w:p>
        </w:tc>
        <w:tc>
          <w:tcPr>
            <w:tcW w:w="4786" w:type="dxa"/>
            <w:tcBorders>
              <w:bottom w:val="single" w:color="auto" w:sz="8" w:space="0"/>
            </w:tcBorders>
          </w:tcPr>
          <w:p w14:paraId="0E0E4CF1">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隔热时间</w:t>
            </w:r>
          </w:p>
        </w:tc>
      </w:tr>
      <w:tr w14:paraId="45F7AD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Borders>
              <w:top w:val="single" w:color="auto" w:sz="8" w:space="0"/>
            </w:tcBorders>
          </w:tcPr>
          <w:p w14:paraId="733B3E7C">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A-60级</w:t>
            </w:r>
          </w:p>
        </w:tc>
        <w:tc>
          <w:tcPr>
            <w:tcW w:w="4786" w:type="dxa"/>
            <w:tcBorders>
              <w:top w:val="single" w:color="auto" w:sz="8" w:space="0"/>
            </w:tcBorders>
          </w:tcPr>
          <w:p w14:paraId="0AC465AB">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60 min</w:t>
            </w:r>
          </w:p>
        </w:tc>
      </w:tr>
      <w:tr w14:paraId="311E32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Borders>
              <w:top w:val="single" w:color="auto" w:sz="8" w:space="0"/>
            </w:tcBorders>
          </w:tcPr>
          <w:p w14:paraId="555A5C28">
            <w:pPr>
              <w:widowControl/>
              <w:adjustRightInd w:val="0"/>
              <w:snapToGrid w:val="0"/>
              <w:spacing w:line="240" w:lineRule="atLeast"/>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A-30级</w:t>
            </w:r>
          </w:p>
        </w:tc>
        <w:tc>
          <w:tcPr>
            <w:tcW w:w="4786" w:type="dxa"/>
            <w:tcBorders>
              <w:top w:val="single" w:color="auto" w:sz="8" w:space="0"/>
            </w:tcBorders>
          </w:tcPr>
          <w:p w14:paraId="16702A4E">
            <w:pPr>
              <w:widowControl/>
              <w:adjustRightInd w:val="0"/>
              <w:snapToGrid w:val="0"/>
              <w:spacing w:line="240" w:lineRule="atLeast"/>
              <w:jc w:val="center"/>
              <w:rPr>
                <w:rFonts w:hint="default" w:ascii="宋体" w:hAnsi="宋体" w:eastAsia="宋体" w:cs="宋体"/>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 xml:space="preserve">30 </w:t>
            </w:r>
            <w:r>
              <w:rPr>
                <w:rFonts w:hint="eastAsia" w:ascii="宋体" w:hAnsi="宋体" w:eastAsia="宋体" w:cs="宋体"/>
                <w:color w:val="auto"/>
                <w:kern w:val="0"/>
                <w:sz w:val="18"/>
                <w:szCs w:val="18"/>
                <w:highlight w:val="none"/>
                <w:lang w:val="en-US" w:eastAsia="zh-CN"/>
              </w:rPr>
              <w:t>min</w:t>
            </w:r>
          </w:p>
        </w:tc>
      </w:tr>
      <w:tr w14:paraId="4BAB43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14:paraId="1A120ABE">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A-15级</w:t>
            </w:r>
          </w:p>
        </w:tc>
        <w:tc>
          <w:tcPr>
            <w:tcW w:w="4786" w:type="dxa"/>
          </w:tcPr>
          <w:p w14:paraId="7A34B555">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15 min</w:t>
            </w:r>
          </w:p>
        </w:tc>
      </w:tr>
      <w:tr w14:paraId="20114E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14:paraId="4E5EB922">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A-0级</w:t>
            </w:r>
          </w:p>
        </w:tc>
        <w:tc>
          <w:tcPr>
            <w:tcW w:w="4786" w:type="dxa"/>
          </w:tcPr>
          <w:p w14:paraId="18B15EA4">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0 min</w:t>
            </w:r>
          </w:p>
        </w:tc>
      </w:tr>
    </w:tbl>
    <w:p w14:paraId="0515DFBB">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B级分隔应</w:t>
      </w:r>
      <w:r>
        <w:rPr>
          <w:rFonts w:hint="eastAsia" w:ascii="宋体" w:hAnsi="宋体" w:eastAsia="宋体" w:cs="宋体"/>
          <w:color w:val="auto"/>
          <w:highlight w:val="none"/>
          <w:lang w:val="en-US" w:eastAsia="zh-CN"/>
        </w:rPr>
        <w:t>同时</w:t>
      </w:r>
      <w:r>
        <w:rPr>
          <w:rFonts w:hint="eastAsia" w:ascii="宋体" w:hAnsi="宋体" w:eastAsia="宋体" w:cs="宋体"/>
          <w:color w:val="auto"/>
          <w:highlight w:val="none"/>
        </w:rPr>
        <w:t>满足</w:t>
      </w:r>
      <w:r>
        <w:rPr>
          <w:rFonts w:hint="eastAsia" w:ascii="宋体" w:hAnsi="宋体" w:eastAsia="宋体" w:cs="宋体"/>
          <w:color w:val="auto"/>
          <w:highlight w:val="none"/>
          <w:lang w:val="en-US" w:eastAsia="zh-CN"/>
        </w:rPr>
        <w:t>以下</w:t>
      </w:r>
      <w:r>
        <w:rPr>
          <w:rFonts w:hint="eastAsia" w:ascii="宋体" w:hAnsi="宋体" w:eastAsia="宋体" w:cs="宋体"/>
          <w:color w:val="auto"/>
          <w:highlight w:val="none"/>
        </w:rPr>
        <w:t>要求：</w:t>
      </w:r>
    </w:p>
    <w:p w14:paraId="777A9A66">
      <w:pPr>
        <w:pStyle w:val="305"/>
        <w:numPr>
          <w:ilvl w:val="0"/>
          <w:numId w:val="8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主体材料用发证检验机构认可的不燃材料制造和装配；</w:t>
      </w:r>
    </w:p>
    <w:p w14:paraId="2BB859CA">
      <w:pPr>
        <w:pStyle w:val="305"/>
        <w:numPr>
          <w:ilvl w:val="0"/>
          <w:numId w:val="8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在标准耐火试验时，其构造能在最初0.5 h内防止火焰通过；</w:t>
      </w:r>
    </w:p>
    <w:p w14:paraId="13D53D7E">
      <w:pPr>
        <w:pStyle w:val="305"/>
        <w:numPr>
          <w:ilvl w:val="0"/>
          <w:numId w:val="8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不同的B级分隔的隔热时间满足表5要求；</w:t>
      </w:r>
    </w:p>
    <w:p w14:paraId="0502D13A">
      <w:pPr>
        <w:pStyle w:val="305"/>
        <w:numPr>
          <w:ilvl w:val="0"/>
          <w:numId w:val="85"/>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在表5所示时间内，与原始温度比较，其背火面的平均温度升高不超过140 ℃，且包括接头在内的任何一点的温度升高不超过225 ℃。</w:t>
      </w:r>
    </w:p>
    <w:p w14:paraId="557F9A2C">
      <w:pPr>
        <w:pStyle w:val="301"/>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B级分隔</w:t>
      </w:r>
    </w:p>
    <w:tbl>
      <w:tblPr>
        <w:tblStyle w:val="8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688"/>
        <w:gridCol w:w="4687"/>
      </w:tblGrid>
      <w:tr w14:paraId="2524DB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785" w:type="dxa"/>
            <w:tcBorders>
              <w:bottom w:val="single" w:color="auto" w:sz="8" w:space="0"/>
            </w:tcBorders>
            <w:vAlign w:val="center"/>
          </w:tcPr>
          <w:p w14:paraId="37594C50">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耐火等级</w:t>
            </w:r>
          </w:p>
        </w:tc>
        <w:tc>
          <w:tcPr>
            <w:tcW w:w="4786" w:type="dxa"/>
            <w:tcBorders>
              <w:bottom w:val="single" w:color="auto" w:sz="8" w:space="0"/>
            </w:tcBorders>
          </w:tcPr>
          <w:p w14:paraId="186D844B">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隔热时间</w:t>
            </w:r>
          </w:p>
        </w:tc>
      </w:tr>
      <w:tr w14:paraId="68FCA8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Borders>
              <w:top w:val="single" w:color="auto" w:sz="8" w:space="0"/>
            </w:tcBorders>
          </w:tcPr>
          <w:p w14:paraId="476951A7">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B-15级</w:t>
            </w:r>
          </w:p>
        </w:tc>
        <w:tc>
          <w:tcPr>
            <w:tcW w:w="4786" w:type="dxa"/>
            <w:tcBorders>
              <w:top w:val="single" w:color="auto" w:sz="8" w:space="0"/>
            </w:tcBorders>
          </w:tcPr>
          <w:p w14:paraId="2CFA4875">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15 min</w:t>
            </w:r>
          </w:p>
        </w:tc>
      </w:tr>
      <w:tr w14:paraId="4C8350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785" w:type="dxa"/>
          </w:tcPr>
          <w:p w14:paraId="390B3490">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B-0级</w:t>
            </w:r>
          </w:p>
        </w:tc>
        <w:tc>
          <w:tcPr>
            <w:tcW w:w="4786" w:type="dxa"/>
          </w:tcPr>
          <w:p w14:paraId="126A77AB">
            <w:pPr>
              <w:widowControl/>
              <w:adjustRightInd w:val="0"/>
              <w:snapToGrid w:val="0"/>
              <w:spacing w:line="240" w:lineRule="atLeast"/>
              <w:jc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color w:val="auto"/>
                <w:kern w:val="0"/>
                <w:sz w:val="18"/>
                <w:szCs w:val="18"/>
                <w:highlight w:val="none"/>
                <w:lang w:val="en-US" w:eastAsia="zh-CN"/>
              </w:rPr>
              <w:t>0 min</w:t>
            </w:r>
          </w:p>
        </w:tc>
      </w:tr>
    </w:tbl>
    <w:p w14:paraId="7A191CCD">
      <w:pPr>
        <w:pStyle w:val="326"/>
        <w:jc w:val="both"/>
        <w:rPr>
          <w:rFonts w:hint="eastAsia" w:ascii="宋体" w:hAnsi="宋体" w:eastAsia="宋体" w:cs="宋体"/>
          <w:color w:val="auto"/>
          <w:highlight w:val="none"/>
        </w:rPr>
      </w:pPr>
      <w:r>
        <w:rPr>
          <w:rFonts w:hint="eastAsia" w:ascii="宋体" w:hAnsi="宋体" w:eastAsia="宋体" w:cs="宋体"/>
          <w:color w:val="auto"/>
          <w:highlight w:val="none"/>
        </w:rPr>
        <w:t>C级分隔</w:t>
      </w:r>
      <w:r>
        <w:rPr>
          <w:rFonts w:hint="eastAsia" w:ascii="宋体" w:hAnsi="宋体" w:eastAsia="宋体" w:cs="宋体"/>
          <w:color w:val="auto"/>
          <w:highlight w:val="none"/>
          <w:lang w:val="en-US" w:eastAsia="zh-CN"/>
        </w:rPr>
        <w:t>的主体材料</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采</w:t>
      </w:r>
      <w:r>
        <w:rPr>
          <w:rFonts w:hint="eastAsia" w:ascii="宋体" w:hAnsi="宋体" w:eastAsia="宋体" w:cs="宋体"/>
          <w:color w:val="auto"/>
          <w:highlight w:val="none"/>
        </w:rPr>
        <w:t>用</w:t>
      </w:r>
      <w:r>
        <w:rPr>
          <w:rFonts w:hint="eastAsia" w:ascii="宋体" w:hAnsi="宋体" w:eastAsia="宋体" w:cs="宋体"/>
          <w:color w:val="auto"/>
          <w:highlight w:val="none"/>
          <w:lang w:val="en-US" w:eastAsia="zh-CN"/>
        </w:rPr>
        <w:t>发证检验机构</w:t>
      </w:r>
      <w:r>
        <w:rPr>
          <w:rFonts w:hint="eastAsia" w:ascii="宋体" w:hAnsi="宋体" w:eastAsia="宋体" w:cs="宋体"/>
          <w:color w:val="auto"/>
          <w:highlight w:val="none"/>
        </w:rPr>
        <w:t>认可</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不燃材料制成。</w:t>
      </w:r>
      <w:bookmarkEnd w:id="1449"/>
    </w:p>
    <w:p w14:paraId="60DD1EC2">
      <w:pPr>
        <w:pStyle w:val="260"/>
        <w:numPr>
          <w:ilvl w:val="1"/>
          <w:numId w:val="33"/>
        </w:numPr>
        <w:jc w:val="both"/>
        <w:outlineLvl w:val="1"/>
        <w:rPr>
          <w:rFonts w:hint="default" w:ascii="Times New Roman" w:hAnsi="Times New Roman" w:cs="Times New Roman"/>
          <w:color w:val="auto"/>
          <w:highlight w:val="none"/>
        </w:rPr>
      </w:pPr>
      <w:bookmarkStart w:id="1450" w:name="_Toc20500"/>
      <w:bookmarkStart w:id="1451" w:name="_Toc9322"/>
      <w:bookmarkStart w:id="1452" w:name="_Toc9071"/>
      <w:bookmarkStart w:id="1453" w:name="_Toc29389"/>
      <w:bookmarkStart w:id="1454" w:name="_Toc183727731"/>
      <w:bookmarkStart w:id="1455" w:name="_Toc19273"/>
      <w:bookmarkStart w:id="1456" w:name="_Toc11782"/>
      <w:bookmarkStart w:id="1457" w:name="_Toc3992"/>
      <w:bookmarkStart w:id="1458" w:name="_Toc13634"/>
      <w:bookmarkStart w:id="1459" w:name="_Toc11070"/>
      <w:r>
        <w:rPr>
          <w:rFonts w:hint="default" w:ascii="Times New Roman" w:hAnsi="Times New Roman" w:cs="Times New Roman"/>
          <w:color w:val="auto"/>
          <w:highlight w:val="none"/>
        </w:rPr>
        <w:t>结构防火</w:t>
      </w:r>
      <w:bookmarkEnd w:id="1450"/>
      <w:bookmarkEnd w:id="1451"/>
      <w:bookmarkEnd w:id="1452"/>
      <w:bookmarkEnd w:id="1453"/>
      <w:bookmarkEnd w:id="1454"/>
      <w:bookmarkEnd w:id="1455"/>
      <w:bookmarkEnd w:id="1456"/>
      <w:bookmarkEnd w:id="1457"/>
      <w:bookmarkEnd w:id="1458"/>
      <w:bookmarkEnd w:id="1459"/>
    </w:p>
    <w:p w14:paraId="0D098DF2">
      <w:pPr>
        <w:pStyle w:val="261"/>
        <w:spacing w:before="156" w:after="156"/>
        <w:jc w:val="left"/>
        <w:outlineLvl w:val="2"/>
        <w:rPr>
          <w:rFonts w:hint="default" w:ascii="Times New Roman" w:hAnsi="Times New Roman" w:cs="Times New Roman"/>
          <w:color w:val="auto"/>
          <w:highlight w:val="none"/>
        </w:rPr>
      </w:pPr>
      <w:bookmarkStart w:id="1460" w:name="_Toc17290"/>
      <w:bookmarkStart w:id="1461" w:name="_Toc25741"/>
      <w:bookmarkStart w:id="1462" w:name="_Toc5186"/>
      <w:bookmarkStart w:id="1463" w:name="_Toc320"/>
      <w:bookmarkStart w:id="1464" w:name="_Toc2718"/>
      <w:bookmarkStart w:id="1465" w:name="_Toc29724"/>
      <w:bookmarkStart w:id="1466" w:name="_Toc4178"/>
      <w:bookmarkStart w:id="1467" w:name="_Toc16108"/>
      <w:bookmarkStart w:id="1468" w:name="_Toc27799"/>
      <w:bookmarkStart w:id="1469" w:name="_Toc28415"/>
      <w:r>
        <w:rPr>
          <w:rFonts w:hint="default" w:ascii="Times New Roman" w:hAnsi="Times New Roman" w:cs="Times New Roman"/>
          <w:color w:val="auto"/>
          <w:highlight w:val="none"/>
        </w:rPr>
        <w:t>结构材料</w:t>
      </w:r>
      <w:bookmarkEnd w:id="1460"/>
      <w:bookmarkEnd w:id="1461"/>
      <w:bookmarkEnd w:id="1462"/>
      <w:bookmarkEnd w:id="1463"/>
      <w:bookmarkEnd w:id="1464"/>
      <w:bookmarkEnd w:id="1465"/>
      <w:bookmarkEnd w:id="1466"/>
      <w:bookmarkEnd w:id="1467"/>
      <w:bookmarkEnd w:id="1468"/>
      <w:bookmarkEnd w:id="1469"/>
    </w:p>
    <w:p w14:paraId="27F3602D">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船</w:t>
      </w:r>
      <w:r>
        <w:rPr>
          <w:rFonts w:hint="eastAsia" w:ascii="宋体" w:hAnsi="宋体" w:eastAsia="宋体" w:cs="宋体"/>
          <w:color w:val="auto"/>
          <w:highlight w:val="none"/>
        </w:rPr>
        <w:t>体、上层建筑、结构舱壁、甲板及甲板室应以钢或其他等效材料建造。</w:t>
      </w:r>
    </w:p>
    <w:p w14:paraId="5DD71A76">
      <w:pPr>
        <w:pStyle w:val="290"/>
        <w:numPr>
          <w:ilvl w:val="3"/>
          <w:numId w:val="33"/>
        </w:numPr>
        <w:spacing w:before="0" w:beforeLines="0" w:after="0" w:afterLines="0"/>
        <w:jc w:val="both"/>
        <w:outlineLvl w:val="9"/>
        <w:rPr>
          <w:rFonts w:hint="eastAsia" w:ascii="宋体" w:hAnsi="宋体" w:eastAsia="宋体" w:cs="宋体"/>
          <w:color w:val="auto"/>
          <w:highlight w:val="none"/>
        </w:rPr>
      </w:pPr>
      <w:bookmarkStart w:id="1470" w:name="OLE_LINK25"/>
      <w:r>
        <w:rPr>
          <w:rFonts w:hint="eastAsia" w:ascii="宋体" w:hAnsi="宋体" w:eastAsia="宋体" w:cs="宋体"/>
          <w:color w:val="auto"/>
          <w:highlight w:val="none"/>
        </w:rPr>
        <w:t>如结构的任何部分为铝合金，</w:t>
      </w:r>
      <w:r>
        <w:rPr>
          <w:rFonts w:hint="eastAsia" w:ascii="宋体" w:hAnsi="宋体" w:eastAsia="宋体" w:cs="宋体"/>
          <w:color w:val="auto"/>
          <w:highlight w:val="none"/>
          <w:lang w:val="en-US" w:eastAsia="zh-CN"/>
        </w:rPr>
        <w:t>满足以下</w:t>
      </w:r>
      <w:r>
        <w:rPr>
          <w:rFonts w:hint="eastAsia" w:ascii="宋体" w:hAnsi="宋体" w:eastAsia="宋体" w:cs="宋体"/>
          <w:color w:val="auto"/>
          <w:highlight w:val="none"/>
        </w:rPr>
        <w:t>要求</w:t>
      </w:r>
      <w:r>
        <w:rPr>
          <w:rFonts w:hint="eastAsia" w:ascii="宋体" w:hAnsi="宋体" w:eastAsia="宋体" w:cs="宋体"/>
          <w:color w:val="auto"/>
          <w:highlight w:val="none"/>
          <w:lang w:eastAsia="zh-CN"/>
        </w:rPr>
        <w:t>。</w:t>
      </w:r>
    </w:p>
    <w:p w14:paraId="0233B89D">
      <w:pPr>
        <w:pStyle w:val="305"/>
        <w:numPr>
          <w:ilvl w:val="0"/>
          <w:numId w:val="8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A或B级分隔的铝合金部件的隔热，除不承载负荷的结构外，在标准耐火试验适用的曝火时间内，其隔热层应使结构芯材的温度升高不超过其环境温度200 ℃。</w:t>
      </w:r>
    </w:p>
    <w:p w14:paraId="70417069">
      <w:pPr>
        <w:pStyle w:val="305"/>
        <w:numPr>
          <w:ilvl w:val="0"/>
          <w:numId w:val="86"/>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用于支承救生艇、筏的存放、降落和登乘区域以及支承A和B级分隔的铝合金圆柱、支柱和其他构件的隔热应满足：</w:t>
      </w:r>
    </w:p>
    <w:p w14:paraId="61A94268">
      <w:pPr>
        <w:pStyle w:val="39"/>
        <w:numPr>
          <w:ilvl w:val="0"/>
          <w:numId w:val="87"/>
        </w:numPr>
        <w:spacing w:after="0"/>
        <w:ind w:right="-105" w:rightChars="0"/>
        <w:jc w:val="both"/>
        <w:rPr>
          <w:rFonts w:hint="eastAsia" w:ascii="宋体" w:hAnsi="宋体" w:eastAsia="宋体" w:cs="宋体"/>
          <w:color w:val="auto"/>
          <w:highlight w:val="none"/>
        </w:rPr>
      </w:pPr>
      <w:r>
        <w:rPr>
          <w:rFonts w:hint="eastAsia" w:ascii="宋体" w:hAnsi="宋体" w:eastAsia="宋体" w:cs="宋体"/>
          <w:color w:val="auto"/>
          <w:highlight w:val="none"/>
        </w:rPr>
        <w:t>对用于支承救生艇、筏区域以及A级分隔的构件，在标准耐火试验的1</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rPr>
        <w:t>末，应符合</w:t>
      </w:r>
      <w:bookmarkStart w:id="1471" w:name="OLE_LINK23"/>
      <w:r>
        <w:rPr>
          <w:rFonts w:hint="eastAsia" w:ascii="宋体" w:hAnsi="宋体" w:eastAsia="宋体" w:cs="宋体"/>
          <w:color w:val="auto"/>
          <w:highlight w:val="none"/>
        </w:rPr>
        <w:t>18.2.1.2 a)</w:t>
      </w:r>
      <w:bookmarkEnd w:id="1471"/>
      <w:r>
        <w:rPr>
          <w:rFonts w:hint="eastAsia" w:ascii="宋体" w:hAnsi="宋体" w:eastAsia="宋体" w:cs="宋体"/>
          <w:color w:val="auto"/>
          <w:highlight w:val="none"/>
        </w:rPr>
        <w:t>规定的温升限度；</w:t>
      </w:r>
    </w:p>
    <w:p w14:paraId="1CE04C29">
      <w:pPr>
        <w:pStyle w:val="39"/>
        <w:numPr>
          <w:ilvl w:val="0"/>
          <w:numId w:val="87"/>
        </w:numPr>
        <w:spacing w:after="0"/>
        <w:ind w:right="115" w:rightChars="0"/>
        <w:jc w:val="both"/>
        <w:rPr>
          <w:rFonts w:hint="eastAsia" w:ascii="宋体" w:hAnsi="宋体" w:eastAsia="宋体" w:cs="宋体"/>
          <w:color w:val="auto"/>
          <w:highlight w:val="none"/>
        </w:rPr>
      </w:pPr>
      <w:r>
        <w:rPr>
          <w:rFonts w:hint="eastAsia" w:ascii="宋体" w:hAnsi="宋体" w:eastAsia="宋体" w:cs="宋体"/>
          <w:color w:val="auto"/>
          <w:highlight w:val="none"/>
        </w:rPr>
        <w:t>对用于支承B级分隔的构件，在标准耐火试验的0.5</w:t>
      </w:r>
      <w:r>
        <w:rPr>
          <w:rFonts w:hint="eastAsia" w:ascii="宋体" w:hAnsi="宋体" w:eastAsia="宋体" w:cs="宋体"/>
          <w:color w:val="auto"/>
          <w:highlight w:val="none"/>
          <w:lang w:val="en-US" w:eastAsia="zh-CN"/>
        </w:rPr>
        <w:t xml:space="preserve"> h</w:t>
      </w:r>
      <w:r>
        <w:rPr>
          <w:rFonts w:hint="eastAsia" w:ascii="宋体" w:hAnsi="宋体" w:eastAsia="宋体" w:cs="宋体"/>
          <w:color w:val="auto"/>
          <w:highlight w:val="none"/>
        </w:rPr>
        <w:t>末，应符合18.2.1.2 a)规定的温升限度。</w:t>
      </w:r>
    </w:p>
    <w:p w14:paraId="363E8010">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所有梯道应为钢质结构</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rPr>
        <w:t>等效材料。</w:t>
      </w:r>
    </w:p>
    <w:bookmarkEnd w:id="1470"/>
    <w:p w14:paraId="17D1B2B7">
      <w:pPr>
        <w:pStyle w:val="290"/>
        <w:numPr>
          <w:ilvl w:val="3"/>
          <w:numId w:val="33"/>
        </w:numPr>
        <w:spacing w:before="0" w:beforeLines="0" w:after="0" w:afterLines="0"/>
        <w:jc w:val="both"/>
        <w:outlineLvl w:val="9"/>
        <w:rPr>
          <w:rFonts w:hint="eastAsia" w:ascii="宋体" w:hAnsi="宋体" w:eastAsia="宋体" w:cs="宋体"/>
          <w:color w:val="auto"/>
          <w:highlight w:val="none"/>
        </w:rPr>
      </w:pPr>
      <w:bookmarkStart w:id="1472" w:name="OLE_LINK26"/>
      <w:r>
        <w:rPr>
          <w:rFonts w:hint="eastAsia" w:ascii="宋体" w:hAnsi="宋体" w:eastAsia="宋体" w:cs="宋体"/>
          <w:color w:val="auto"/>
          <w:highlight w:val="none"/>
        </w:rPr>
        <w:t>A类机器处所的</w:t>
      </w:r>
      <w:bookmarkStart w:id="1473" w:name="OLE_LINK28"/>
      <w:bookmarkStart w:id="1474" w:name="OLE_LINK27"/>
      <w:r>
        <w:rPr>
          <w:rFonts w:hint="eastAsia" w:ascii="宋体" w:hAnsi="宋体" w:eastAsia="宋体" w:cs="宋体"/>
          <w:color w:val="auto"/>
          <w:highlight w:val="none"/>
        </w:rPr>
        <w:t>顶盖</w:t>
      </w:r>
      <w:bookmarkEnd w:id="1473"/>
      <w:r>
        <w:rPr>
          <w:rFonts w:hint="eastAsia" w:ascii="宋体" w:hAnsi="宋体" w:eastAsia="宋体" w:cs="宋体"/>
          <w:color w:val="auto"/>
          <w:highlight w:val="none"/>
        </w:rPr>
        <w:t>及</w:t>
      </w:r>
      <w:bookmarkEnd w:id="1474"/>
      <w:r>
        <w:rPr>
          <w:rFonts w:hint="eastAsia" w:ascii="宋体" w:hAnsi="宋体" w:eastAsia="宋体" w:cs="宋体"/>
          <w:color w:val="auto"/>
          <w:highlight w:val="none"/>
        </w:rPr>
        <w:t>舱壁应</w:t>
      </w:r>
      <w:r>
        <w:rPr>
          <w:rFonts w:hint="eastAsia" w:ascii="宋体" w:hAnsi="宋体" w:eastAsia="宋体" w:cs="宋体"/>
          <w:color w:val="auto"/>
          <w:highlight w:val="none"/>
          <w:lang w:val="en-US" w:eastAsia="zh-CN"/>
        </w:rPr>
        <w:t>采用</w:t>
      </w:r>
      <w:r>
        <w:rPr>
          <w:rFonts w:hint="eastAsia" w:ascii="宋体" w:hAnsi="宋体" w:eastAsia="宋体" w:cs="宋体"/>
          <w:color w:val="auto"/>
          <w:highlight w:val="none"/>
        </w:rPr>
        <w:t>钢结构，其上开口</w:t>
      </w:r>
      <w:r>
        <w:rPr>
          <w:rFonts w:hint="eastAsia" w:ascii="宋体" w:hAnsi="宋体" w:eastAsia="宋体" w:cs="宋体"/>
          <w:color w:val="auto"/>
          <w:highlight w:val="none"/>
          <w:lang w:val="en-US" w:eastAsia="zh-CN"/>
        </w:rPr>
        <w:t>不应破坏其耐火完整性</w:t>
      </w:r>
      <w:r>
        <w:rPr>
          <w:rFonts w:hint="eastAsia" w:ascii="宋体" w:hAnsi="宋体" w:eastAsia="宋体" w:cs="宋体"/>
          <w:color w:val="auto"/>
          <w:highlight w:val="none"/>
        </w:rPr>
        <w:t>。</w:t>
      </w:r>
    </w:p>
    <w:bookmarkEnd w:id="1472"/>
    <w:p w14:paraId="247A25B0">
      <w:pPr>
        <w:pStyle w:val="327"/>
        <w:spacing w:before="0" w:beforeLines="0" w:after="0" w:afterLines="0"/>
        <w:jc w:val="both"/>
        <w:outlineLvl w:val="9"/>
        <w:rPr>
          <w:rFonts w:hint="eastAsia" w:ascii="宋体" w:hAnsi="宋体" w:eastAsia="宋体" w:cs="宋体"/>
          <w:color w:val="auto"/>
          <w:highlight w:val="none"/>
        </w:rPr>
      </w:pPr>
      <w:bookmarkStart w:id="1475" w:name="OLE_LINK30"/>
      <w:r>
        <w:rPr>
          <w:rFonts w:hint="eastAsia" w:ascii="宋体" w:hAnsi="宋体" w:eastAsia="宋体" w:cs="宋体"/>
          <w:color w:val="auto"/>
          <w:highlight w:val="none"/>
        </w:rPr>
        <w:t>除冷冻间及其附属机械设备外，隔壁、衬板、天花板、管道和通风管道的绝缘材料应为不燃材料。</w:t>
      </w:r>
      <w:bookmarkEnd w:id="1475"/>
      <w:bookmarkStart w:id="1476" w:name="OLE_LINK31"/>
    </w:p>
    <w:bookmarkEnd w:id="1476"/>
    <w:p w14:paraId="0DD830EC">
      <w:pPr>
        <w:pStyle w:val="327"/>
        <w:rPr>
          <w:rFonts w:hint="eastAsia" w:ascii="宋体" w:hAnsi="宋体" w:eastAsia="宋体" w:cs="宋体"/>
          <w:color w:val="auto"/>
          <w:highlight w:val="none"/>
        </w:rPr>
      </w:pPr>
      <w:r>
        <w:rPr>
          <w:rFonts w:hint="eastAsia" w:ascii="宋体" w:hAnsi="宋体" w:eastAsia="宋体" w:cs="宋体"/>
          <w:color w:val="auto"/>
          <w:highlight w:val="none"/>
        </w:rPr>
        <w:t>以下处所的外露表面应具有低播焰性：</w:t>
      </w:r>
    </w:p>
    <w:p w14:paraId="1584E83F">
      <w:pPr>
        <w:pStyle w:val="305"/>
        <w:numPr>
          <w:ilvl w:val="0"/>
          <w:numId w:val="8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走廊和梯道的环围；</w:t>
      </w:r>
    </w:p>
    <w:p w14:paraId="38712388">
      <w:pPr>
        <w:pStyle w:val="305"/>
        <w:numPr>
          <w:ilvl w:val="0"/>
          <w:numId w:val="8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起居处所、服务处所和控制站围壁及天花板；</w:t>
      </w:r>
    </w:p>
    <w:p w14:paraId="0ECF6545">
      <w:pPr>
        <w:pStyle w:val="305"/>
        <w:numPr>
          <w:ilvl w:val="0"/>
          <w:numId w:val="88"/>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在起居处所、服务处所和控制站内隐蔽或不易到达处。</w:t>
      </w:r>
    </w:p>
    <w:p w14:paraId="4A23BB29">
      <w:pPr>
        <w:pStyle w:val="327"/>
        <w:rPr>
          <w:rFonts w:hint="eastAsia" w:ascii="宋体" w:hAnsi="宋体" w:eastAsia="宋体" w:cs="宋体"/>
          <w:color w:val="auto"/>
          <w:highlight w:val="none"/>
        </w:rPr>
      </w:pPr>
      <w:r>
        <w:rPr>
          <w:rFonts w:hint="eastAsia" w:ascii="宋体" w:hAnsi="宋体" w:eastAsia="宋体" w:cs="宋体"/>
          <w:color w:val="auto"/>
          <w:highlight w:val="none"/>
        </w:rPr>
        <w:t>如在隔壁、衬板和天花板上装有可燃的镶片，镶片的厚度不应大于2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highlight w:val="none"/>
        </w:rPr>
        <w:t>mm。走廊、梯道环围和控制站内镶片的厚度不应大于1.5</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highlight w:val="none"/>
        </w:rPr>
        <w:t>mm。如果镶片的热值低于45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r>
        <w:rPr>
          <w:rFonts w:hint="eastAsia" w:ascii="宋体" w:hAnsi="宋体" w:eastAsia="宋体" w:cs="宋体"/>
          <w:color w:val="auto"/>
          <w:highlight w:val="none"/>
          <w:lang w:val="en-US" w:eastAsia="zh-CN"/>
        </w:rPr>
        <w:t>J</w:t>
      </w:r>
      <w:r>
        <w:rPr>
          <w:rFonts w:hint="eastAsia" w:ascii="宋体" w:hAnsi="宋体" w:eastAsia="宋体" w:cs="宋体"/>
          <w:color w:val="auto"/>
          <w:highlight w:val="none"/>
        </w:rPr>
        <w:t>/m</w:t>
      </w:r>
      <w:r>
        <w:rPr>
          <w:rFonts w:hint="eastAsia" w:ascii="宋体" w:hAnsi="宋体" w:eastAsia="宋体" w:cs="宋体"/>
          <w:color w:val="auto"/>
          <w:highlight w:val="none"/>
          <w:vertAlign w:val="superscript"/>
        </w:rPr>
        <w:t>2</w:t>
      </w:r>
      <w:r>
        <w:rPr>
          <w:rFonts w:hint="eastAsia" w:ascii="宋体" w:hAnsi="宋体" w:eastAsia="宋体" w:cs="宋体"/>
          <w:color w:val="auto"/>
          <w:highlight w:val="none"/>
        </w:rPr>
        <w:t>时，则不限制</w:t>
      </w:r>
      <w:r>
        <w:rPr>
          <w:rFonts w:hint="eastAsia" w:ascii="宋体" w:hAnsi="宋体" w:eastAsia="宋体" w:cs="宋体"/>
          <w:color w:val="auto"/>
          <w:highlight w:val="none"/>
          <w:lang w:val="en-US" w:eastAsia="zh-CN"/>
        </w:rPr>
        <w:t>其</w:t>
      </w:r>
      <w:r>
        <w:rPr>
          <w:rFonts w:hint="eastAsia" w:ascii="宋体" w:hAnsi="宋体" w:eastAsia="宋体" w:cs="宋体"/>
          <w:color w:val="auto"/>
          <w:highlight w:val="none"/>
        </w:rPr>
        <w:t>厚度。</w:t>
      </w:r>
    </w:p>
    <w:p w14:paraId="16FD98DA">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用于外露的内部表面上的油漆、清漆及其他表面装饰层不应产生过量的烟及毒性产物。</w:t>
      </w:r>
    </w:p>
    <w:p w14:paraId="3FD70824">
      <w:pPr>
        <w:pStyle w:val="327"/>
        <w:rPr>
          <w:rFonts w:hint="eastAsia" w:ascii="宋体" w:hAnsi="宋体" w:eastAsia="宋体" w:cs="宋体"/>
          <w:color w:val="auto"/>
          <w:highlight w:val="none"/>
        </w:rPr>
      </w:pPr>
      <w:r>
        <w:rPr>
          <w:rFonts w:hint="eastAsia" w:ascii="宋体" w:hAnsi="宋体" w:eastAsia="宋体" w:cs="宋体"/>
          <w:color w:val="auto"/>
          <w:highlight w:val="none"/>
        </w:rPr>
        <w:t>甲板敷料在高温下应满足</w:t>
      </w:r>
      <w:r>
        <w:rPr>
          <w:rFonts w:hint="eastAsia" w:ascii="宋体" w:hAnsi="宋体" w:eastAsia="宋体" w:cs="宋体"/>
          <w:color w:val="auto"/>
          <w:highlight w:val="none"/>
          <w:lang w:val="en-US" w:eastAsia="zh-CN"/>
        </w:rPr>
        <w:t>以下</w:t>
      </w:r>
      <w:r>
        <w:rPr>
          <w:rFonts w:hint="eastAsia" w:ascii="宋体" w:hAnsi="宋体" w:eastAsia="宋体" w:cs="宋体"/>
          <w:color w:val="auto"/>
          <w:highlight w:val="none"/>
        </w:rPr>
        <w:t>要求：</w:t>
      </w:r>
    </w:p>
    <w:p w14:paraId="05A15C0D">
      <w:pPr>
        <w:pStyle w:val="305"/>
        <w:numPr>
          <w:ilvl w:val="0"/>
          <w:numId w:val="89"/>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具有低播焰性；</w:t>
      </w:r>
    </w:p>
    <w:p w14:paraId="2C21CC09">
      <w:pPr>
        <w:pStyle w:val="305"/>
        <w:numPr>
          <w:ilvl w:val="0"/>
          <w:numId w:val="89"/>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不会产生有毒气体；</w:t>
      </w:r>
    </w:p>
    <w:p w14:paraId="18827B25">
      <w:pPr>
        <w:pStyle w:val="305"/>
        <w:numPr>
          <w:ilvl w:val="0"/>
          <w:numId w:val="89"/>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无爆炸危险。</w:t>
      </w:r>
    </w:p>
    <w:p w14:paraId="5C96EF81">
      <w:pPr>
        <w:pStyle w:val="261"/>
        <w:spacing w:before="156" w:after="156"/>
        <w:jc w:val="left"/>
        <w:outlineLvl w:val="2"/>
        <w:rPr>
          <w:rFonts w:hint="default" w:ascii="Times New Roman" w:hAnsi="Times New Roman" w:eastAsia="黑体" w:cs="Times New Roman"/>
          <w:color w:val="auto"/>
          <w:highlight w:val="none"/>
        </w:rPr>
      </w:pPr>
      <w:bookmarkStart w:id="1477" w:name="_Toc23229"/>
      <w:bookmarkStart w:id="1478" w:name="_Toc18019"/>
      <w:bookmarkStart w:id="1479" w:name="_Toc28967"/>
      <w:bookmarkStart w:id="1480" w:name="_Toc28250"/>
      <w:bookmarkStart w:id="1481" w:name="_Toc4077"/>
      <w:bookmarkStart w:id="1482" w:name="_Toc14553"/>
      <w:bookmarkStart w:id="1483" w:name="_Toc2848"/>
      <w:bookmarkStart w:id="1484" w:name="_Toc26038"/>
      <w:bookmarkStart w:id="1485" w:name="_Toc15282"/>
      <w:bookmarkStart w:id="1486" w:name="_Toc11353"/>
      <w:r>
        <w:rPr>
          <w:rFonts w:hint="default" w:ascii="Times New Roman" w:hAnsi="Times New Roman" w:eastAsia="黑体" w:cs="Times New Roman"/>
          <w:color w:val="auto"/>
          <w:highlight w:val="none"/>
          <w:lang w:val="en-US" w:eastAsia="zh-CN"/>
        </w:rPr>
        <w:t>耐火完整性</w:t>
      </w:r>
      <w:bookmarkEnd w:id="1477"/>
    </w:p>
    <w:p w14:paraId="2C2890FA">
      <w:pPr>
        <w:pStyle w:val="290"/>
        <w:numPr>
          <w:ilvl w:val="3"/>
          <w:numId w:val="90"/>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门的耐火完整性应满足下列要求：</w:t>
      </w:r>
    </w:p>
    <w:p w14:paraId="74FA85FD">
      <w:pPr>
        <w:pStyle w:val="305"/>
        <w:numPr>
          <w:ilvl w:val="0"/>
          <w:numId w:val="9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门的阻火性能与其安装处隔壁的耐火完整性等效。</w:t>
      </w:r>
    </w:p>
    <w:p w14:paraId="549F9B2E">
      <w:pPr>
        <w:pStyle w:val="305"/>
        <w:numPr>
          <w:ilvl w:val="0"/>
          <w:numId w:val="9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A级分隔上的所有门、门框及其在关闭时的制牢装置，其构造具有等效于其所在舱壁的耐火完整性以及阻止烟和火焰穿过的效能。</w:t>
      </w:r>
    </w:p>
    <w:p w14:paraId="73143104">
      <w:pPr>
        <w:pStyle w:val="305"/>
        <w:numPr>
          <w:ilvl w:val="0"/>
          <w:numId w:val="9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每个门仅需一人即能将其开启及关闭，且在舱壁的两侧均应可操作。</w:t>
      </w:r>
    </w:p>
    <w:p w14:paraId="63793CEB">
      <w:pPr>
        <w:pStyle w:val="305"/>
        <w:numPr>
          <w:ilvl w:val="0"/>
          <w:numId w:val="91"/>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B级分隔的门如设置通风开口，开口的总净面积不大于0.05 m</w:t>
      </w:r>
      <w:r>
        <w:rPr>
          <w:rFonts w:hint="eastAsia" w:ascii="宋体" w:hAnsi="宋体" w:cs="宋体"/>
          <w:color w:val="auto"/>
          <w:highlight w:val="none"/>
          <w:vertAlign w:val="superscript"/>
          <w:lang w:val="en-US" w:eastAsia="zh-CN"/>
        </w:rPr>
        <w:t>2</w:t>
      </w:r>
      <w:r>
        <w:rPr>
          <w:rFonts w:hint="eastAsia" w:ascii="宋体" w:hAnsi="宋体" w:cs="宋体"/>
          <w:color w:val="auto"/>
          <w:highlight w:val="none"/>
          <w:lang w:val="en-US" w:eastAsia="zh-CN"/>
        </w:rPr>
        <w:t>，并安装不燃材料制成的格栅。</w:t>
      </w:r>
    </w:p>
    <w:p w14:paraId="0A8A31A4">
      <w:pPr>
        <w:pStyle w:val="290"/>
        <w:numPr>
          <w:ilvl w:val="3"/>
          <w:numId w:val="90"/>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当</w:t>
      </w:r>
      <w:r>
        <w:rPr>
          <w:rFonts w:hint="eastAsia" w:ascii="宋体" w:hAnsi="宋体" w:eastAsia="宋体" w:cs="宋体"/>
          <w:color w:val="auto"/>
          <w:highlight w:val="none"/>
        </w:rPr>
        <w:t>电缆、管子、围阱、导管等或者桁材、横梁或其他构件穿过A级</w:t>
      </w:r>
      <w:r>
        <w:rPr>
          <w:rFonts w:hint="eastAsia" w:ascii="宋体" w:hAnsi="宋体" w:eastAsia="宋体" w:cs="宋体"/>
          <w:color w:val="auto"/>
          <w:highlight w:val="none"/>
          <w:lang w:val="en-US" w:eastAsia="zh-CN"/>
        </w:rPr>
        <w:t>或B级</w:t>
      </w:r>
      <w:r>
        <w:rPr>
          <w:rFonts w:hint="eastAsia" w:ascii="宋体" w:hAnsi="宋体" w:eastAsia="宋体" w:cs="宋体"/>
          <w:color w:val="auto"/>
          <w:highlight w:val="none"/>
        </w:rPr>
        <w:t>分隔时，应保证分隔的耐火性不受</w:t>
      </w:r>
      <w:r>
        <w:rPr>
          <w:rFonts w:hint="eastAsia" w:ascii="宋体" w:hAnsi="宋体" w:eastAsia="宋体" w:cs="宋体"/>
          <w:color w:val="auto"/>
          <w:highlight w:val="none"/>
          <w:lang w:val="en-US" w:eastAsia="zh-CN"/>
        </w:rPr>
        <w:t>损害</w:t>
      </w:r>
      <w:r>
        <w:rPr>
          <w:rFonts w:hint="eastAsia" w:ascii="宋体" w:hAnsi="宋体" w:eastAsia="宋体" w:cs="宋体"/>
          <w:color w:val="auto"/>
          <w:highlight w:val="none"/>
        </w:rPr>
        <w:t>。</w:t>
      </w:r>
    </w:p>
    <w:p w14:paraId="46CD3F49">
      <w:pPr>
        <w:pStyle w:val="290"/>
        <w:numPr>
          <w:ilvl w:val="3"/>
          <w:numId w:val="90"/>
        </w:numPr>
        <w:spacing w:before="0" w:beforeLines="0" w:after="0" w:afterLines="0"/>
        <w:jc w:val="both"/>
        <w:outlineLvl w:val="9"/>
        <w:rPr>
          <w:rFonts w:hint="default" w:ascii="Times New Roman" w:hAnsi="Times New Roman" w:cs="Times New Roman" w:eastAsiaTheme="minorEastAsia"/>
          <w:color w:val="auto"/>
          <w:highlight w:val="none"/>
        </w:rPr>
      </w:pPr>
      <w:r>
        <w:rPr>
          <w:rFonts w:hint="eastAsia" w:ascii="Times New Roman" w:hAnsi="Times New Roman" w:cs="Times New Roman" w:eastAsiaTheme="minorEastAsia"/>
          <w:color w:val="auto"/>
          <w:highlight w:val="none"/>
          <w:lang w:eastAsia="zh-CN"/>
        </w:rPr>
        <w:t>起居处所</w:t>
      </w:r>
      <w:r>
        <w:rPr>
          <w:rFonts w:hint="default" w:ascii="Times New Roman" w:hAnsi="Times New Roman" w:cs="Times New Roman" w:eastAsiaTheme="minorEastAsia"/>
          <w:color w:val="auto"/>
          <w:highlight w:val="none"/>
        </w:rPr>
        <w:t>和服务处所、控制站、走廊和梯道</w:t>
      </w:r>
      <w:r>
        <w:rPr>
          <w:rFonts w:hint="eastAsia" w:ascii="Times New Roman" w:hAnsi="Times New Roman" w:cs="Times New Roman" w:eastAsiaTheme="minorEastAsia"/>
          <w:color w:val="auto"/>
          <w:highlight w:val="none"/>
          <w:lang w:eastAsia="zh-CN"/>
        </w:rPr>
        <w:t>的</w:t>
      </w:r>
      <w:r>
        <w:rPr>
          <w:rFonts w:hint="eastAsia" w:ascii="Times New Roman" w:hAnsi="Times New Roman" w:cs="Times New Roman" w:eastAsiaTheme="minorEastAsia"/>
          <w:color w:val="auto"/>
          <w:highlight w:val="none"/>
          <w:lang w:val="en-US" w:eastAsia="zh-CN"/>
        </w:rPr>
        <w:t>防火构造细节应满足下列要求</w:t>
      </w:r>
      <w:r>
        <w:rPr>
          <w:rFonts w:hint="default" w:ascii="Times New Roman" w:hAnsi="Times New Roman" w:cs="Times New Roman" w:eastAsiaTheme="minorEastAsia"/>
          <w:color w:val="auto"/>
          <w:highlight w:val="none"/>
        </w:rPr>
        <w:t>：</w:t>
      </w:r>
    </w:p>
    <w:p w14:paraId="7A96707C">
      <w:pPr>
        <w:pStyle w:val="305"/>
        <w:numPr>
          <w:ilvl w:val="0"/>
          <w:numId w:val="92"/>
        </w:numPr>
        <w:ind w:left="839" w:leftChars="0" w:hanging="419" w:firstLineChars="0"/>
        <w:rPr>
          <w:rFonts w:hint="default" w:ascii="宋体" w:hAnsi="宋体" w:cs="宋体"/>
          <w:color w:val="auto"/>
          <w:highlight w:val="none"/>
          <w:lang w:val="en-US" w:eastAsia="zh-CN"/>
        </w:rPr>
      </w:pPr>
      <w:r>
        <w:rPr>
          <w:rFonts w:hint="eastAsia" w:ascii="宋体" w:hAnsi="宋体" w:cs="宋体"/>
          <w:color w:val="auto"/>
          <w:highlight w:val="none"/>
          <w:lang w:val="en-US" w:eastAsia="zh-CN"/>
        </w:rPr>
        <w:t>封闭在天花板或衬板后面的空间，采用挡风条隔开，挡风条间距不超过14 m；</w:t>
      </w:r>
    </w:p>
    <w:p w14:paraId="7547D47B">
      <w:pPr>
        <w:pStyle w:val="305"/>
        <w:numPr>
          <w:ilvl w:val="0"/>
          <w:numId w:val="92"/>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梯道、围阱等衬板后面的空隙，在垂直方向上在每层甲板处加以封堵</w:t>
      </w:r>
      <w:r>
        <w:rPr>
          <w:rFonts w:hint="eastAsia" w:ascii="宋体" w:hAnsi="宋体" w:cs="宋体"/>
          <w:color w:val="auto"/>
          <w:highlight w:val="none"/>
          <w:lang w:val="en-US" w:eastAsia="zh-CN"/>
        </w:rPr>
        <w:t>；</w:t>
      </w:r>
    </w:p>
    <w:p w14:paraId="3C5EFE76">
      <w:pPr>
        <w:pStyle w:val="305"/>
        <w:numPr>
          <w:ilvl w:val="0"/>
          <w:numId w:val="92"/>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所有隔热层的交接点和终止点，与其所在分隔具有相同的隔热性能</w:t>
      </w:r>
      <w:r>
        <w:rPr>
          <w:rFonts w:hint="eastAsia" w:ascii="宋体" w:hAnsi="宋体" w:cs="宋体"/>
          <w:color w:val="auto"/>
          <w:highlight w:val="none"/>
          <w:lang w:val="en-US" w:eastAsia="zh-CN"/>
        </w:rPr>
        <w:t>；</w:t>
      </w:r>
    </w:p>
    <w:p w14:paraId="2E7019D8">
      <w:pPr>
        <w:pStyle w:val="305"/>
        <w:numPr>
          <w:ilvl w:val="0"/>
          <w:numId w:val="92"/>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未要求为A级或B级分隔的一切起居和服务处所内的舱壁，耐火等级至少为C级</w:t>
      </w:r>
      <w:r>
        <w:rPr>
          <w:rFonts w:hint="eastAsia" w:ascii="宋体" w:hAnsi="宋体" w:cs="宋体"/>
          <w:color w:val="auto"/>
          <w:highlight w:val="none"/>
          <w:lang w:val="en-US" w:eastAsia="zh-CN"/>
        </w:rPr>
        <w:t>；</w:t>
      </w:r>
    </w:p>
    <w:p w14:paraId="54070C73">
      <w:pPr>
        <w:pStyle w:val="305"/>
        <w:numPr>
          <w:ilvl w:val="0"/>
          <w:numId w:val="92"/>
        </w:numPr>
        <w:ind w:left="839" w:leftChars="0" w:hanging="419" w:firstLineChars="0"/>
        <w:rPr>
          <w:rFonts w:hint="default" w:ascii="宋体" w:hAnsi="宋体" w:cs="宋体"/>
          <w:color w:val="auto"/>
          <w:highlight w:val="none"/>
          <w:lang w:val="en-US" w:eastAsia="zh-CN"/>
        </w:rPr>
      </w:pPr>
      <w:r>
        <w:rPr>
          <w:rFonts w:hint="default" w:ascii="宋体" w:hAnsi="宋体" w:cs="宋体"/>
          <w:color w:val="auto"/>
          <w:highlight w:val="none"/>
          <w:lang w:val="en-US" w:eastAsia="zh-CN"/>
        </w:rPr>
        <w:t>起居处所、服务处所和控制站内的所有衬板、风挡和天花板及其附属衬挡，均为不燃材料。</w:t>
      </w:r>
    </w:p>
    <w:p w14:paraId="192ED3C1">
      <w:pPr>
        <w:pStyle w:val="290"/>
        <w:numPr>
          <w:ilvl w:val="3"/>
          <w:numId w:val="90"/>
        </w:numPr>
        <w:spacing w:before="0" w:beforeLines="0" w:after="0" w:afterLines="0"/>
        <w:jc w:val="both"/>
        <w:outlineLvl w:val="9"/>
        <w:rPr>
          <w:rFonts w:hint="default"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梯道和电梯应满足下列要求：</w:t>
      </w:r>
    </w:p>
    <w:p w14:paraId="0CEFED0C">
      <w:pPr>
        <w:pStyle w:val="305"/>
        <w:numPr>
          <w:ilvl w:val="0"/>
          <w:numId w:val="9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仅穿过一层甲板的梯道，至少在一个水平面上采用不低于B-0级的分隔及自闭式门予以保护；</w:t>
      </w:r>
    </w:p>
    <w:p w14:paraId="7316D5CB">
      <w:pPr>
        <w:pStyle w:val="305"/>
        <w:numPr>
          <w:ilvl w:val="0"/>
          <w:numId w:val="9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仅穿过一层甲板的电梯，至少在其中一层甲板处采用A-0级分隔和自闭式门予以保护；</w:t>
      </w:r>
    </w:p>
    <w:p w14:paraId="71C90482">
      <w:pPr>
        <w:pStyle w:val="305"/>
        <w:numPr>
          <w:ilvl w:val="0"/>
          <w:numId w:val="93"/>
        </w:numPr>
        <w:ind w:left="839" w:leftChars="0" w:hanging="419" w:firstLineChars="0"/>
        <w:rPr>
          <w:rFonts w:hint="eastAsia" w:ascii="宋体" w:hAnsi="宋体" w:cs="宋体"/>
          <w:color w:val="auto"/>
          <w:highlight w:val="none"/>
          <w:lang w:val="en-US" w:eastAsia="zh-CN"/>
        </w:rPr>
      </w:pPr>
      <w:r>
        <w:rPr>
          <w:rFonts w:hint="eastAsia" w:ascii="宋体" w:hAnsi="宋体" w:cs="宋体"/>
          <w:color w:val="auto"/>
          <w:highlight w:val="none"/>
          <w:lang w:val="en-US" w:eastAsia="zh-CN"/>
        </w:rPr>
        <w:t>穿过一层以上甲板的梯道和电梯围壁，在各层甲板处采用A-0级分隔环围，并用自闭式门予以保护。</w:t>
      </w:r>
    </w:p>
    <w:p w14:paraId="03481830">
      <w:pPr>
        <w:pStyle w:val="327"/>
        <w:ind w:left="0"/>
        <w:rPr>
          <w:rFonts w:hint="eastAsia" w:ascii="宋体" w:hAnsi="宋体" w:eastAsia="宋体" w:cs="宋体"/>
          <w:color w:val="auto"/>
          <w:highlight w:val="none"/>
        </w:rPr>
      </w:pPr>
      <w:r>
        <w:rPr>
          <w:rFonts w:hint="default" w:ascii="Times New Roman" w:hAnsi="Times New Roman" w:eastAsia="宋体" w:cs="Times New Roman"/>
          <w:color w:val="auto"/>
          <w:kern w:val="0"/>
          <w:szCs w:val="21"/>
          <w:highlight w:val="none"/>
          <w:lang w:val="en-US" w:eastAsia="zh-CN"/>
        </w:rPr>
        <w:t>分隔相邻处所的隔壁和甲板的耐火完整性，应按照附录</w:t>
      </w:r>
      <w:r>
        <w:rPr>
          <w:rFonts w:hint="eastAsia" w:ascii="宋体" w:hAnsi="宋体" w:eastAsia="宋体" w:cs="宋体"/>
          <w:color w:val="auto"/>
          <w:kern w:val="0"/>
          <w:szCs w:val="21"/>
          <w:highlight w:val="none"/>
          <w:lang w:val="en-US" w:eastAsia="zh-CN"/>
        </w:rPr>
        <w:t>A</w:t>
      </w:r>
      <w:r>
        <w:rPr>
          <w:rFonts w:hint="default" w:ascii="Times New Roman" w:hAnsi="Times New Roman" w:eastAsia="宋体" w:cs="Times New Roman"/>
          <w:color w:val="auto"/>
          <w:kern w:val="0"/>
          <w:szCs w:val="21"/>
          <w:highlight w:val="none"/>
          <w:lang w:val="en-US" w:eastAsia="zh-CN"/>
        </w:rPr>
        <w:t>确定</w:t>
      </w:r>
      <w:r>
        <w:rPr>
          <w:rFonts w:hint="eastAsia" w:ascii="宋体" w:hAnsi="宋体" w:eastAsia="宋体" w:cs="宋体"/>
          <w:color w:val="auto"/>
          <w:kern w:val="0"/>
          <w:szCs w:val="21"/>
          <w:highlight w:val="none"/>
          <w:lang w:val="en-US" w:eastAsia="zh-CN"/>
        </w:rPr>
        <w:t>。</w:t>
      </w:r>
    </w:p>
    <w:p w14:paraId="613BC609">
      <w:pPr>
        <w:pStyle w:val="290"/>
        <w:numPr>
          <w:ilvl w:val="3"/>
          <w:numId w:val="90"/>
        </w:numPr>
        <w:spacing w:before="0" w:beforeLines="0" w:after="0" w:afterLines="0"/>
        <w:jc w:val="both"/>
        <w:outlineLvl w:val="9"/>
        <w:rPr>
          <w:rFonts w:hint="default" w:ascii="Times New Roman" w:hAnsi="Times New Roman" w:eastAsia="宋体" w:cs="Times New Roman"/>
          <w:color w:val="auto"/>
          <w:highlight w:val="none"/>
        </w:rPr>
      </w:pPr>
      <w:r>
        <w:rPr>
          <w:rFonts w:hint="eastAsia" w:ascii="宋体" w:hAnsi="宋体" w:eastAsia="宋体" w:cs="宋体"/>
          <w:color w:val="auto"/>
          <w:highlight w:val="none"/>
        </w:rPr>
        <w:t>B级分隔的隔壁，应从一层甲板延伸到另一层甲板，并延伸到侧壁或其他限界，如隔壁两侧都有连续的B</w:t>
      </w:r>
      <w:r>
        <w:rPr>
          <w:rFonts w:hint="default" w:ascii="Times New Roman" w:hAnsi="Times New Roman" w:eastAsia="宋体" w:cs="Times New Roman"/>
          <w:color w:val="auto"/>
          <w:highlight w:val="none"/>
        </w:rPr>
        <w:t>级天花板或衬板，则该隔壁可以在连续的天花板或衬板处终止。</w:t>
      </w:r>
    </w:p>
    <w:p w14:paraId="2E9C6B9B">
      <w:pPr>
        <w:pStyle w:val="290"/>
        <w:numPr>
          <w:ilvl w:val="3"/>
          <w:numId w:val="90"/>
        </w:numPr>
        <w:spacing w:before="0" w:beforeLines="0" w:after="0" w:afterLines="0"/>
        <w:jc w:val="both"/>
        <w:outlineLvl w:val="9"/>
        <w:rPr>
          <w:rFonts w:hint="default" w:ascii="Times New Roman" w:hAnsi="Times New Roman" w:eastAsia="宋体" w:cs="Times New Roman"/>
          <w:color w:val="auto"/>
          <w:highlight w:val="none"/>
        </w:rPr>
      </w:pPr>
      <w:r>
        <w:rPr>
          <w:rFonts w:hint="eastAsia" w:ascii="宋体" w:hAnsi="宋体" w:eastAsia="宋体" w:cs="宋体"/>
          <w:color w:val="auto"/>
          <w:highlight w:val="none"/>
        </w:rPr>
        <w:t>面向</w:t>
      </w:r>
      <w:r>
        <w:rPr>
          <w:rFonts w:hint="eastAsia" w:ascii="宋体" w:hAnsi="宋体" w:eastAsia="宋体" w:cs="宋体"/>
          <w:color w:val="auto"/>
          <w:highlight w:val="none"/>
          <w:lang w:val="en-US" w:eastAsia="zh-CN"/>
        </w:rPr>
        <w:t>货油舱、原油泵舱</w:t>
      </w:r>
      <w:r>
        <w:rPr>
          <w:rFonts w:hint="eastAsia" w:ascii="宋体" w:hAnsi="宋体" w:eastAsia="宋体" w:cs="宋体"/>
          <w:color w:val="auto"/>
          <w:highlight w:val="none"/>
        </w:rPr>
        <w:t>和油气生产区的房间外表面，</w:t>
      </w:r>
      <w:r>
        <w:rPr>
          <w:rFonts w:hint="eastAsia" w:ascii="宋体" w:hAnsi="宋体" w:eastAsia="宋体" w:cs="宋体"/>
          <w:color w:val="auto"/>
          <w:highlight w:val="none"/>
          <w:lang w:val="en-US" w:eastAsia="zh-CN"/>
        </w:rPr>
        <w:t>其防火分隔</w:t>
      </w:r>
      <w:r>
        <w:rPr>
          <w:rFonts w:hint="eastAsia" w:ascii="宋体" w:hAnsi="宋体" w:eastAsia="宋体" w:cs="宋体"/>
          <w:color w:val="auto"/>
          <w:highlight w:val="none"/>
        </w:rPr>
        <w:t>应至少</w:t>
      </w:r>
      <w:r>
        <w:rPr>
          <w:rFonts w:hint="eastAsia" w:ascii="宋体" w:hAnsi="宋体" w:eastAsia="宋体" w:cs="宋体"/>
          <w:color w:val="auto"/>
          <w:highlight w:val="none"/>
          <w:lang w:val="en-US" w:eastAsia="zh-CN"/>
        </w:rPr>
        <w:t>为A</w:t>
      </w:r>
      <w:r>
        <w:rPr>
          <w:rFonts w:hint="eastAsia" w:ascii="宋体" w:hAnsi="宋体" w:eastAsia="宋体" w:cs="宋体"/>
          <w:color w:val="auto"/>
          <w:highlight w:val="none"/>
        </w:rPr>
        <w:t>-60级</w:t>
      </w:r>
      <w:r>
        <w:rPr>
          <w:rFonts w:hint="eastAsia" w:ascii="宋体" w:hAnsi="宋体" w:eastAsia="宋体" w:cs="宋体"/>
          <w:color w:val="auto"/>
          <w:highlight w:val="none"/>
          <w:lang w:eastAsia="zh-CN"/>
        </w:rPr>
        <w:t>。</w:t>
      </w:r>
      <w:bookmarkEnd w:id="1478"/>
      <w:bookmarkEnd w:id="1479"/>
      <w:bookmarkEnd w:id="1480"/>
      <w:bookmarkEnd w:id="1481"/>
      <w:bookmarkEnd w:id="1482"/>
      <w:bookmarkEnd w:id="1483"/>
      <w:bookmarkEnd w:id="1484"/>
      <w:bookmarkEnd w:id="1485"/>
      <w:bookmarkEnd w:id="1486"/>
    </w:p>
    <w:p w14:paraId="1ED87716">
      <w:pPr>
        <w:pStyle w:val="260"/>
        <w:numPr>
          <w:ilvl w:val="1"/>
          <w:numId w:val="33"/>
        </w:numPr>
        <w:jc w:val="both"/>
        <w:outlineLvl w:val="1"/>
        <w:rPr>
          <w:rFonts w:hint="default" w:ascii="Times New Roman" w:hAnsi="Times New Roman" w:cs="Times New Roman"/>
          <w:color w:val="auto"/>
          <w:highlight w:val="none"/>
        </w:rPr>
      </w:pPr>
      <w:bookmarkStart w:id="1487" w:name="_Toc183727734"/>
      <w:bookmarkStart w:id="1488" w:name="_Toc25890"/>
      <w:bookmarkStart w:id="1489" w:name="_Toc21194"/>
      <w:bookmarkStart w:id="1490" w:name="_Toc26778"/>
      <w:bookmarkStart w:id="1491" w:name="_Toc30128"/>
      <w:bookmarkStart w:id="1492" w:name="_Toc31770"/>
      <w:bookmarkStart w:id="1493" w:name="_Toc22506"/>
      <w:bookmarkStart w:id="1494" w:name="_Toc18924"/>
      <w:bookmarkStart w:id="1495" w:name="_Toc1958"/>
      <w:bookmarkStart w:id="1496" w:name="_Toc2288"/>
      <w:r>
        <w:rPr>
          <w:rFonts w:hint="default" w:ascii="Times New Roman" w:hAnsi="Times New Roman" w:cs="Times New Roman"/>
          <w:color w:val="auto"/>
          <w:highlight w:val="none"/>
        </w:rPr>
        <w:t>水消防灭火系统</w:t>
      </w:r>
      <w:bookmarkEnd w:id="1487"/>
      <w:bookmarkEnd w:id="1488"/>
      <w:bookmarkEnd w:id="1489"/>
      <w:bookmarkEnd w:id="1490"/>
      <w:bookmarkEnd w:id="1491"/>
      <w:bookmarkEnd w:id="1492"/>
      <w:bookmarkEnd w:id="1493"/>
      <w:bookmarkEnd w:id="1494"/>
      <w:bookmarkEnd w:id="1495"/>
      <w:bookmarkEnd w:id="1496"/>
    </w:p>
    <w:p w14:paraId="57A0AF8E">
      <w:pPr>
        <w:pStyle w:val="261"/>
        <w:spacing w:before="156" w:after="156"/>
        <w:jc w:val="left"/>
        <w:outlineLvl w:val="2"/>
        <w:rPr>
          <w:rFonts w:hint="default" w:ascii="Times New Roman" w:hAnsi="Times New Roman" w:cs="Times New Roman"/>
          <w:color w:val="auto"/>
          <w:highlight w:val="none"/>
        </w:rPr>
      </w:pPr>
      <w:bookmarkStart w:id="1497" w:name="_Toc22082"/>
      <w:bookmarkStart w:id="1498" w:name="_Toc13900"/>
      <w:bookmarkStart w:id="1499" w:name="_Toc2846"/>
      <w:bookmarkStart w:id="1500" w:name="_Toc2805"/>
      <w:bookmarkStart w:id="1501" w:name="_Toc11541"/>
      <w:bookmarkStart w:id="1502" w:name="_Toc23883"/>
      <w:bookmarkStart w:id="1503" w:name="_Toc13317"/>
      <w:bookmarkStart w:id="1504" w:name="_Toc815"/>
      <w:bookmarkStart w:id="1505" w:name="_Toc5285"/>
      <w:bookmarkStart w:id="1506" w:name="_Toc19138"/>
      <w:r>
        <w:rPr>
          <w:rFonts w:hint="eastAsia" w:ascii="Times New Roman" w:cs="Times New Roman"/>
          <w:color w:val="auto"/>
          <w:highlight w:val="none"/>
          <w:lang w:val="en-US" w:eastAsia="zh-CN"/>
        </w:rPr>
        <w:t>一般要求</w:t>
      </w:r>
      <w:bookmarkEnd w:id="1497"/>
    </w:p>
    <w:p w14:paraId="3F008E06">
      <w:pPr>
        <w:pStyle w:val="327"/>
        <w:spacing w:before="0" w:beforeLines="0" w:after="0" w:afterLines="0"/>
        <w:jc w:val="both"/>
        <w:outlineLvl w:val="9"/>
        <w:rPr>
          <w:rFonts w:hint="eastAsia" w:ascii="宋体" w:hAnsi="宋体" w:eastAsia="宋体" w:cs="宋体"/>
          <w:color w:val="auto"/>
          <w:highlight w:val="none"/>
        </w:rPr>
      </w:pPr>
      <w:r>
        <w:rPr>
          <w:rFonts w:hint="default" w:ascii="Times New Roman" w:hAnsi="Times New Roman" w:cs="Times New Roman" w:eastAsiaTheme="minorEastAsia"/>
          <w:color w:val="auto"/>
          <w:highlight w:val="none"/>
        </w:rPr>
        <w:t>消防系统</w:t>
      </w:r>
      <w:r>
        <w:rPr>
          <w:rFonts w:hint="eastAsia" w:ascii="Times New Roman" w:hAnsi="Times New Roman" w:cs="Times New Roman" w:eastAsiaTheme="minorEastAsia"/>
          <w:color w:val="auto"/>
          <w:highlight w:val="none"/>
          <w:lang w:val="en-US" w:eastAsia="zh-CN"/>
        </w:rPr>
        <w:t>设置应统筹</w:t>
      </w:r>
      <w:r>
        <w:rPr>
          <w:rFonts w:hint="eastAsia" w:ascii="宋体" w:hAnsi="宋体" w:eastAsia="宋体" w:cs="宋体"/>
          <w:color w:val="auto"/>
          <w:highlight w:val="none"/>
        </w:rPr>
        <w:t>船体与上部组块</w:t>
      </w:r>
      <w:r>
        <w:rPr>
          <w:rFonts w:hint="eastAsia" w:ascii="宋体" w:hAnsi="宋体" w:eastAsia="宋体" w:cs="宋体"/>
          <w:color w:val="auto"/>
          <w:highlight w:val="none"/>
          <w:lang w:val="en-US" w:eastAsia="zh-CN"/>
        </w:rPr>
        <w:t>的消防需求</w:t>
      </w:r>
      <w:r>
        <w:rPr>
          <w:rFonts w:hint="eastAsia" w:ascii="宋体" w:hAnsi="宋体" w:eastAsia="宋体" w:cs="宋体"/>
          <w:color w:val="auto"/>
          <w:highlight w:val="none"/>
        </w:rPr>
        <w:t>。</w:t>
      </w:r>
    </w:p>
    <w:p w14:paraId="07C35CD2">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独立于</w:t>
      </w:r>
      <w:r>
        <w:rPr>
          <w:rFonts w:hint="eastAsia" w:ascii="宋体" w:hAnsi="宋体" w:eastAsia="宋体" w:cs="宋体"/>
          <w:color w:val="auto"/>
          <w:highlight w:val="none"/>
          <w:lang w:eastAsia="zh-CN"/>
        </w:rPr>
        <w:t>起居处所</w:t>
      </w:r>
      <w:r>
        <w:rPr>
          <w:rFonts w:hint="eastAsia" w:ascii="宋体" w:hAnsi="宋体" w:eastAsia="宋体" w:cs="宋体"/>
          <w:color w:val="auto"/>
          <w:highlight w:val="none"/>
        </w:rPr>
        <w:t>的控制室和电气房间应设置固定式灭火系统</w:t>
      </w:r>
      <w:r>
        <w:rPr>
          <w:rFonts w:hint="eastAsia" w:ascii="宋体" w:hAnsi="宋体" w:eastAsia="宋体" w:cs="宋体"/>
          <w:color w:val="auto"/>
          <w:highlight w:val="none"/>
          <w:lang w:eastAsia="zh-CN"/>
        </w:rPr>
        <w:t>。</w:t>
      </w:r>
    </w:p>
    <w:p w14:paraId="42B921AC">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厨房灶台和烟道应设置固定式厨房灭火系统。</w:t>
      </w:r>
    </w:p>
    <w:p w14:paraId="310A97BC">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设有燃油设备或内燃机的A类机器处所、原油泵舱，以及热介质炉、燃油型惰</w:t>
      </w:r>
      <w:r>
        <w:rPr>
          <w:rFonts w:hint="eastAsia" w:ascii="宋体" w:hAnsi="宋体" w:eastAsia="宋体" w:cs="宋体"/>
          <w:color w:val="auto"/>
          <w:highlight w:val="none"/>
          <w:lang w:val="en-US" w:eastAsia="zh-CN"/>
        </w:rPr>
        <w:t>性气体</w:t>
      </w:r>
      <w:r>
        <w:rPr>
          <w:rFonts w:hint="eastAsia" w:ascii="宋体" w:hAnsi="宋体" w:eastAsia="宋体" w:cs="宋体"/>
          <w:color w:val="auto"/>
          <w:highlight w:val="none"/>
        </w:rPr>
        <w:t>发生器设置在有人值守或定期无人值守的机房内时</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应设置气体灭火系统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高压细水雾灭火系统或高倍泡沫灭火系统等固定式灭火系统。</w:t>
      </w:r>
    </w:p>
    <w:p w14:paraId="276863CE">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货油舱</w:t>
      </w:r>
      <w:r>
        <w:rPr>
          <w:rFonts w:hint="eastAsia" w:ascii="宋体" w:hAnsi="宋体" w:eastAsia="宋体" w:cs="宋体"/>
          <w:color w:val="auto"/>
          <w:highlight w:val="none"/>
        </w:rPr>
        <w:t>、污油水舱及</w:t>
      </w:r>
      <w:r>
        <w:rPr>
          <w:rFonts w:hint="eastAsia" w:ascii="宋体" w:hAnsi="宋体" w:eastAsia="宋体" w:cs="宋体"/>
          <w:color w:val="auto"/>
          <w:highlight w:val="none"/>
          <w:lang w:val="en-US" w:eastAsia="zh-CN"/>
        </w:rPr>
        <w:t>其上部主</w:t>
      </w:r>
      <w:r>
        <w:rPr>
          <w:rFonts w:hint="eastAsia" w:ascii="宋体" w:hAnsi="宋体" w:eastAsia="宋体" w:cs="宋体"/>
          <w:color w:val="auto"/>
          <w:highlight w:val="none"/>
        </w:rPr>
        <w:t>甲板应设置甲板泡沫灭火系统。</w:t>
      </w:r>
    </w:p>
    <w:p w14:paraId="1E6FD5A9">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油气处理模块应设置雨淋灭火系统或固定</w:t>
      </w:r>
      <w:r>
        <w:rPr>
          <w:rFonts w:hint="eastAsia" w:ascii="宋体" w:hAnsi="宋体" w:eastAsia="宋体" w:cs="宋体"/>
          <w:color w:val="auto"/>
          <w:highlight w:val="none"/>
          <w:lang w:val="en-US" w:eastAsia="zh-CN"/>
        </w:rPr>
        <w:t>式</w:t>
      </w:r>
      <w:r>
        <w:rPr>
          <w:rFonts w:hint="eastAsia" w:ascii="宋体" w:hAnsi="宋体" w:eastAsia="宋体" w:cs="宋体"/>
          <w:color w:val="auto"/>
          <w:highlight w:val="none"/>
        </w:rPr>
        <w:t>泡沫灭火系统。</w:t>
      </w:r>
    </w:p>
    <w:p w14:paraId="1F65EEEE">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直升机甲板应设置固定式泡沫灭火系统，且应至少设置</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套水柱/喷雾两用水枪的软管站。</w:t>
      </w:r>
    </w:p>
    <w:p w14:paraId="3E07CF41">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天然气冷放空管上应设置注入式气体灭火系统。</w:t>
      </w:r>
    </w:p>
    <w:p w14:paraId="52AC5AD5">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当货油舱惰气系统快速放空头未设置在火炬塔上时，应设置独立的注入式气体灭火系统。</w:t>
      </w:r>
    </w:p>
    <w:p w14:paraId="107FDB48">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起居处所</w:t>
      </w:r>
      <w:r>
        <w:rPr>
          <w:rFonts w:hint="eastAsia" w:ascii="宋体" w:hAnsi="宋体" w:eastAsia="宋体" w:cs="宋体"/>
          <w:color w:val="auto"/>
          <w:highlight w:val="none"/>
        </w:rPr>
        <w:t>、船体和上部组块应设置消火栓系统或消防软管站，且含油气设备区应采用水/泡沫两用消火栓或软管站。</w:t>
      </w:r>
    </w:p>
    <w:p w14:paraId="0A85E3EC">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固定</w:t>
      </w:r>
      <w:r>
        <w:rPr>
          <w:rFonts w:hint="eastAsia" w:ascii="宋体" w:hAnsi="宋体" w:eastAsia="宋体" w:cs="宋体"/>
          <w:color w:val="auto"/>
          <w:highlight w:val="none"/>
          <w:lang w:val="en-US" w:eastAsia="zh-CN"/>
        </w:rPr>
        <w:t>式</w:t>
      </w:r>
      <w:r>
        <w:rPr>
          <w:rFonts w:hint="eastAsia" w:ascii="宋体" w:hAnsi="宋体" w:eastAsia="宋体" w:cs="宋体"/>
          <w:color w:val="auto"/>
          <w:highlight w:val="none"/>
        </w:rPr>
        <w:t>灭火系统采用其他等效灭火措施替代</w:t>
      </w:r>
      <w:r>
        <w:rPr>
          <w:rFonts w:hint="eastAsia" w:ascii="宋体" w:hAnsi="宋体" w:eastAsia="宋体" w:cs="宋体"/>
          <w:color w:val="auto"/>
          <w:highlight w:val="none"/>
          <w:lang w:val="en-US" w:eastAsia="zh-CN"/>
        </w:rPr>
        <w:t>应经过船级社认可</w:t>
      </w:r>
      <w:r>
        <w:rPr>
          <w:rFonts w:hint="eastAsia" w:ascii="宋体" w:hAnsi="宋体" w:eastAsia="宋体" w:cs="宋体"/>
          <w:color w:val="auto"/>
          <w:highlight w:val="none"/>
        </w:rPr>
        <w:t>。</w:t>
      </w:r>
    </w:p>
    <w:p w14:paraId="0D42BAF9">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起居处所</w:t>
      </w:r>
      <w:r>
        <w:rPr>
          <w:rFonts w:hint="eastAsia" w:ascii="宋体" w:hAnsi="宋体" w:eastAsia="宋体" w:cs="宋体"/>
          <w:color w:val="auto"/>
          <w:highlight w:val="none"/>
        </w:rPr>
        <w:t>、船体和上部组块应根据可能的火灾类型设置合适的</w:t>
      </w:r>
      <w:r>
        <w:rPr>
          <w:rFonts w:hint="eastAsia" w:ascii="宋体" w:hAnsi="宋体" w:eastAsia="宋体" w:cs="宋体"/>
          <w:color w:val="auto"/>
          <w:highlight w:val="none"/>
          <w:lang w:val="en-US" w:eastAsia="zh-CN"/>
        </w:rPr>
        <w:t>手提式</w:t>
      </w:r>
      <w:r>
        <w:rPr>
          <w:rFonts w:hint="eastAsia" w:ascii="宋体" w:hAnsi="宋体" w:eastAsia="宋体" w:cs="宋体"/>
          <w:color w:val="auto"/>
          <w:highlight w:val="none"/>
        </w:rPr>
        <w:t>和推车式灭火器及其他</w:t>
      </w:r>
      <w:r>
        <w:rPr>
          <w:rFonts w:hint="eastAsia" w:ascii="宋体" w:hAnsi="宋体" w:eastAsia="宋体" w:cs="宋体"/>
          <w:color w:val="auto"/>
          <w:highlight w:val="none"/>
          <w:lang w:val="en-US" w:eastAsia="zh-CN"/>
        </w:rPr>
        <w:t>手提式</w:t>
      </w:r>
      <w:r>
        <w:rPr>
          <w:rFonts w:hint="eastAsia" w:ascii="宋体" w:hAnsi="宋体" w:eastAsia="宋体" w:cs="宋体"/>
          <w:color w:val="auto"/>
          <w:highlight w:val="none"/>
        </w:rPr>
        <w:t>灭火设备。</w:t>
      </w:r>
    </w:p>
    <w:bookmarkEnd w:id="1498"/>
    <w:bookmarkEnd w:id="1499"/>
    <w:bookmarkEnd w:id="1500"/>
    <w:bookmarkEnd w:id="1501"/>
    <w:bookmarkEnd w:id="1502"/>
    <w:bookmarkEnd w:id="1503"/>
    <w:bookmarkEnd w:id="1504"/>
    <w:bookmarkEnd w:id="1505"/>
    <w:bookmarkEnd w:id="1506"/>
    <w:p w14:paraId="54A83B1F">
      <w:pPr>
        <w:pStyle w:val="261"/>
        <w:spacing w:before="156" w:after="156"/>
        <w:jc w:val="left"/>
        <w:outlineLvl w:val="2"/>
        <w:rPr>
          <w:rFonts w:hint="default" w:ascii="Times New Roman" w:hAnsi="Times New Roman" w:cs="Times New Roman"/>
          <w:color w:val="auto"/>
          <w:highlight w:val="none"/>
        </w:rPr>
      </w:pPr>
      <w:bookmarkStart w:id="1507" w:name="_Toc19361"/>
      <w:bookmarkStart w:id="1508" w:name="_Toc1903"/>
      <w:bookmarkStart w:id="1509" w:name="_Toc14724"/>
      <w:bookmarkStart w:id="1510" w:name="_Toc14097"/>
      <w:bookmarkStart w:id="1511" w:name="_Toc10812"/>
      <w:bookmarkStart w:id="1512" w:name="_Toc30479"/>
      <w:bookmarkStart w:id="1513" w:name="_Toc32662"/>
      <w:bookmarkStart w:id="1514" w:name="_Toc4482"/>
      <w:bookmarkStart w:id="1515" w:name="_Toc25211"/>
      <w:bookmarkStart w:id="1516" w:name="_Toc11170"/>
      <w:r>
        <w:rPr>
          <w:rFonts w:hint="default" w:ascii="Times New Roman" w:hAnsi="Times New Roman" w:cs="Times New Roman"/>
          <w:color w:val="auto"/>
          <w:highlight w:val="none"/>
        </w:rPr>
        <w:t>消防泵</w:t>
      </w:r>
      <w:bookmarkEnd w:id="1507"/>
      <w:bookmarkEnd w:id="1508"/>
      <w:bookmarkEnd w:id="1509"/>
      <w:bookmarkEnd w:id="1510"/>
      <w:bookmarkEnd w:id="1511"/>
      <w:bookmarkEnd w:id="1512"/>
      <w:bookmarkEnd w:id="1513"/>
      <w:bookmarkEnd w:id="1514"/>
      <w:bookmarkEnd w:id="1515"/>
      <w:bookmarkEnd w:id="1516"/>
    </w:p>
    <w:p w14:paraId="6BC8593B">
      <w:pPr>
        <w:pStyle w:val="290"/>
        <w:spacing w:beforeLines="0" w:afterLines="0"/>
        <w:outlineLvl w:val="9"/>
        <w:rPr>
          <w:rFonts w:hint="eastAsia" w:eastAsia="宋体"/>
          <w:lang w:eastAsia="zh-CN"/>
        </w:rPr>
      </w:pPr>
      <w:r>
        <w:rPr>
          <w:rFonts w:hint="eastAsia" w:ascii="宋体" w:hAnsi="宋体" w:eastAsia="宋体" w:cs="宋体"/>
          <w:color w:val="auto"/>
          <w:highlight w:val="none"/>
        </w:rPr>
        <w:t>应配备供消防水及泡沫灭火系统的主用、备用</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台（组）消防泵，主用泵（组）与备用泵（组）的动力源应相互独立。</w:t>
      </w:r>
      <w:r>
        <w:rPr>
          <w:rFonts w:hint="eastAsia" w:ascii="宋体" w:hAnsi="宋体" w:eastAsia="宋体" w:cs="宋体"/>
          <w:color w:val="auto"/>
          <w:sz w:val="21"/>
          <w:szCs w:val="21"/>
          <w:highlight w:val="none"/>
        </w:rPr>
        <w:t>当采用多用</w:t>
      </w: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备模式（主用泵（组）数量2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3台/组、备用泵（组）1台/组）时，</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经船级社认可</w:t>
      </w:r>
      <w:r>
        <w:rPr>
          <w:rFonts w:hint="eastAsia" w:ascii="宋体" w:hAnsi="宋体" w:eastAsia="宋体" w:cs="宋体"/>
          <w:color w:val="auto"/>
          <w:sz w:val="21"/>
          <w:szCs w:val="21"/>
          <w:highlight w:val="none"/>
          <w:lang w:eastAsia="zh-CN"/>
        </w:rPr>
        <w:t>。</w:t>
      </w:r>
    </w:p>
    <w:p w14:paraId="1F62F37A">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每台（组）消防泵的排量应满足上部组块最大设计喷淋水量、2个软管站需求水量与主甲板泡沫灭火系统所需水量之和。</w:t>
      </w:r>
    </w:p>
    <w:p w14:paraId="01968A23">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消防泵应</w:t>
      </w:r>
      <w:r>
        <w:rPr>
          <w:rFonts w:hint="eastAsia" w:ascii="宋体" w:hAnsi="宋体" w:eastAsia="宋体" w:cs="宋体"/>
          <w:color w:val="auto"/>
          <w:highlight w:val="none"/>
          <w:lang w:val="en-US" w:eastAsia="zh-CN"/>
        </w:rPr>
        <w:t>具备</w:t>
      </w:r>
      <w:r>
        <w:rPr>
          <w:rFonts w:hint="eastAsia" w:ascii="宋体" w:hAnsi="宋体" w:eastAsia="宋体" w:cs="宋体"/>
          <w:color w:val="auto"/>
          <w:highlight w:val="none"/>
        </w:rPr>
        <w:t>自动、遥控和就地启动</w:t>
      </w:r>
      <w:r>
        <w:rPr>
          <w:rFonts w:hint="eastAsia" w:ascii="宋体" w:hAnsi="宋体" w:eastAsia="宋体" w:cs="宋体"/>
          <w:color w:val="auto"/>
          <w:highlight w:val="none"/>
          <w:lang w:val="en-US" w:eastAsia="zh-CN"/>
        </w:rPr>
        <w:t>的能力</w:t>
      </w:r>
      <w:r>
        <w:rPr>
          <w:rFonts w:hint="eastAsia" w:ascii="宋体" w:hAnsi="宋体" w:eastAsia="宋体" w:cs="宋体"/>
          <w:color w:val="auto"/>
          <w:highlight w:val="none"/>
        </w:rPr>
        <w:t>。</w:t>
      </w:r>
    </w:p>
    <w:p w14:paraId="106BA48C">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如消防泵的原动机为柴油机，柴油机应能连续启动6次，柴油储量应保证消防泵至少连续工作18 h。</w:t>
      </w:r>
    </w:p>
    <w:p w14:paraId="0BC3A846">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消防泵、动力源和泵吸入口的布置应在非危险区；消防泵的主用泵(组)与备用泵（组）应相互远离布置，应保证在</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上任何一个处所失火时，不会导致消防泵的主用泵（组）和备用泵（组）同时失去作用。</w:t>
      </w:r>
    </w:p>
    <w:p w14:paraId="37BF4636">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每台泵的压力应保证从任何</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个水枪喷水时，其出流压力不低于350</w:t>
      </w:r>
      <w:r>
        <w:rPr>
          <w:rFonts w:hint="eastAsia" w:ascii="宋体" w:hAnsi="宋体" w:eastAsia="宋体" w:cs="宋体"/>
          <w:color w:val="auto"/>
          <w:sz w:val="21"/>
          <w:szCs w:val="21"/>
          <w:highlight w:val="none"/>
        </w:rPr>
        <w:t xml:space="preserve"> </w:t>
      </w:r>
      <w:r>
        <w:rPr>
          <w:rFonts w:hint="eastAsia" w:ascii="宋体" w:hAnsi="宋体" w:eastAsia="宋体" w:cs="宋体"/>
          <w:color w:val="auto"/>
          <w:highlight w:val="none"/>
        </w:rPr>
        <w:t>kPaG</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当设置泡沫灭火系统时，则每台泵的压力应保证泡沫炮、泡沫软管站或泡沫栓的出流压力不低于700</w:t>
      </w:r>
      <w:r>
        <w:rPr>
          <w:rFonts w:hint="eastAsia" w:ascii="宋体" w:hAnsi="宋体" w:eastAsia="宋体" w:cs="宋体"/>
          <w:color w:val="auto"/>
          <w:sz w:val="21"/>
          <w:szCs w:val="21"/>
          <w:highlight w:val="none"/>
        </w:rPr>
        <w:t xml:space="preserve"> </w:t>
      </w:r>
      <w:r>
        <w:rPr>
          <w:rFonts w:hint="eastAsia" w:ascii="宋体" w:hAnsi="宋体" w:eastAsia="宋体" w:cs="宋体"/>
          <w:color w:val="auto"/>
          <w:highlight w:val="none"/>
        </w:rPr>
        <w:t>kPaG；当设置雨淋系统时，则每台泵的压力应保证任意一点喷头出流压力不低于350</w:t>
      </w:r>
      <w:r>
        <w:rPr>
          <w:rFonts w:hint="eastAsia" w:ascii="宋体" w:hAnsi="宋体" w:eastAsia="宋体" w:cs="宋体"/>
          <w:color w:val="auto"/>
          <w:sz w:val="21"/>
          <w:szCs w:val="21"/>
          <w:highlight w:val="none"/>
        </w:rPr>
        <w:t xml:space="preserve"> </w:t>
      </w:r>
      <w:r>
        <w:rPr>
          <w:rFonts w:hint="eastAsia" w:ascii="宋体" w:hAnsi="宋体" w:eastAsia="宋体" w:cs="宋体"/>
          <w:color w:val="auto"/>
          <w:highlight w:val="none"/>
        </w:rPr>
        <w:t>kPaG</w:t>
      </w:r>
      <w:r>
        <w:rPr>
          <w:rFonts w:hint="eastAsia" w:ascii="宋体" w:hAnsi="宋体" w:eastAsia="宋体" w:cs="宋体"/>
          <w:color w:val="auto"/>
          <w:highlight w:val="none"/>
          <w:lang w:eastAsia="zh-CN"/>
        </w:rPr>
        <w:t>。</w:t>
      </w:r>
    </w:p>
    <w:p w14:paraId="66A26CC2">
      <w:pPr>
        <w:pStyle w:val="261"/>
        <w:spacing w:before="156" w:after="156"/>
        <w:jc w:val="left"/>
        <w:outlineLvl w:val="2"/>
        <w:rPr>
          <w:rFonts w:hint="default" w:ascii="Times New Roman" w:hAnsi="Times New Roman" w:cs="Times New Roman"/>
          <w:color w:val="auto"/>
          <w:highlight w:val="none"/>
        </w:rPr>
      </w:pPr>
      <w:bookmarkStart w:id="1517" w:name="_Toc6139"/>
      <w:bookmarkStart w:id="1518" w:name="_Toc28883"/>
      <w:bookmarkStart w:id="1519" w:name="_Toc24422"/>
      <w:bookmarkStart w:id="1520" w:name="_Toc6916"/>
      <w:bookmarkStart w:id="1521" w:name="_Toc18130"/>
      <w:bookmarkStart w:id="1522" w:name="_Toc27930"/>
      <w:bookmarkStart w:id="1523" w:name="_Toc19298"/>
      <w:bookmarkStart w:id="1524" w:name="_Toc13624"/>
      <w:bookmarkStart w:id="1525" w:name="_Toc11633"/>
      <w:bookmarkStart w:id="1526" w:name="_Toc30819"/>
      <w:r>
        <w:rPr>
          <w:rFonts w:hint="default" w:ascii="Times New Roman" w:hAnsi="Times New Roman" w:cs="Times New Roman"/>
          <w:color w:val="auto"/>
          <w:highlight w:val="none"/>
        </w:rPr>
        <w:t>管网</w:t>
      </w:r>
      <w:bookmarkEnd w:id="1517"/>
      <w:bookmarkEnd w:id="1518"/>
      <w:bookmarkEnd w:id="1519"/>
      <w:bookmarkEnd w:id="1520"/>
      <w:bookmarkEnd w:id="1521"/>
      <w:bookmarkEnd w:id="1522"/>
      <w:bookmarkEnd w:id="1523"/>
      <w:bookmarkEnd w:id="1524"/>
      <w:bookmarkEnd w:id="1525"/>
      <w:bookmarkEnd w:id="1526"/>
    </w:p>
    <w:p w14:paraId="3A81A4EB">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应设</w:t>
      </w:r>
      <w:r>
        <w:rPr>
          <w:rFonts w:hint="eastAsia" w:ascii="Times New Roman" w:hAnsi="Times New Roman" w:cs="Times New Roman" w:eastAsiaTheme="minorEastAsia"/>
          <w:color w:val="auto"/>
          <w:highlight w:val="none"/>
          <w:lang w:val="en-US" w:eastAsia="zh-CN"/>
        </w:rPr>
        <w:t>置</w:t>
      </w:r>
      <w:r>
        <w:rPr>
          <w:rFonts w:hint="default" w:ascii="Times New Roman" w:hAnsi="Times New Roman" w:cs="Times New Roman" w:eastAsiaTheme="minorEastAsia"/>
          <w:color w:val="auto"/>
          <w:highlight w:val="none"/>
        </w:rPr>
        <w:t>固定消防总管，其输水量及管内压力应满足所供水设备</w:t>
      </w:r>
      <w:r>
        <w:rPr>
          <w:rFonts w:hint="eastAsia" w:ascii="Times New Roman" w:hAnsi="Times New Roman" w:cs="Times New Roman" w:eastAsiaTheme="minorEastAsia"/>
          <w:color w:val="auto"/>
          <w:highlight w:val="none"/>
          <w:lang w:val="en-US" w:eastAsia="zh-CN"/>
        </w:rPr>
        <w:t>运行要求</w:t>
      </w:r>
      <w:r>
        <w:rPr>
          <w:rFonts w:hint="default" w:ascii="Times New Roman" w:hAnsi="Times New Roman" w:cs="Times New Roman" w:eastAsiaTheme="minorEastAsia"/>
          <w:color w:val="auto"/>
          <w:highlight w:val="none"/>
        </w:rPr>
        <w:t>。</w:t>
      </w:r>
    </w:p>
    <w:p w14:paraId="2032E013">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在寒冷地区，水消防系统</w:t>
      </w:r>
      <w:r>
        <w:rPr>
          <w:rFonts w:hint="eastAsia" w:ascii="Times New Roman" w:hAnsi="Times New Roman" w:cs="Times New Roman" w:eastAsiaTheme="minorEastAsia"/>
          <w:color w:val="auto"/>
          <w:highlight w:val="none"/>
          <w:lang w:val="en-US" w:eastAsia="zh-CN"/>
        </w:rPr>
        <w:t>的</w:t>
      </w:r>
      <w:r>
        <w:rPr>
          <w:rFonts w:hint="default" w:ascii="Times New Roman" w:hAnsi="Times New Roman" w:cs="Times New Roman" w:eastAsiaTheme="minorEastAsia"/>
          <w:color w:val="auto"/>
          <w:highlight w:val="none"/>
        </w:rPr>
        <w:t>充水</w:t>
      </w:r>
      <w:r>
        <w:rPr>
          <w:rFonts w:hint="eastAsia" w:ascii="Times New Roman" w:hAnsi="Times New Roman" w:cs="Times New Roman" w:eastAsiaTheme="minorEastAsia"/>
          <w:color w:val="auto"/>
          <w:highlight w:val="none"/>
          <w:lang w:eastAsia="zh-CN"/>
        </w:rPr>
        <w:t>管道</w:t>
      </w:r>
      <w:r>
        <w:rPr>
          <w:rFonts w:hint="default" w:ascii="Times New Roman" w:hAnsi="Times New Roman" w:cs="Times New Roman" w:eastAsiaTheme="minorEastAsia"/>
          <w:color w:val="auto"/>
          <w:highlight w:val="none"/>
        </w:rPr>
        <w:t>或设施应采取防冻措施。</w:t>
      </w:r>
    </w:p>
    <w:p w14:paraId="780EBFCE">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海水消防管系上的管系附件垫片应由不燃材料制成。</w:t>
      </w:r>
      <w:r>
        <w:rPr>
          <w:rFonts w:hint="default" w:ascii="Times New Roman" w:hAnsi="Times New Roman" w:eastAsiaTheme="minorEastAsia"/>
          <w:color w:val="auto"/>
          <w:highlight w:val="none"/>
        </w:rPr>
        <w:t>消防</w:t>
      </w:r>
      <w:r>
        <w:rPr>
          <w:rFonts w:hint="eastAsia" w:ascii="Times New Roman" w:hAnsi="Times New Roman" w:eastAsiaTheme="minorEastAsia"/>
          <w:color w:val="auto"/>
          <w:highlight w:val="none"/>
          <w:lang w:eastAsia="zh-CN"/>
        </w:rPr>
        <w:t>管道</w:t>
      </w:r>
      <w:r>
        <w:rPr>
          <w:rFonts w:hint="default" w:ascii="Times New Roman" w:hAnsi="Times New Roman" w:eastAsiaTheme="minorEastAsia"/>
          <w:color w:val="auto"/>
          <w:highlight w:val="none"/>
        </w:rPr>
        <w:t>与U型卡、吊架</w:t>
      </w:r>
      <w:r>
        <w:rPr>
          <w:rFonts w:hint="eastAsia" w:ascii="Times New Roman" w:hAnsi="Times New Roman" w:eastAsiaTheme="minorEastAsia"/>
          <w:color w:val="auto"/>
          <w:highlight w:val="none"/>
          <w:lang w:val="en-US" w:eastAsia="zh-CN"/>
        </w:rPr>
        <w:t>应</w:t>
      </w:r>
      <w:r>
        <w:rPr>
          <w:rFonts w:hint="default" w:ascii="Times New Roman" w:hAnsi="Times New Roman" w:eastAsiaTheme="minorEastAsia"/>
          <w:color w:val="auto"/>
          <w:highlight w:val="none"/>
        </w:rPr>
        <w:t>有非金属材料的隔离垫层或相应措施</w:t>
      </w:r>
      <w:r>
        <w:rPr>
          <w:rFonts w:hint="default" w:ascii="Times New Roman" w:hAnsi="Times New Roman" w:cs="Times New Roman" w:eastAsiaTheme="minorEastAsia"/>
          <w:color w:val="auto"/>
          <w:highlight w:val="none"/>
        </w:rPr>
        <w:t>。</w:t>
      </w:r>
    </w:p>
    <w:p w14:paraId="0DA87EBF">
      <w:pPr>
        <w:pStyle w:val="261"/>
        <w:spacing w:before="156" w:after="156"/>
        <w:jc w:val="left"/>
        <w:outlineLvl w:val="2"/>
        <w:rPr>
          <w:rFonts w:hint="default" w:ascii="Times New Roman" w:hAnsi="Times New Roman" w:cs="Times New Roman"/>
          <w:color w:val="auto"/>
          <w:highlight w:val="none"/>
        </w:rPr>
      </w:pPr>
      <w:bookmarkStart w:id="1527" w:name="_Toc20979"/>
      <w:bookmarkStart w:id="1528" w:name="_Toc7631"/>
      <w:bookmarkStart w:id="1529" w:name="_Toc31672"/>
      <w:bookmarkStart w:id="1530" w:name="_Toc25043"/>
      <w:bookmarkStart w:id="1531" w:name="_Toc20829"/>
      <w:bookmarkStart w:id="1532" w:name="_Toc1650"/>
      <w:bookmarkStart w:id="1533" w:name="_Toc5381"/>
      <w:bookmarkStart w:id="1534" w:name="_Toc19029"/>
      <w:bookmarkStart w:id="1535" w:name="_Toc30462"/>
      <w:bookmarkStart w:id="1536" w:name="_Toc11769"/>
      <w:r>
        <w:rPr>
          <w:rFonts w:hint="default" w:ascii="Times New Roman" w:hAnsi="Times New Roman" w:cs="Times New Roman"/>
          <w:color w:val="auto"/>
          <w:highlight w:val="none"/>
        </w:rPr>
        <w:t>消火栓和软管站</w:t>
      </w:r>
      <w:bookmarkEnd w:id="1527"/>
      <w:bookmarkEnd w:id="1528"/>
      <w:bookmarkEnd w:id="1529"/>
      <w:bookmarkEnd w:id="1530"/>
      <w:bookmarkEnd w:id="1531"/>
      <w:bookmarkEnd w:id="1532"/>
      <w:bookmarkEnd w:id="1533"/>
      <w:bookmarkEnd w:id="1534"/>
      <w:bookmarkEnd w:id="1535"/>
      <w:bookmarkEnd w:id="1536"/>
    </w:p>
    <w:p w14:paraId="5BA5C2CD">
      <w:pPr>
        <w:pStyle w:val="290"/>
        <w:numPr>
          <w:ilvl w:val="3"/>
          <w:numId w:val="33"/>
        </w:numPr>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消火栓和软管站的设置应满足同一平面内有两股充实水柱同时到达任何部位。</w:t>
      </w:r>
    </w:p>
    <w:p w14:paraId="54B7E38C">
      <w:pPr>
        <w:pStyle w:val="290"/>
        <w:numPr>
          <w:ilvl w:val="3"/>
          <w:numId w:val="33"/>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消火栓水带的长度应至少为10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m，在机器处所内不超</w:t>
      </w:r>
      <w:r>
        <w:rPr>
          <w:rFonts w:hint="eastAsia" w:ascii="宋体" w:hAnsi="宋体" w:eastAsia="宋体" w:cs="宋体"/>
          <w:color w:val="auto"/>
          <w:highlight w:val="none"/>
          <w:lang w:val="en-US" w:eastAsia="zh-CN"/>
        </w:rPr>
        <w:t>过</w:t>
      </w:r>
      <w:r>
        <w:rPr>
          <w:rFonts w:hint="eastAsia" w:ascii="宋体" w:hAnsi="宋体" w:eastAsia="宋体" w:cs="宋体"/>
          <w:color w:val="auto"/>
          <w:highlight w:val="none"/>
        </w:rPr>
        <w:t>15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m，在</w:t>
      </w:r>
      <w:r>
        <w:rPr>
          <w:rFonts w:hint="eastAsia" w:ascii="宋体" w:hAnsi="宋体" w:eastAsia="宋体" w:cs="宋体"/>
          <w:color w:val="auto"/>
          <w:highlight w:val="none"/>
          <w:lang w:eastAsia="zh-CN"/>
        </w:rPr>
        <w:t>其他</w:t>
      </w:r>
      <w:r>
        <w:rPr>
          <w:rFonts w:hint="eastAsia" w:ascii="宋体" w:hAnsi="宋体" w:eastAsia="宋体" w:cs="宋体"/>
          <w:color w:val="auto"/>
          <w:highlight w:val="none"/>
        </w:rPr>
        <w:t>处所内和露天甲板上不超</w:t>
      </w:r>
      <w:r>
        <w:rPr>
          <w:rFonts w:hint="eastAsia" w:ascii="宋体" w:hAnsi="宋体" w:eastAsia="宋体" w:cs="宋体"/>
          <w:color w:val="auto"/>
          <w:highlight w:val="none"/>
          <w:lang w:val="en-US" w:eastAsia="zh-CN"/>
        </w:rPr>
        <w:t>过</w:t>
      </w:r>
      <w:r>
        <w:rPr>
          <w:rFonts w:hint="eastAsia" w:ascii="宋体" w:hAnsi="宋体" w:eastAsia="宋体" w:cs="宋体"/>
          <w:color w:val="auto"/>
          <w:highlight w:val="none"/>
        </w:rPr>
        <w:t>20</w:t>
      </w:r>
      <w:r>
        <w:rPr>
          <w:rFonts w:hint="eastAsia" w:ascii="宋体" w:hAnsi="宋体" w:eastAsia="宋体" w:cs="宋体"/>
          <w:color w:val="auto"/>
          <w:highlight w:val="none"/>
          <w:lang w:val="en-US" w:eastAsia="zh-CN"/>
        </w:rPr>
        <w:t xml:space="preserve"> m</w:t>
      </w:r>
      <w:r>
        <w:rPr>
          <w:rFonts w:hint="eastAsia" w:ascii="宋体" w:hAnsi="宋体" w:eastAsia="宋体" w:cs="宋体"/>
          <w:color w:val="auto"/>
          <w:highlight w:val="none"/>
        </w:rPr>
        <w:t>，在最大宽度超过30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lang w:eastAsia="zh-CN"/>
        </w:rPr>
        <w:t>m</w:t>
      </w:r>
      <w:r>
        <w:rPr>
          <w:rFonts w:hint="eastAsia" w:ascii="宋体" w:hAnsi="宋体" w:eastAsia="宋体" w:cs="宋体"/>
          <w:color w:val="auto"/>
          <w:highlight w:val="none"/>
        </w:rPr>
        <w:t>的露天甲板上不超过25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m。软管站消防软管的长度不超过25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p>
    <w:p w14:paraId="0396A0A3">
      <w:pPr>
        <w:pStyle w:val="261"/>
        <w:spacing w:before="156" w:after="156"/>
        <w:jc w:val="left"/>
        <w:outlineLvl w:val="2"/>
        <w:rPr>
          <w:rFonts w:hint="default" w:ascii="Times New Roman" w:hAnsi="Times New Roman" w:cs="Times New Roman"/>
          <w:color w:val="auto"/>
          <w:highlight w:val="none"/>
        </w:rPr>
      </w:pPr>
      <w:bookmarkStart w:id="1537" w:name="_Toc30127"/>
      <w:bookmarkStart w:id="1538" w:name="_Toc27186"/>
      <w:bookmarkStart w:id="1539" w:name="_Toc25455"/>
      <w:bookmarkStart w:id="1540" w:name="_Toc25398"/>
      <w:bookmarkStart w:id="1541" w:name="_Toc19057"/>
      <w:bookmarkStart w:id="1542" w:name="_Toc29998"/>
      <w:bookmarkStart w:id="1543" w:name="_Toc8826"/>
      <w:bookmarkStart w:id="1544" w:name="_Toc26221"/>
      <w:bookmarkStart w:id="1545" w:name="_Toc789"/>
      <w:bookmarkStart w:id="1546" w:name="_Toc7203"/>
      <w:r>
        <w:rPr>
          <w:rFonts w:hint="default" w:ascii="Times New Roman" w:hAnsi="Times New Roman" w:cs="Times New Roman"/>
          <w:color w:val="auto"/>
          <w:highlight w:val="none"/>
        </w:rPr>
        <w:t>消防水枪</w:t>
      </w:r>
      <w:bookmarkEnd w:id="1537"/>
      <w:bookmarkEnd w:id="1538"/>
      <w:bookmarkEnd w:id="1539"/>
      <w:bookmarkEnd w:id="1540"/>
      <w:bookmarkEnd w:id="1541"/>
      <w:bookmarkEnd w:id="1542"/>
      <w:bookmarkEnd w:id="1543"/>
      <w:bookmarkEnd w:id="1544"/>
      <w:bookmarkEnd w:id="1545"/>
      <w:bookmarkEnd w:id="1546"/>
    </w:p>
    <w:p w14:paraId="1684797A">
      <w:pPr>
        <w:pStyle w:val="290"/>
        <w:numPr>
          <w:ilvl w:val="3"/>
          <w:numId w:val="0"/>
        </w:numPr>
        <w:spacing w:before="0" w:beforeLines="0" w:after="0" w:afterLines="0"/>
        <w:ind w:leftChars="0" w:firstLine="420" w:firstLineChars="200"/>
        <w:jc w:val="both"/>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消防软管或消火栓应</w:t>
      </w:r>
      <w:r>
        <w:rPr>
          <w:rFonts w:hint="eastAsia" w:ascii="宋体" w:hAnsi="宋体" w:eastAsia="宋体" w:cs="宋体"/>
          <w:color w:val="auto"/>
          <w:szCs w:val="21"/>
          <w:highlight w:val="none"/>
          <w:lang w:eastAsia="zh-CN"/>
        </w:rPr>
        <w:t>设置</w:t>
      </w:r>
      <w:r>
        <w:rPr>
          <w:rFonts w:hint="eastAsia" w:ascii="宋体" w:hAnsi="宋体" w:eastAsia="宋体" w:cs="宋体"/>
          <w:color w:val="auto"/>
          <w:szCs w:val="21"/>
          <w:highlight w:val="none"/>
        </w:rPr>
        <w:t>有关闭装置的水雾和水柱两用型水枪</w:t>
      </w:r>
      <w:r>
        <w:rPr>
          <w:rFonts w:hint="eastAsia" w:ascii="宋体" w:hAnsi="宋体" w:eastAsia="宋体" w:cs="宋体"/>
          <w:color w:val="auto"/>
          <w:highlight w:val="none"/>
        </w:rPr>
        <w:t>。</w:t>
      </w:r>
    </w:p>
    <w:p w14:paraId="4440BCEB">
      <w:pPr>
        <w:pStyle w:val="261"/>
        <w:spacing w:before="156" w:after="156"/>
        <w:jc w:val="left"/>
        <w:outlineLvl w:val="2"/>
        <w:rPr>
          <w:rFonts w:hint="default" w:ascii="Times New Roman" w:hAnsi="Times New Roman" w:cs="Times New Roman"/>
          <w:color w:val="auto"/>
          <w:highlight w:val="none"/>
        </w:rPr>
      </w:pPr>
      <w:bookmarkStart w:id="1547" w:name="_Toc19665"/>
      <w:bookmarkStart w:id="1548" w:name="_Toc1923"/>
      <w:bookmarkStart w:id="1549" w:name="_Toc20283"/>
      <w:bookmarkStart w:id="1550" w:name="_Toc24754"/>
      <w:bookmarkStart w:id="1551" w:name="_Toc2401"/>
      <w:bookmarkStart w:id="1552" w:name="_Toc32088"/>
      <w:bookmarkStart w:id="1553" w:name="_Toc28277"/>
      <w:bookmarkStart w:id="1554" w:name="_Toc1043"/>
      <w:bookmarkStart w:id="1555" w:name="_Toc6597"/>
      <w:bookmarkStart w:id="1556" w:name="_Toc20871"/>
      <w:r>
        <w:rPr>
          <w:rFonts w:hint="default" w:ascii="Times New Roman" w:hAnsi="Times New Roman" w:cs="Times New Roman"/>
          <w:color w:val="auto"/>
          <w:highlight w:val="none"/>
        </w:rPr>
        <w:t>国际通岸接头</w:t>
      </w:r>
      <w:bookmarkEnd w:id="1547"/>
      <w:bookmarkEnd w:id="1548"/>
      <w:bookmarkEnd w:id="1549"/>
      <w:bookmarkEnd w:id="1550"/>
      <w:bookmarkEnd w:id="1551"/>
      <w:bookmarkEnd w:id="1552"/>
      <w:bookmarkEnd w:id="1553"/>
      <w:bookmarkEnd w:id="1554"/>
      <w:bookmarkEnd w:id="1555"/>
      <w:bookmarkEnd w:id="1556"/>
    </w:p>
    <w:p w14:paraId="4F9D7DA3">
      <w:pPr>
        <w:pStyle w:val="290"/>
        <w:numPr>
          <w:ilvl w:val="3"/>
          <w:numId w:val="0"/>
        </w:numPr>
        <w:spacing w:before="0" w:beforeLines="0" w:after="0" w:afterLines="0"/>
        <w:ind w:leftChars="0" w:firstLine="420" w:firstLineChars="200"/>
        <w:jc w:val="both"/>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FPSO</w:t>
      </w:r>
      <w:r>
        <w:rPr>
          <w:rFonts w:hint="eastAsia" w:ascii="宋体" w:hAnsi="宋体" w:eastAsia="宋体" w:cs="宋体"/>
          <w:color w:val="auto"/>
          <w:szCs w:val="21"/>
          <w:highlight w:val="none"/>
        </w:rPr>
        <w:t>应至少配备</w:t>
      </w:r>
      <w:r>
        <w:rPr>
          <w:rFonts w:hint="eastAsia" w:ascii="宋体" w:hAnsi="宋体" w:eastAsia="宋体" w:cs="宋体"/>
          <w:color w:val="auto"/>
          <w:szCs w:val="21"/>
          <w:highlight w:val="none"/>
          <w:lang w:eastAsia="zh-CN"/>
        </w:rPr>
        <w:t>1个</w:t>
      </w:r>
      <w:r>
        <w:rPr>
          <w:rFonts w:hint="eastAsia" w:ascii="宋体" w:hAnsi="宋体" w:eastAsia="宋体" w:cs="宋体"/>
          <w:color w:val="auto"/>
          <w:szCs w:val="21"/>
          <w:highlight w:val="none"/>
        </w:rPr>
        <w:t>符合</w:t>
      </w:r>
      <w:r>
        <w:rPr>
          <w:rFonts w:hint="eastAsia" w:ascii="宋体" w:hAnsi="宋体" w:eastAsia="宋体" w:cs="宋体"/>
          <w:color w:val="auto"/>
          <w:szCs w:val="21"/>
          <w:highlight w:val="none"/>
          <w:lang w:val="en-US" w:eastAsia="zh-CN"/>
        </w:rPr>
        <w:t xml:space="preserve">IMO </w:t>
      </w:r>
      <w:r>
        <w:rPr>
          <w:rFonts w:hint="eastAsia" w:ascii="宋体" w:hAnsi="宋体" w:eastAsia="宋体" w:cs="宋体"/>
          <w:color w:val="auto"/>
          <w:szCs w:val="21"/>
          <w:highlight w:val="none"/>
        </w:rPr>
        <w:t>SOLAS</w:t>
      </w:r>
      <w:r>
        <w:rPr>
          <w:rFonts w:hint="eastAsia" w:ascii="宋体" w:hAnsi="宋体" w:eastAsia="宋体" w:cs="宋体"/>
          <w:color w:val="auto"/>
          <w:szCs w:val="21"/>
          <w:highlight w:val="none"/>
          <w:lang w:val="en-US" w:eastAsia="zh-CN"/>
        </w:rPr>
        <w:t>要求</w:t>
      </w:r>
      <w:r>
        <w:rPr>
          <w:rFonts w:hint="eastAsia" w:ascii="宋体" w:hAnsi="宋体" w:eastAsia="宋体" w:cs="宋体"/>
          <w:color w:val="auto"/>
          <w:szCs w:val="21"/>
          <w:highlight w:val="none"/>
        </w:rPr>
        <w:t>的国际通岸接头。</w:t>
      </w:r>
    </w:p>
    <w:p w14:paraId="4603498B">
      <w:pPr>
        <w:pStyle w:val="261"/>
        <w:spacing w:before="156" w:after="156"/>
        <w:jc w:val="left"/>
        <w:outlineLvl w:val="2"/>
        <w:rPr>
          <w:rFonts w:hint="default" w:ascii="Times New Roman" w:hAnsi="Times New Roman" w:cs="Times New Roman"/>
          <w:color w:val="auto"/>
          <w:highlight w:val="none"/>
        </w:rPr>
      </w:pPr>
      <w:bookmarkStart w:id="1557" w:name="_Toc32722"/>
      <w:bookmarkStart w:id="1558" w:name="_Toc16286"/>
      <w:bookmarkStart w:id="1559" w:name="_Toc24594"/>
      <w:bookmarkStart w:id="1560" w:name="_Toc14850"/>
      <w:bookmarkStart w:id="1561" w:name="_Toc18479"/>
      <w:bookmarkStart w:id="1562" w:name="_Toc9375"/>
      <w:bookmarkStart w:id="1563" w:name="_Toc25312"/>
      <w:bookmarkStart w:id="1564" w:name="_Toc6848"/>
      <w:bookmarkStart w:id="1565" w:name="_Toc6038"/>
      <w:bookmarkStart w:id="1566" w:name="_Toc17766"/>
      <w:r>
        <w:rPr>
          <w:rFonts w:hint="eastAsia" w:ascii="Times New Roman" w:cs="Times New Roman"/>
          <w:color w:val="auto"/>
          <w:highlight w:val="none"/>
          <w:lang w:eastAsia="zh-CN"/>
        </w:rPr>
        <w:t>雨淋</w:t>
      </w:r>
      <w:r>
        <w:rPr>
          <w:rFonts w:hint="default" w:ascii="Times New Roman" w:hAnsi="Times New Roman" w:cs="Times New Roman"/>
          <w:color w:val="auto"/>
          <w:highlight w:val="none"/>
        </w:rPr>
        <w:t>系统</w:t>
      </w:r>
      <w:bookmarkEnd w:id="1557"/>
      <w:bookmarkEnd w:id="1558"/>
      <w:bookmarkEnd w:id="1559"/>
      <w:bookmarkEnd w:id="1560"/>
      <w:bookmarkEnd w:id="1561"/>
      <w:bookmarkEnd w:id="1562"/>
      <w:bookmarkEnd w:id="1563"/>
      <w:bookmarkEnd w:id="1564"/>
      <w:bookmarkEnd w:id="1565"/>
      <w:bookmarkEnd w:id="1566"/>
    </w:p>
    <w:p w14:paraId="0FAC7EC4">
      <w:pPr>
        <w:pStyle w:val="290"/>
        <w:numPr>
          <w:ilvl w:val="3"/>
          <w:numId w:val="0"/>
        </w:numPr>
        <w:spacing w:before="0" w:beforeLines="0" w:after="0" w:afterLines="0"/>
        <w:ind w:leftChars="0" w:firstLine="420" w:firstLineChars="200"/>
        <w:jc w:val="both"/>
        <w:outlineLvl w:val="9"/>
        <w:rPr>
          <w:rFonts w:hint="default" w:ascii="Times New Roman" w:hAnsi="Times New Roman" w:cs="Times New Roman" w:eastAsiaTheme="minorEastAsia"/>
          <w:color w:val="auto"/>
          <w:highlight w:val="none"/>
        </w:rPr>
      </w:pPr>
      <w:r>
        <w:rPr>
          <w:rFonts w:hint="default" w:ascii="Times New Roman" w:hAnsi="Times New Roman" w:eastAsiaTheme="minorEastAsia"/>
          <w:color w:val="auto"/>
          <w:highlight w:val="none"/>
        </w:rPr>
        <w:t>油气处理设备和</w:t>
      </w:r>
      <w:r>
        <w:rPr>
          <w:rFonts w:hint="eastAsia" w:ascii="Times New Roman" w:hAnsi="Times New Roman" w:eastAsiaTheme="minorEastAsia"/>
          <w:color w:val="auto"/>
          <w:highlight w:val="none"/>
          <w:lang w:val="en-US" w:eastAsia="zh-CN"/>
        </w:rPr>
        <w:t>含</w:t>
      </w:r>
      <w:r>
        <w:rPr>
          <w:rFonts w:hint="default" w:ascii="Times New Roman" w:hAnsi="Times New Roman" w:eastAsiaTheme="minorEastAsia"/>
          <w:color w:val="auto"/>
          <w:highlight w:val="none"/>
        </w:rPr>
        <w:t>其他易燃介质的设备应设置雨淋系统，雨淋阀应设在保护处所之外便于到达的区域</w:t>
      </w:r>
      <w:r>
        <w:rPr>
          <w:rFonts w:hint="default" w:ascii="Times New Roman" w:hAnsi="Times New Roman" w:cs="Times New Roman" w:eastAsiaTheme="minorEastAsia"/>
          <w:color w:val="auto"/>
          <w:highlight w:val="none"/>
        </w:rPr>
        <w:t>。</w:t>
      </w:r>
    </w:p>
    <w:p w14:paraId="45A3624E">
      <w:pPr>
        <w:pStyle w:val="260"/>
        <w:numPr>
          <w:ilvl w:val="1"/>
          <w:numId w:val="33"/>
        </w:numPr>
        <w:jc w:val="both"/>
        <w:outlineLvl w:val="1"/>
        <w:rPr>
          <w:rFonts w:hint="default" w:ascii="Times New Roman" w:hAnsi="Times New Roman" w:cs="Times New Roman"/>
          <w:color w:val="auto"/>
          <w:highlight w:val="none"/>
        </w:rPr>
      </w:pPr>
      <w:bookmarkStart w:id="1567" w:name="_Toc20528"/>
      <w:bookmarkStart w:id="1568" w:name="_Toc23097"/>
      <w:bookmarkStart w:id="1569" w:name="_Toc25394"/>
      <w:bookmarkStart w:id="1570" w:name="_Toc3275"/>
      <w:bookmarkStart w:id="1571" w:name="_Toc25960"/>
      <w:bookmarkStart w:id="1572" w:name="_Toc183727735"/>
      <w:bookmarkStart w:id="1573" w:name="_Toc18646"/>
      <w:bookmarkStart w:id="1574" w:name="_Toc6464"/>
      <w:bookmarkStart w:id="1575" w:name="_Toc2766"/>
      <w:bookmarkStart w:id="1576" w:name="_Toc30077"/>
      <w:r>
        <w:rPr>
          <w:rFonts w:hint="default" w:ascii="Times New Roman" w:hAnsi="Times New Roman" w:cs="Times New Roman"/>
          <w:color w:val="auto"/>
          <w:highlight w:val="none"/>
        </w:rPr>
        <w:t>固定甲板泡沫灭火系统</w:t>
      </w:r>
      <w:bookmarkEnd w:id="1567"/>
      <w:bookmarkEnd w:id="1568"/>
      <w:bookmarkEnd w:id="1569"/>
      <w:bookmarkEnd w:id="1570"/>
      <w:bookmarkEnd w:id="1571"/>
      <w:bookmarkEnd w:id="1572"/>
      <w:bookmarkEnd w:id="1573"/>
      <w:bookmarkEnd w:id="1574"/>
      <w:bookmarkEnd w:id="1575"/>
      <w:bookmarkEnd w:id="1576"/>
    </w:p>
    <w:p w14:paraId="451BBFE6">
      <w:pPr>
        <w:pStyle w:val="261"/>
        <w:spacing w:before="0" w:beforeLines="0" w:after="0" w:afterLines="0"/>
        <w:jc w:val="both"/>
        <w:outlineLvl w:val="9"/>
        <w:rPr>
          <w:rFonts w:hint="default" w:ascii="Times New Roman" w:hAnsi="Times New Roman" w:cs="Times New Roman" w:eastAsiaTheme="minorEastAsia"/>
          <w:color w:val="auto"/>
          <w:highlight w:val="none"/>
        </w:rPr>
      </w:pPr>
      <w:bookmarkStart w:id="1577" w:name="_Toc30679"/>
      <w:bookmarkStart w:id="1578" w:name="_Toc13352"/>
      <w:bookmarkStart w:id="1579" w:name="_Toc6943"/>
      <w:bookmarkStart w:id="1580" w:name="_Toc4723"/>
      <w:bookmarkStart w:id="1581" w:name="_Toc22302"/>
      <w:bookmarkStart w:id="1582" w:name="_Toc2055"/>
      <w:bookmarkStart w:id="1583" w:name="_Toc23118"/>
      <w:r>
        <w:rPr>
          <w:rFonts w:hint="eastAsia" w:ascii="Times New Roman" w:cs="Times New Roman" w:eastAsiaTheme="minorEastAsia"/>
          <w:color w:val="auto"/>
          <w:highlight w:val="none"/>
          <w:lang w:val="en-US" w:eastAsia="zh-CN"/>
        </w:rPr>
        <w:t>固定</w:t>
      </w:r>
      <w:r>
        <w:rPr>
          <w:rFonts w:hint="default" w:ascii="Times New Roman" w:hAnsi="Times New Roman" w:cs="Times New Roman" w:eastAsiaTheme="minorEastAsia"/>
          <w:color w:val="auto"/>
          <w:highlight w:val="none"/>
        </w:rPr>
        <w:t>甲板泡沫灭火系统</w:t>
      </w:r>
      <w:r>
        <w:rPr>
          <w:rFonts w:hint="eastAsia" w:ascii="Times New Roman" w:cs="Times New Roman" w:eastAsiaTheme="minorEastAsia"/>
          <w:color w:val="auto"/>
          <w:highlight w:val="none"/>
          <w:lang w:val="en-US" w:eastAsia="zh-CN"/>
        </w:rPr>
        <w:t>保护范围应覆盖</w:t>
      </w:r>
      <w:r>
        <w:rPr>
          <w:rFonts w:hint="default" w:ascii="Times New Roman" w:hAnsi="Times New Roman" w:cs="Times New Roman" w:eastAsiaTheme="minorEastAsia"/>
          <w:color w:val="auto"/>
          <w:highlight w:val="none"/>
        </w:rPr>
        <w:t>原油区域甲板</w:t>
      </w:r>
      <w:r>
        <w:rPr>
          <w:rFonts w:hint="default" w:ascii="Times New Roman" w:hAnsi="Times New Roman" w:cs="Times New Roman" w:eastAsiaTheme="minorEastAsia"/>
          <w:strike w:val="0"/>
          <w:color w:val="auto"/>
          <w:highlight w:val="none"/>
        </w:rPr>
        <w:t>及</w:t>
      </w:r>
      <w:r>
        <w:rPr>
          <w:rFonts w:hint="default" w:ascii="Times New Roman" w:hAnsi="Times New Roman" w:cs="Times New Roman" w:eastAsiaTheme="minorEastAsia"/>
          <w:color w:val="auto"/>
          <w:highlight w:val="none"/>
        </w:rPr>
        <w:t>破裂</w:t>
      </w:r>
      <w:r>
        <w:rPr>
          <w:rFonts w:hint="eastAsia" w:ascii="Times New Roman" w:hAnsi="Times New Roman" w:cs="Times New Roman" w:eastAsiaTheme="minorEastAsia"/>
          <w:color w:val="auto"/>
          <w:highlight w:val="none"/>
          <w:lang w:val="en-US" w:eastAsia="zh-CN"/>
        </w:rPr>
        <w:t>货油</w:t>
      </w:r>
      <w:r>
        <w:rPr>
          <w:rFonts w:hint="default" w:ascii="Times New Roman" w:hAnsi="Times New Roman" w:cs="Times New Roman" w:eastAsiaTheme="minorEastAsia"/>
          <w:color w:val="auto"/>
          <w:highlight w:val="none"/>
        </w:rPr>
        <w:t>舱。</w:t>
      </w:r>
      <w:bookmarkEnd w:id="1577"/>
      <w:bookmarkEnd w:id="1578"/>
      <w:bookmarkEnd w:id="1579"/>
      <w:bookmarkEnd w:id="1580"/>
    </w:p>
    <w:p w14:paraId="1ECE84B6">
      <w:pPr>
        <w:pStyle w:val="261"/>
        <w:spacing w:before="0" w:beforeLines="0" w:after="0" w:afterLines="0"/>
        <w:jc w:val="both"/>
        <w:outlineLvl w:val="9"/>
        <w:rPr>
          <w:rFonts w:hint="eastAsia" w:ascii="宋体" w:hAnsi="宋体" w:eastAsia="宋体" w:cs="宋体"/>
          <w:color w:val="auto"/>
          <w:highlight w:val="none"/>
        </w:rPr>
      </w:pPr>
      <w:bookmarkStart w:id="1584" w:name="_Toc14220"/>
      <w:bookmarkStart w:id="1585" w:name="_Toc23381"/>
      <w:bookmarkStart w:id="1586" w:name="_Toc25269"/>
      <w:bookmarkStart w:id="1587" w:name="_Toc27868"/>
      <w:r>
        <w:rPr>
          <w:rFonts w:hint="eastAsia" w:ascii="Times New Roman" w:cs="Times New Roman" w:eastAsiaTheme="minorEastAsia"/>
          <w:color w:val="auto"/>
          <w:highlight w:val="none"/>
          <w:lang w:val="en-US" w:eastAsia="zh-CN"/>
        </w:rPr>
        <w:t>固定</w:t>
      </w:r>
      <w:r>
        <w:rPr>
          <w:rFonts w:hint="default" w:ascii="Times New Roman" w:hAnsi="Times New Roman" w:cs="Times New Roman" w:eastAsiaTheme="minorEastAsia"/>
          <w:color w:val="auto"/>
          <w:highlight w:val="none"/>
        </w:rPr>
        <w:t>甲板泡沫灭火系统的控制站应布置在原油区域以外，且在被保护区域失火时易于到达的区域。</w:t>
      </w:r>
      <w:bookmarkEnd w:id="1584"/>
      <w:bookmarkEnd w:id="1585"/>
      <w:bookmarkEnd w:id="1586"/>
      <w:bookmarkEnd w:id="1587"/>
      <w:bookmarkStart w:id="1588" w:name="_Toc3707"/>
      <w:bookmarkStart w:id="1589" w:name="_Toc8116"/>
      <w:bookmarkStart w:id="1590" w:name="_Toc15939"/>
      <w:bookmarkStart w:id="1591" w:name="_Toc5232"/>
    </w:p>
    <w:p w14:paraId="36E0EBCB">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泡沫溶液的供给率应</w:t>
      </w:r>
      <w:r>
        <w:rPr>
          <w:rFonts w:hint="eastAsia" w:ascii="宋体" w:hAnsi="宋体" w:eastAsia="宋体" w:cs="宋体"/>
          <w:color w:val="auto"/>
          <w:highlight w:val="none"/>
          <w:lang w:val="en-US" w:eastAsia="zh-CN"/>
        </w:rPr>
        <w:t>大</w:t>
      </w:r>
      <w:r>
        <w:rPr>
          <w:rFonts w:hint="eastAsia" w:ascii="宋体" w:hAnsi="宋体" w:eastAsia="宋体" w:cs="宋体"/>
          <w:color w:val="auto"/>
          <w:highlight w:val="none"/>
        </w:rPr>
        <w:t>于下列的最大值：</w:t>
      </w:r>
      <w:bookmarkEnd w:id="1588"/>
      <w:bookmarkEnd w:id="1589"/>
      <w:bookmarkEnd w:id="1590"/>
      <w:bookmarkEnd w:id="1591"/>
    </w:p>
    <w:p w14:paraId="727BC5BA">
      <w:pPr>
        <w:pStyle w:val="305"/>
        <w:numPr>
          <w:ilvl w:val="0"/>
          <w:numId w:val="94"/>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rPr>
        <w:t>以0.6</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min</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m</w:t>
      </w:r>
      <w:r>
        <w:rPr>
          <w:rFonts w:hint="eastAsia" w:ascii="宋体" w:hAnsi="宋体" w:eastAsia="宋体" w:cs="宋体"/>
          <w:color w:val="auto"/>
          <w:highlight w:val="none"/>
          <w:vertAlign w:val="superscript"/>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供给强度，</w:t>
      </w:r>
      <w:r>
        <w:rPr>
          <w:rFonts w:hint="eastAsia" w:ascii="宋体" w:hAnsi="宋体" w:eastAsia="宋体" w:cs="宋体"/>
          <w:color w:val="auto"/>
          <w:highlight w:val="none"/>
          <w:lang w:val="en-US" w:eastAsia="zh-CN"/>
        </w:rPr>
        <w:t>按照货</w:t>
      </w:r>
      <w:r>
        <w:rPr>
          <w:rFonts w:hint="eastAsia" w:ascii="宋体" w:hAnsi="宋体" w:eastAsia="宋体" w:cs="宋体"/>
          <w:color w:val="auto"/>
          <w:highlight w:val="none"/>
        </w:rPr>
        <w:t>油舱区域甲板面积计算的供给率；</w:t>
      </w:r>
    </w:p>
    <w:p w14:paraId="1CA2CCDB">
      <w:pPr>
        <w:pStyle w:val="305"/>
        <w:numPr>
          <w:ilvl w:val="0"/>
          <w:numId w:val="94"/>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rPr>
        <w:t>以6</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min</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m</w:t>
      </w:r>
      <w:r>
        <w:rPr>
          <w:rFonts w:hint="eastAsia" w:ascii="宋体" w:hAnsi="宋体" w:eastAsia="宋体" w:cs="宋体"/>
          <w:color w:val="auto"/>
          <w:highlight w:val="none"/>
          <w:vertAlign w:val="superscript"/>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供给强度，</w:t>
      </w:r>
      <w:r>
        <w:rPr>
          <w:rFonts w:hint="eastAsia" w:ascii="宋体" w:hAnsi="宋体" w:eastAsia="宋体" w:cs="宋体"/>
          <w:color w:val="auto"/>
          <w:highlight w:val="none"/>
          <w:lang w:val="en-US" w:eastAsia="zh-CN"/>
        </w:rPr>
        <w:t>按照</w:t>
      </w:r>
      <w:r>
        <w:rPr>
          <w:rFonts w:hint="eastAsia" w:ascii="宋体" w:hAnsi="宋体" w:eastAsia="宋体" w:cs="宋体"/>
          <w:color w:val="auto"/>
          <w:highlight w:val="none"/>
        </w:rPr>
        <w:t>最大面积的单个</w:t>
      </w:r>
      <w:r>
        <w:rPr>
          <w:rFonts w:hint="eastAsia" w:ascii="宋体" w:hAnsi="宋体" w:eastAsia="宋体" w:cs="宋体"/>
          <w:color w:val="auto"/>
          <w:highlight w:val="none"/>
          <w:lang w:val="en-US" w:eastAsia="zh-CN"/>
        </w:rPr>
        <w:t>货</w:t>
      </w:r>
      <w:r>
        <w:rPr>
          <w:rFonts w:hint="eastAsia" w:ascii="宋体" w:hAnsi="宋体" w:eastAsia="宋体" w:cs="宋体"/>
          <w:color w:val="auto"/>
          <w:highlight w:val="none"/>
        </w:rPr>
        <w:t>油舱水平截面积计算的供给率；</w:t>
      </w:r>
    </w:p>
    <w:p w14:paraId="5400473F">
      <w:pPr>
        <w:pStyle w:val="305"/>
        <w:numPr>
          <w:ilvl w:val="0"/>
          <w:numId w:val="94"/>
        </w:numPr>
        <w:ind w:left="839" w:leftChars="0" w:hanging="419" w:firstLineChars="0"/>
        <w:rPr>
          <w:rFonts w:hint="eastAsia" w:ascii="宋体" w:hAnsi="宋体" w:cs="宋体"/>
          <w:color w:val="auto"/>
          <w:highlight w:val="none"/>
          <w:lang w:val="en-US" w:eastAsia="zh-CN"/>
        </w:rPr>
      </w:pPr>
      <w:r>
        <w:rPr>
          <w:rFonts w:hint="eastAsia" w:ascii="宋体" w:hAnsi="宋体" w:eastAsia="宋体" w:cs="宋体"/>
          <w:color w:val="auto"/>
          <w:highlight w:val="none"/>
        </w:rPr>
        <w:t>以3</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min</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m</w:t>
      </w:r>
      <w:r>
        <w:rPr>
          <w:rFonts w:hint="eastAsia" w:ascii="宋体" w:hAnsi="宋体" w:eastAsia="宋体" w:cs="宋体"/>
          <w:color w:val="auto"/>
          <w:highlight w:val="none"/>
          <w:vertAlign w:val="superscript"/>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供给强度，</w:t>
      </w:r>
      <w:r>
        <w:rPr>
          <w:rFonts w:hint="eastAsia" w:ascii="宋体" w:hAnsi="宋体" w:eastAsia="宋体" w:cs="宋体"/>
          <w:color w:val="auto"/>
          <w:highlight w:val="none"/>
          <w:lang w:val="en-US" w:eastAsia="zh-CN"/>
        </w:rPr>
        <w:t>按照</w:t>
      </w:r>
      <w:r>
        <w:rPr>
          <w:rFonts w:hint="eastAsia" w:ascii="宋体" w:hAnsi="宋体" w:eastAsia="宋体" w:cs="宋体"/>
          <w:color w:val="auto"/>
          <w:highlight w:val="none"/>
        </w:rPr>
        <w:t>泡沫炮保护的最大面积计算的供给率，且该供给率不低于1250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L/min。</w:t>
      </w:r>
    </w:p>
    <w:p w14:paraId="5B732DC3">
      <w:pPr>
        <w:pStyle w:val="261"/>
        <w:spacing w:before="0" w:beforeLines="0" w:after="0" w:afterLines="0"/>
        <w:jc w:val="both"/>
        <w:outlineLvl w:val="9"/>
        <w:rPr>
          <w:rFonts w:hint="eastAsia" w:ascii="宋体" w:hAnsi="宋体" w:eastAsia="宋体" w:cs="宋体"/>
          <w:color w:val="auto"/>
          <w:highlight w:val="none"/>
        </w:rPr>
      </w:pPr>
      <w:bookmarkStart w:id="1592" w:name="_Toc934"/>
      <w:r>
        <w:rPr>
          <w:rFonts w:hint="eastAsia" w:ascii="宋体" w:hAnsi="宋体" w:eastAsia="宋体" w:cs="宋体"/>
          <w:color w:val="auto"/>
          <w:highlight w:val="none"/>
        </w:rPr>
        <w:t>泡沫液供给时间应不少于20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min，泡沫倍数应不超过12：1。</w:t>
      </w:r>
      <w:bookmarkEnd w:id="1581"/>
      <w:bookmarkEnd w:id="1582"/>
      <w:bookmarkEnd w:id="1583"/>
      <w:bookmarkEnd w:id="1592"/>
    </w:p>
    <w:p w14:paraId="78A1B6FC">
      <w:pPr>
        <w:pStyle w:val="261"/>
        <w:spacing w:before="156" w:after="156"/>
        <w:jc w:val="left"/>
        <w:outlineLvl w:val="9"/>
        <w:rPr>
          <w:rFonts w:hint="default" w:ascii="Times New Roman" w:hAnsi="Times New Roman" w:cs="Times New Roman"/>
          <w:color w:val="auto"/>
          <w:highlight w:val="none"/>
        </w:rPr>
      </w:pPr>
      <w:bookmarkStart w:id="1593" w:name="_Toc17517"/>
      <w:bookmarkStart w:id="1594" w:name="_Toc31558"/>
      <w:bookmarkStart w:id="1595" w:name="_Toc18952"/>
      <w:bookmarkStart w:id="1596" w:name="_Toc28630"/>
      <w:r>
        <w:rPr>
          <w:rFonts w:hint="default" w:ascii="Times New Roman" w:hAnsi="Times New Roman" w:cs="Times New Roman"/>
          <w:color w:val="auto"/>
          <w:highlight w:val="none"/>
        </w:rPr>
        <w:t>泡沫炮和泡沫枪</w:t>
      </w:r>
      <w:bookmarkEnd w:id="1593"/>
      <w:bookmarkEnd w:id="1594"/>
      <w:bookmarkEnd w:id="1595"/>
      <w:bookmarkEnd w:id="1596"/>
    </w:p>
    <w:p w14:paraId="14EA913F">
      <w:pPr>
        <w:pStyle w:val="290"/>
        <w:numPr>
          <w:ilvl w:val="3"/>
          <w:numId w:val="95"/>
        </w:numPr>
        <w:spacing w:before="0" w:beforeLines="0" w:after="0" w:afterLines="0"/>
        <w:jc w:val="both"/>
        <w:outlineLvl w:val="9"/>
        <w:rPr>
          <w:rFonts w:hint="eastAsia" w:ascii="宋体" w:hAnsi="宋体" w:eastAsia="宋体" w:cs="宋体"/>
          <w:strike w:val="0"/>
          <w:color w:val="auto"/>
          <w:highlight w:val="none"/>
        </w:rPr>
      </w:pPr>
      <w:r>
        <w:rPr>
          <w:rFonts w:hint="eastAsia" w:ascii="宋体" w:hAnsi="宋体" w:eastAsia="宋体" w:cs="宋体"/>
          <w:strike w:val="0"/>
          <w:color w:val="auto"/>
          <w:highlight w:val="none"/>
        </w:rPr>
        <w:t>开敞甲板应采用泡沫炮进行保护，且应设置泡沫</w:t>
      </w:r>
      <w:r>
        <w:rPr>
          <w:rFonts w:hint="eastAsia" w:ascii="宋体" w:hAnsi="宋体" w:eastAsia="宋体" w:cs="宋体"/>
          <w:strike w:val="0"/>
          <w:color w:val="auto"/>
          <w:highlight w:val="none"/>
          <w:lang w:val="en-US" w:eastAsia="zh-CN"/>
        </w:rPr>
        <w:t>消火栓</w:t>
      </w:r>
      <w:r>
        <w:rPr>
          <w:rFonts w:hint="eastAsia" w:ascii="宋体" w:hAnsi="宋体" w:eastAsia="宋体" w:cs="宋体"/>
          <w:strike w:val="0"/>
          <w:color w:val="auto"/>
          <w:highlight w:val="none"/>
        </w:rPr>
        <w:t>用于保护泡沫炮保护不到的地方。</w:t>
      </w:r>
    </w:p>
    <w:p w14:paraId="68030F84">
      <w:pPr>
        <w:pStyle w:val="290"/>
        <w:numPr>
          <w:ilvl w:val="3"/>
          <w:numId w:val="95"/>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每</w:t>
      </w:r>
      <w:r>
        <w:rPr>
          <w:rFonts w:hint="eastAsia" w:ascii="宋体" w:hAnsi="宋体" w:eastAsia="宋体" w:cs="宋体"/>
          <w:color w:val="auto"/>
          <w:highlight w:val="none"/>
          <w:lang w:eastAsia="zh-CN"/>
        </w:rPr>
        <w:t>1具</w:t>
      </w:r>
      <w:r>
        <w:rPr>
          <w:rFonts w:hint="eastAsia" w:ascii="宋体" w:hAnsi="宋体" w:eastAsia="宋体" w:cs="宋体"/>
          <w:color w:val="auto"/>
          <w:highlight w:val="none"/>
        </w:rPr>
        <w:t>泡沫炮</w:t>
      </w:r>
      <w:r>
        <w:rPr>
          <w:rFonts w:hint="eastAsia" w:ascii="宋体" w:hAnsi="宋体" w:eastAsia="宋体" w:cs="宋体"/>
          <w:color w:val="auto"/>
          <w:highlight w:val="none"/>
          <w:lang w:val="en-US" w:eastAsia="zh-CN"/>
        </w:rPr>
        <w:t>的输送能力</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不低于</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.3要求的泡沫溶液供给率的50%。</w:t>
      </w:r>
    </w:p>
    <w:p w14:paraId="1445F005">
      <w:pPr>
        <w:pStyle w:val="290"/>
        <w:numPr>
          <w:ilvl w:val="3"/>
          <w:numId w:val="95"/>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面向</w:t>
      </w:r>
      <w:r>
        <w:rPr>
          <w:rFonts w:hint="eastAsia" w:ascii="宋体" w:hAnsi="宋体" w:eastAsia="宋体" w:cs="宋体"/>
          <w:color w:val="auto"/>
          <w:highlight w:val="none"/>
          <w:lang w:eastAsia="zh-CN"/>
        </w:rPr>
        <w:t>货油舱</w:t>
      </w:r>
      <w:r>
        <w:rPr>
          <w:rFonts w:hint="eastAsia" w:ascii="宋体" w:hAnsi="宋体" w:eastAsia="宋体" w:cs="宋体"/>
          <w:color w:val="auto"/>
          <w:highlight w:val="none"/>
        </w:rPr>
        <w:t>甲板的生活区左右两侧，应各装设1具泡沫炮和用于泡沫</w:t>
      </w:r>
      <w:r>
        <w:rPr>
          <w:rFonts w:hint="eastAsia" w:ascii="宋体" w:hAnsi="宋体" w:eastAsia="宋体" w:cs="宋体"/>
          <w:color w:val="auto"/>
          <w:highlight w:val="none"/>
          <w:lang w:val="en-US" w:eastAsia="zh-CN"/>
        </w:rPr>
        <w:t>消火栓</w:t>
      </w:r>
      <w:r>
        <w:rPr>
          <w:rFonts w:hint="eastAsia" w:ascii="宋体" w:hAnsi="宋体" w:eastAsia="宋体" w:cs="宋体"/>
          <w:color w:val="auto"/>
          <w:highlight w:val="none"/>
        </w:rPr>
        <w:t>的软管接头。</w:t>
      </w:r>
    </w:p>
    <w:p w14:paraId="53CB2F99">
      <w:pPr>
        <w:pStyle w:val="290"/>
        <w:numPr>
          <w:ilvl w:val="3"/>
          <w:numId w:val="95"/>
        </w:numPr>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每支泡沫</w:t>
      </w:r>
      <w:r>
        <w:rPr>
          <w:rFonts w:hint="eastAsia" w:ascii="宋体" w:hAnsi="宋体" w:eastAsia="宋体" w:cs="宋体"/>
          <w:color w:val="auto"/>
          <w:highlight w:val="none"/>
          <w:lang w:val="en-US" w:eastAsia="zh-CN"/>
        </w:rPr>
        <w:t>消火栓</w:t>
      </w:r>
      <w:r>
        <w:rPr>
          <w:rFonts w:hint="eastAsia" w:ascii="宋体" w:hAnsi="宋体" w:eastAsia="宋体" w:cs="宋体"/>
          <w:color w:val="auto"/>
          <w:highlight w:val="none"/>
        </w:rPr>
        <w:t>的供给率应不低于400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L/min，且在静止空气中的射程应不小于15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m，泡沫软管的长度应不超过30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w:t>
      </w:r>
    </w:p>
    <w:p w14:paraId="3EFDECFB">
      <w:pPr>
        <w:pStyle w:val="260"/>
        <w:numPr>
          <w:ilvl w:val="1"/>
          <w:numId w:val="33"/>
        </w:numPr>
        <w:jc w:val="both"/>
        <w:outlineLvl w:val="1"/>
        <w:rPr>
          <w:rFonts w:hint="default" w:ascii="Times New Roman" w:hAnsi="Times New Roman" w:cs="Times New Roman"/>
          <w:color w:val="auto"/>
          <w:highlight w:val="none"/>
        </w:rPr>
      </w:pPr>
      <w:bookmarkStart w:id="1597" w:name="_Toc19371"/>
      <w:bookmarkStart w:id="1598" w:name="_Toc12562"/>
      <w:bookmarkStart w:id="1599" w:name="_Toc183727736"/>
      <w:bookmarkStart w:id="1600" w:name="_Toc32416"/>
      <w:bookmarkStart w:id="1601" w:name="_Toc23506"/>
      <w:bookmarkStart w:id="1602" w:name="_Toc26225"/>
      <w:bookmarkStart w:id="1603" w:name="_Toc2502"/>
      <w:bookmarkStart w:id="1604" w:name="_Toc2893"/>
      <w:bookmarkStart w:id="1605" w:name="_Toc11632"/>
      <w:bookmarkStart w:id="1606" w:name="_Toc17390"/>
      <w:r>
        <w:rPr>
          <w:rFonts w:hint="default" w:ascii="Times New Roman" w:hAnsi="Times New Roman" w:cs="Times New Roman"/>
          <w:color w:val="auto"/>
          <w:highlight w:val="none"/>
        </w:rPr>
        <w:t>气体灭火系统</w:t>
      </w:r>
      <w:bookmarkEnd w:id="1597"/>
      <w:bookmarkEnd w:id="1598"/>
      <w:bookmarkEnd w:id="1599"/>
      <w:bookmarkEnd w:id="1600"/>
      <w:bookmarkEnd w:id="1601"/>
      <w:bookmarkEnd w:id="1602"/>
      <w:bookmarkEnd w:id="1603"/>
      <w:bookmarkEnd w:id="1604"/>
      <w:bookmarkEnd w:id="1605"/>
      <w:bookmarkEnd w:id="1606"/>
    </w:p>
    <w:p w14:paraId="37823034">
      <w:pPr>
        <w:pStyle w:val="261"/>
        <w:spacing w:before="0" w:beforeLines="0" w:after="0" w:afterLines="0"/>
        <w:jc w:val="both"/>
        <w:outlineLvl w:val="9"/>
        <w:rPr>
          <w:rFonts w:hint="eastAsia" w:ascii="宋体" w:hAnsi="宋体" w:eastAsia="宋体" w:cs="宋体"/>
          <w:color w:val="auto"/>
          <w:highlight w:val="none"/>
        </w:rPr>
      </w:pPr>
      <w:bookmarkStart w:id="1607" w:name="_Toc12740"/>
      <w:bookmarkStart w:id="1608" w:name="_Toc2415"/>
      <w:bookmarkStart w:id="1609" w:name="_Toc31765"/>
      <w:bookmarkStart w:id="1610" w:name="_Toc10461"/>
      <w:bookmarkStart w:id="1611" w:name="_Toc9569"/>
      <w:r>
        <w:rPr>
          <w:rFonts w:hint="eastAsia" w:ascii="宋体" w:hAnsi="宋体" w:eastAsia="宋体" w:cs="宋体"/>
          <w:color w:val="auto"/>
          <w:highlight w:val="none"/>
        </w:rPr>
        <w:t>应设声</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光报警装置及灭火剂释放延时装置。有人工作的防护区采用自动控制启动时，报警后延时</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不大于30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s且不小于20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s。用于原油泵舱的气动自动声响报警装置，应采用干燥和清洁空气；非防爆型电动自动声响报警装置，应布置在原油泵舱外。</w:t>
      </w:r>
      <w:bookmarkEnd w:id="1607"/>
      <w:bookmarkEnd w:id="1608"/>
      <w:bookmarkEnd w:id="1609"/>
      <w:bookmarkEnd w:id="1610"/>
    </w:p>
    <w:p w14:paraId="0617521E">
      <w:pPr>
        <w:pStyle w:val="261"/>
        <w:spacing w:before="0" w:beforeLines="0" w:after="0" w:afterLines="0"/>
        <w:jc w:val="both"/>
        <w:outlineLvl w:val="9"/>
        <w:rPr>
          <w:rFonts w:hint="eastAsia" w:ascii="宋体" w:hAnsi="宋体" w:eastAsia="宋体" w:cs="宋体"/>
          <w:color w:val="auto"/>
          <w:highlight w:val="none"/>
        </w:rPr>
      </w:pPr>
      <w:bookmarkStart w:id="1612" w:name="_Toc5080"/>
      <w:bookmarkStart w:id="1613" w:name="_Toc28506"/>
      <w:bookmarkStart w:id="1614" w:name="_Toc32113"/>
      <w:bookmarkStart w:id="1615" w:name="_Toc5361"/>
      <w:r>
        <w:rPr>
          <w:rFonts w:hint="eastAsia" w:ascii="宋体" w:hAnsi="宋体" w:eastAsia="宋体" w:cs="宋体"/>
          <w:color w:val="auto"/>
          <w:highlight w:val="none"/>
        </w:rPr>
        <w:t>灭火系统应设自动控制、手动控制和机械应急操作三种启动方式。经常有人工作的防护区，应</w:t>
      </w:r>
      <w:r>
        <w:rPr>
          <w:rFonts w:hint="eastAsia" w:ascii="宋体" w:hAnsi="宋体" w:eastAsia="宋体" w:cs="宋体"/>
          <w:color w:val="auto"/>
          <w:highlight w:val="none"/>
          <w:lang w:val="en-US" w:eastAsia="zh-CN"/>
        </w:rPr>
        <w:t>设置</w:t>
      </w:r>
      <w:r>
        <w:rPr>
          <w:rFonts w:hint="eastAsia" w:ascii="宋体" w:hAnsi="宋体" w:eastAsia="宋体" w:cs="宋体"/>
          <w:color w:val="auto"/>
          <w:highlight w:val="none"/>
        </w:rPr>
        <w:t>手动控制。</w:t>
      </w:r>
      <w:bookmarkEnd w:id="1612"/>
      <w:bookmarkEnd w:id="1613"/>
      <w:bookmarkEnd w:id="1614"/>
      <w:bookmarkEnd w:id="1615"/>
    </w:p>
    <w:bookmarkEnd w:id="1611"/>
    <w:p w14:paraId="0192A1A0">
      <w:pPr>
        <w:pStyle w:val="260"/>
        <w:jc w:val="both"/>
        <w:outlineLvl w:val="1"/>
        <w:rPr>
          <w:rFonts w:hint="default" w:ascii="Times New Roman" w:hAnsi="Times New Roman" w:cs="Times New Roman" w:eastAsiaTheme="minorEastAsia"/>
          <w:color w:val="auto"/>
          <w:sz w:val="21"/>
          <w:szCs w:val="21"/>
          <w:highlight w:val="none"/>
          <w:lang w:val="en-US" w:eastAsia="zh-CN" w:bidi="ar-SA"/>
        </w:rPr>
      </w:pPr>
      <w:bookmarkStart w:id="1616" w:name="_Toc17908"/>
      <w:bookmarkStart w:id="1617" w:name="_Toc183727737"/>
      <w:bookmarkStart w:id="1618" w:name="_Toc729"/>
      <w:bookmarkStart w:id="1619" w:name="_Toc7279"/>
      <w:bookmarkStart w:id="1620" w:name="_Toc20624"/>
      <w:bookmarkStart w:id="1621" w:name="_Toc14653"/>
      <w:bookmarkStart w:id="1622" w:name="_Toc27932"/>
      <w:bookmarkStart w:id="1623" w:name="_Toc895"/>
      <w:bookmarkStart w:id="1624" w:name="_Toc11899"/>
      <w:bookmarkStart w:id="1625" w:name="_Toc26994"/>
      <w:r>
        <w:rPr>
          <w:rFonts w:hint="default" w:ascii="Times New Roman" w:hAnsi="Times New Roman" w:cs="Times New Roman"/>
          <w:color w:val="auto"/>
          <w:highlight w:val="none"/>
        </w:rPr>
        <w:t>细水雾灭火系统</w:t>
      </w:r>
      <w:bookmarkEnd w:id="1616"/>
      <w:bookmarkEnd w:id="1617"/>
      <w:bookmarkEnd w:id="1618"/>
      <w:bookmarkEnd w:id="1619"/>
      <w:bookmarkEnd w:id="1620"/>
      <w:bookmarkEnd w:id="1621"/>
      <w:bookmarkEnd w:id="1622"/>
      <w:bookmarkEnd w:id="1623"/>
      <w:bookmarkEnd w:id="1624"/>
      <w:bookmarkEnd w:id="1625"/>
    </w:p>
    <w:p w14:paraId="05B5CAE6">
      <w:pPr>
        <w:pStyle w:val="261"/>
        <w:spacing w:before="0" w:beforeLines="0" w:after="0" w:afterLines="0"/>
        <w:jc w:val="both"/>
        <w:outlineLvl w:val="9"/>
        <w:rPr>
          <w:rFonts w:hint="eastAsia" w:ascii="宋体" w:hAnsi="宋体" w:eastAsia="宋体" w:cs="宋体"/>
          <w:color w:val="auto"/>
          <w:sz w:val="21"/>
          <w:szCs w:val="21"/>
          <w:highlight w:val="none"/>
          <w:lang w:val="en-US" w:eastAsia="zh-CN" w:bidi="ar-SA"/>
        </w:rPr>
      </w:pPr>
      <w:bookmarkStart w:id="1626" w:name="_Toc29684"/>
      <w:bookmarkStart w:id="1627" w:name="_Toc31490"/>
      <w:bookmarkStart w:id="1628" w:name="_Toc860"/>
      <w:bookmarkStart w:id="1629" w:name="_Toc15703"/>
      <w:r>
        <w:rPr>
          <w:rFonts w:hint="eastAsia" w:ascii="宋体" w:hAnsi="宋体" w:eastAsia="宋体" w:cs="宋体"/>
          <w:color w:val="auto"/>
          <w:sz w:val="21"/>
          <w:szCs w:val="21"/>
          <w:highlight w:val="none"/>
          <w:lang w:val="en-US" w:eastAsia="zh-CN" w:bidi="ar-SA"/>
        </w:rPr>
        <w:t>泵组系统的水质应满足GB 5749的要求；瓶组系统的水质应满足GB 17324的</w:t>
      </w:r>
      <w:bookmarkEnd w:id="1626"/>
      <w:bookmarkEnd w:id="1627"/>
      <w:bookmarkEnd w:id="1628"/>
      <w:r>
        <w:rPr>
          <w:rFonts w:hint="eastAsia" w:ascii="宋体" w:hAnsi="宋体" w:eastAsia="宋体" w:cs="宋体"/>
          <w:color w:val="auto"/>
          <w:sz w:val="21"/>
          <w:szCs w:val="21"/>
          <w:highlight w:val="none"/>
          <w:lang w:val="en-US" w:eastAsia="zh-CN" w:bidi="ar-SA"/>
        </w:rPr>
        <w:t>要求；且系统补水水源的水质应与系统的水质要求一致，紧急情况下海水作为备用水源。</w:t>
      </w:r>
    </w:p>
    <w:p w14:paraId="1CCE3218">
      <w:pPr>
        <w:pStyle w:val="261"/>
        <w:spacing w:before="0" w:beforeLines="0" w:after="0" w:afterLines="0"/>
        <w:jc w:val="both"/>
        <w:outlineLvl w:val="9"/>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highlight w:val="none"/>
          <w:lang w:val="en-US" w:eastAsia="zh-CN"/>
        </w:rPr>
        <w:t>开式系统的设计响应时间应不大于30</w:t>
      </w:r>
      <w:r>
        <w:rPr>
          <w:rFonts w:hint="eastAsia" w:ascii="宋体" w:hAnsi="宋体" w:eastAsia="宋体" w:cs="宋体"/>
          <w:color w:val="auto"/>
          <w:sz w:val="21"/>
          <w:szCs w:val="21"/>
          <w:highlight w:val="none"/>
          <w:lang w:val="en-US" w:eastAsia="zh-CN" w:bidi="ar-SA"/>
        </w:rPr>
        <w:t xml:space="preserve"> </w:t>
      </w:r>
      <w:r>
        <w:rPr>
          <w:rFonts w:hint="eastAsia" w:ascii="宋体" w:hAnsi="宋体" w:eastAsia="宋体" w:cs="宋体"/>
          <w:color w:val="auto"/>
          <w:highlight w:val="none"/>
          <w:lang w:val="en-US" w:eastAsia="zh-CN"/>
        </w:rPr>
        <w:t>s。</w:t>
      </w:r>
      <w:bookmarkEnd w:id="1629"/>
    </w:p>
    <w:p w14:paraId="7FD6AD33">
      <w:pPr>
        <w:pStyle w:val="261"/>
        <w:spacing w:before="0" w:beforeLines="0" w:after="0" w:afterLines="0"/>
        <w:jc w:val="both"/>
        <w:outlineLvl w:val="9"/>
        <w:rPr>
          <w:rFonts w:hint="eastAsia" w:ascii="宋体" w:hAnsi="宋体" w:eastAsia="宋体" w:cs="宋体"/>
          <w:color w:val="auto"/>
          <w:highlight w:val="none"/>
        </w:rPr>
      </w:pPr>
      <w:bookmarkStart w:id="1630" w:name="_Toc24243"/>
      <w:bookmarkStart w:id="1631" w:name="_Toc15131"/>
      <w:bookmarkStart w:id="1632" w:name="_Toc5888"/>
      <w:bookmarkStart w:id="1633" w:name="_Toc5547"/>
      <w:r>
        <w:rPr>
          <w:rFonts w:hint="eastAsia" w:ascii="宋体" w:hAnsi="宋体" w:eastAsia="宋体" w:cs="宋体"/>
          <w:color w:val="auto"/>
          <w:highlight w:val="none"/>
        </w:rPr>
        <w:t>淡水储量应至少满足系统连续工作30</w:t>
      </w:r>
      <w:r>
        <w:rPr>
          <w:rFonts w:hint="eastAsia" w:ascii="宋体" w:hAnsi="宋体" w:eastAsia="宋体" w:cs="宋体"/>
          <w:color w:val="auto"/>
          <w:sz w:val="21"/>
          <w:szCs w:val="21"/>
          <w:highlight w:val="none"/>
          <w:lang w:val="en-US" w:eastAsia="zh-CN" w:bidi="ar-SA"/>
        </w:rPr>
        <w:t xml:space="preserve"> </w:t>
      </w:r>
      <w:r>
        <w:rPr>
          <w:rFonts w:hint="eastAsia" w:ascii="宋体" w:hAnsi="宋体" w:eastAsia="宋体" w:cs="宋体"/>
          <w:color w:val="auto"/>
          <w:highlight w:val="none"/>
        </w:rPr>
        <w:t>min所需水量。</w:t>
      </w:r>
      <w:bookmarkEnd w:id="1630"/>
      <w:bookmarkEnd w:id="1631"/>
      <w:bookmarkEnd w:id="1632"/>
      <w:bookmarkEnd w:id="1633"/>
    </w:p>
    <w:p w14:paraId="3C520B6B">
      <w:pPr>
        <w:pStyle w:val="261"/>
        <w:spacing w:before="0" w:beforeLines="0" w:after="0" w:afterLines="0"/>
        <w:jc w:val="both"/>
        <w:outlineLvl w:val="9"/>
        <w:rPr>
          <w:rFonts w:hint="default" w:ascii="Times New Roman" w:hAnsi="Times New Roman" w:eastAsia="宋体" w:cs="Times New Roman"/>
          <w:color w:val="auto"/>
          <w:highlight w:val="none"/>
        </w:rPr>
      </w:pPr>
      <w:bookmarkStart w:id="1634" w:name="_Toc22502"/>
      <w:bookmarkStart w:id="1635" w:name="_Toc13815"/>
      <w:bookmarkStart w:id="1636" w:name="_Toc28022"/>
      <w:bookmarkStart w:id="1637" w:name="_Toc10349"/>
      <w:r>
        <w:rPr>
          <w:rFonts w:hint="default" w:ascii="Times New Roman" w:hAnsi="Times New Roman" w:eastAsia="宋体" w:cs="Times New Roman"/>
          <w:color w:val="auto"/>
          <w:highlight w:val="none"/>
        </w:rPr>
        <w:t>瓶组型细水雾灭火系统应具有自动</w:t>
      </w:r>
      <w:r>
        <w:rPr>
          <w:rFonts w:hint="eastAsia" w:ascii="Times New Roman" w:eastAsia="宋体" w:cs="Times New Roman"/>
          <w:color w:val="auto"/>
          <w:highlight w:val="none"/>
          <w:lang w:val="en-US" w:eastAsia="zh-CN"/>
        </w:rPr>
        <w:t>控制</w:t>
      </w:r>
      <w:r>
        <w:rPr>
          <w:rFonts w:hint="default" w:ascii="Times New Roman" w:hAnsi="Times New Roman" w:eastAsia="宋体" w:cs="Times New Roman"/>
          <w:color w:val="auto"/>
          <w:highlight w:val="none"/>
        </w:rPr>
        <w:t>、手动</w:t>
      </w:r>
      <w:r>
        <w:rPr>
          <w:rFonts w:hint="eastAsia" w:ascii="Times New Roman" w:eastAsia="宋体" w:cs="Times New Roman"/>
          <w:color w:val="auto"/>
          <w:highlight w:val="none"/>
          <w:lang w:val="en-US" w:eastAsia="zh-CN"/>
        </w:rPr>
        <w:t>控制</w:t>
      </w:r>
      <w:r>
        <w:rPr>
          <w:rFonts w:hint="default" w:ascii="Times New Roman" w:hAnsi="Times New Roman" w:eastAsia="宋体" w:cs="Times New Roman"/>
          <w:color w:val="auto"/>
          <w:highlight w:val="none"/>
        </w:rPr>
        <w:t>和机械应急操作控制方式，泵组型细水雾灭火系统应具有自动</w:t>
      </w:r>
      <w:r>
        <w:rPr>
          <w:rFonts w:hint="eastAsia" w:ascii="Times New Roman" w:eastAsia="宋体" w:cs="Times New Roman"/>
          <w:color w:val="auto"/>
          <w:highlight w:val="none"/>
          <w:lang w:val="en-US" w:eastAsia="zh-CN"/>
        </w:rPr>
        <w:t>控制</w:t>
      </w:r>
      <w:r>
        <w:rPr>
          <w:rFonts w:hint="default" w:ascii="Times New Roman" w:hAnsi="Times New Roman" w:eastAsia="宋体" w:cs="Times New Roman"/>
          <w:color w:val="auto"/>
          <w:highlight w:val="none"/>
        </w:rPr>
        <w:t>、手动控制方式。</w:t>
      </w:r>
      <w:bookmarkEnd w:id="1634"/>
      <w:bookmarkEnd w:id="1635"/>
      <w:bookmarkEnd w:id="1636"/>
    </w:p>
    <w:bookmarkEnd w:id="1637"/>
    <w:p w14:paraId="3240524E">
      <w:pPr>
        <w:pStyle w:val="261"/>
        <w:spacing w:before="0" w:beforeLines="0" w:after="0" w:afterLines="0"/>
        <w:jc w:val="both"/>
        <w:outlineLvl w:val="9"/>
        <w:rPr>
          <w:rFonts w:hint="eastAsia" w:ascii="宋体" w:hAnsi="宋体" w:eastAsia="宋体" w:cs="宋体"/>
          <w:color w:val="auto"/>
          <w:highlight w:val="none"/>
        </w:rPr>
      </w:pPr>
      <w:bookmarkStart w:id="1638" w:name="_Toc23082"/>
      <w:bookmarkStart w:id="1639" w:name="_Toc17918"/>
      <w:r>
        <w:rPr>
          <w:rFonts w:hint="default" w:ascii="Times New Roman" w:hAnsi="Times New Roman" w:eastAsia="宋体" w:cs="Times New Roman"/>
          <w:color w:val="auto"/>
          <w:highlight w:val="none"/>
        </w:rPr>
        <w:t>应根据消防需求和产品实施效果确定单套高压细水雾灭火系统防护区数量。</w:t>
      </w:r>
      <w:bookmarkEnd w:id="1638"/>
      <w:bookmarkEnd w:id="1639"/>
    </w:p>
    <w:p w14:paraId="5B217316">
      <w:pPr>
        <w:pStyle w:val="260"/>
        <w:jc w:val="both"/>
        <w:outlineLvl w:val="1"/>
        <w:rPr>
          <w:rFonts w:hint="eastAsia" w:ascii="Times New Roman" w:hAnsi="Times New Roman" w:cs="Times New Roman"/>
          <w:color w:val="auto"/>
          <w:highlight w:val="none"/>
        </w:rPr>
      </w:pPr>
      <w:bookmarkStart w:id="1640" w:name="_Toc12717"/>
      <w:bookmarkStart w:id="1641" w:name="_Toc21109"/>
      <w:bookmarkStart w:id="1642" w:name="_Toc14513"/>
      <w:bookmarkStart w:id="1643" w:name="_Toc4634"/>
      <w:bookmarkStart w:id="1644" w:name="_Toc7655"/>
      <w:bookmarkStart w:id="1645" w:name="_Toc29196"/>
      <w:bookmarkStart w:id="1646" w:name="_Toc183727738"/>
      <w:bookmarkStart w:id="1647" w:name="_Toc10007"/>
      <w:bookmarkStart w:id="1648" w:name="_Toc7920"/>
      <w:bookmarkStart w:id="1649" w:name="_Toc3284"/>
      <w:r>
        <w:rPr>
          <w:rFonts w:hint="eastAsia" w:ascii="Times New Roman" w:hAnsi="Times New Roman" w:cs="Times New Roman"/>
          <w:color w:val="auto"/>
          <w:highlight w:val="none"/>
        </w:rPr>
        <w:t>直升机甲板消防灭火系统</w:t>
      </w:r>
      <w:bookmarkEnd w:id="1640"/>
      <w:bookmarkEnd w:id="1641"/>
      <w:bookmarkEnd w:id="1642"/>
      <w:bookmarkEnd w:id="1643"/>
      <w:bookmarkEnd w:id="1644"/>
      <w:bookmarkEnd w:id="1645"/>
      <w:bookmarkEnd w:id="1646"/>
      <w:bookmarkEnd w:id="1647"/>
      <w:bookmarkEnd w:id="1648"/>
      <w:bookmarkEnd w:id="1649"/>
    </w:p>
    <w:p w14:paraId="39B9ADA5">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1650" w:name="_Toc27900"/>
      <w:bookmarkStart w:id="1651" w:name="_Toc19191"/>
      <w:bookmarkStart w:id="1652" w:name="_Toc19045"/>
      <w:r>
        <w:rPr>
          <w:rFonts w:hint="eastAsia" w:ascii="宋体" w:hAnsi="宋体" w:eastAsia="宋体" w:cs="宋体"/>
          <w:color w:val="auto"/>
          <w:highlight w:val="none"/>
        </w:rPr>
        <w:t>直升机甲板应设置固定式泡沫灭火系统</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并应满足以下要求：</w:t>
      </w:r>
      <w:bookmarkEnd w:id="1650"/>
      <w:bookmarkEnd w:id="1651"/>
      <w:bookmarkEnd w:id="1652"/>
    </w:p>
    <w:p w14:paraId="0C024F36">
      <w:pPr>
        <w:pStyle w:val="305"/>
        <w:numPr>
          <w:ilvl w:val="0"/>
          <w:numId w:val="96"/>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rPr>
        <w:t>泡沫供给强度不少于6</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min</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m</w:t>
      </w:r>
      <w:r>
        <w:rPr>
          <w:rFonts w:hint="eastAsia" w:ascii="宋体" w:hAnsi="宋体" w:eastAsia="宋体" w:cs="宋体"/>
          <w:color w:val="auto"/>
          <w:highlight w:val="none"/>
          <w:vertAlign w:val="superscript"/>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喷洒</w:t>
      </w:r>
      <w:r>
        <w:rPr>
          <w:rFonts w:hint="eastAsia" w:ascii="宋体" w:hAnsi="宋体" w:eastAsia="宋体" w:cs="宋体"/>
          <w:color w:val="auto"/>
          <w:highlight w:val="none"/>
        </w:rPr>
        <w:t>泡沫液时间至少5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min</w:t>
      </w:r>
      <w:r>
        <w:rPr>
          <w:rFonts w:hint="eastAsia" w:ascii="宋体" w:hAnsi="宋体" w:eastAsia="宋体" w:cs="宋体"/>
          <w:color w:val="auto"/>
          <w:highlight w:val="none"/>
          <w:lang w:eastAsia="zh-CN"/>
        </w:rPr>
        <w:t>；</w:t>
      </w:r>
    </w:p>
    <w:p w14:paraId="79ADC39C">
      <w:pPr>
        <w:pStyle w:val="305"/>
        <w:numPr>
          <w:ilvl w:val="0"/>
          <w:numId w:val="96"/>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当</w:t>
      </w:r>
      <w:r>
        <w:rPr>
          <w:rFonts w:hint="eastAsia" w:ascii="宋体" w:hAnsi="宋体" w:eastAsia="宋体" w:cs="宋体"/>
          <w:color w:val="auto"/>
          <w:highlight w:val="none"/>
        </w:rPr>
        <w:t>采用泡沫炮</w:t>
      </w:r>
      <w:r>
        <w:rPr>
          <w:rFonts w:hint="eastAsia" w:ascii="宋体" w:hAnsi="宋体" w:eastAsia="宋体" w:cs="宋体"/>
          <w:color w:val="auto"/>
          <w:highlight w:val="none"/>
          <w:lang w:val="en-US" w:eastAsia="zh-CN"/>
        </w:rPr>
        <w:t>保护时，</w:t>
      </w:r>
      <w:r>
        <w:rPr>
          <w:rFonts w:hint="eastAsia" w:ascii="宋体" w:hAnsi="宋体" w:eastAsia="宋体" w:cs="宋体"/>
          <w:color w:val="auto"/>
          <w:highlight w:val="none"/>
        </w:rPr>
        <w:t>在直升机甲板两侧各设置1</w:t>
      </w:r>
      <w:r>
        <w:rPr>
          <w:rFonts w:hint="eastAsia" w:ascii="宋体" w:hAnsi="宋体" w:eastAsia="宋体" w:cs="宋体"/>
          <w:color w:val="auto"/>
          <w:highlight w:val="none"/>
          <w:lang w:val="en-US" w:eastAsia="zh-CN"/>
        </w:rPr>
        <w:t>台泡沫炮，喷洒面积为直升机总长为直径的圆面积</w:t>
      </w:r>
      <w:r>
        <w:rPr>
          <w:rFonts w:hint="eastAsia" w:ascii="宋体" w:hAnsi="宋体" w:eastAsia="宋体" w:cs="宋体"/>
          <w:color w:val="auto"/>
          <w:highlight w:val="none"/>
          <w:lang w:eastAsia="zh-CN"/>
        </w:rPr>
        <w:t>；</w:t>
      </w:r>
    </w:p>
    <w:p w14:paraId="3CBA5A4B">
      <w:pPr>
        <w:pStyle w:val="305"/>
        <w:numPr>
          <w:ilvl w:val="0"/>
          <w:numId w:val="96"/>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当采用甲板喷头保护时，喷头均匀布置于直升机甲板上，喷洒面积为直升机甲板全面积。</w:t>
      </w:r>
    </w:p>
    <w:p w14:paraId="49915481">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1653" w:name="_Toc20578"/>
      <w:bookmarkStart w:id="1654" w:name="_Toc5524"/>
      <w:bookmarkStart w:id="1655" w:name="_Toc32046"/>
      <w:r>
        <w:rPr>
          <w:rFonts w:hint="eastAsia" w:ascii="宋体" w:hAnsi="宋体" w:eastAsia="宋体" w:cs="宋体"/>
          <w:color w:val="auto"/>
          <w:highlight w:val="none"/>
        </w:rPr>
        <w:t>应在通往直升机甲板的通道附近配备和存放下列消防设施：</w:t>
      </w:r>
      <w:bookmarkEnd w:id="1653"/>
      <w:bookmarkEnd w:id="1654"/>
      <w:bookmarkEnd w:id="1655"/>
    </w:p>
    <w:p w14:paraId="737426BE">
      <w:pPr>
        <w:pStyle w:val="305"/>
        <w:numPr>
          <w:ilvl w:val="0"/>
          <w:numId w:val="97"/>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总容量不少于45 kg的干粉灭火器；</w:t>
      </w:r>
    </w:p>
    <w:p w14:paraId="2F7651D3">
      <w:pPr>
        <w:pStyle w:val="305"/>
        <w:numPr>
          <w:ilvl w:val="0"/>
          <w:numId w:val="97"/>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总容量不少于18 kg的二氧化碳灭火器或等效设备；</w:t>
      </w:r>
    </w:p>
    <w:p w14:paraId="33630D6F">
      <w:pPr>
        <w:pStyle w:val="305"/>
        <w:numPr>
          <w:ilvl w:val="0"/>
          <w:numId w:val="97"/>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每个通道设置1个消防软管站。</w:t>
      </w:r>
    </w:p>
    <w:p w14:paraId="2E247DB0">
      <w:pPr>
        <w:pStyle w:val="260"/>
        <w:jc w:val="both"/>
        <w:outlineLvl w:val="1"/>
        <w:rPr>
          <w:rFonts w:hint="default" w:ascii="Times New Roman" w:hAnsi="Times New Roman" w:cs="Times New Roman"/>
          <w:color w:val="auto"/>
          <w:highlight w:val="none"/>
        </w:rPr>
      </w:pPr>
      <w:bookmarkStart w:id="1656" w:name="_Toc8277"/>
      <w:bookmarkStart w:id="1657" w:name="_Toc23614"/>
      <w:bookmarkStart w:id="1658" w:name="_Toc12362"/>
      <w:bookmarkStart w:id="1659" w:name="_Toc27253"/>
      <w:bookmarkStart w:id="1660" w:name="_Toc19320"/>
      <w:bookmarkStart w:id="1661" w:name="_Toc14473"/>
      <w:bookmarkStart w:id="1662" w:name="_Toc183727739"/>
      <w:bookmarkStart w:id="1663" w:name="_Toc2382"/>
      <w:bookmarkStart w:id="1664" w:name="_Toc3071"/>
      <w:bookmarkStart w:id="1665" w:name="_Toc30454"/>
      <w:r>
        <w:rPr>
          <w:rFonts w:hint="default" w:ascii="Times New Roman" w:hAnsi="Times New Roman" w:cs="Times New Roman"/>
          <w:color w:val="auto"/>
          <w:highlight w:val="none"/>
        </w:rPr>
        <w:t>灭火器</w:t>
      </w:r>
      <w:bookmarkEnd w:id="1656"/>
      <w:bookmarkEnd w:id="1657"/>
      <w:bookmarkEnd w:id="1658"/>
      <w:bookmarkEnd w:id="1659"/>
      <w:bookmarkEnd w:id="1660"/>
      <w:bookmarkEnd w:id="1661"/>
      <w:bookmarkEnd w:id="1662"/>
      <w:bookmarkEnd w:id="1663"/>
      <w:bookmarkEnd w:id="1664"/>
      <w:bookmarkEnd w:id="1665"/>
    </w:p>
    <w:p w14:paraId="52BA3560">
      <w:pPr>
        <w:pStyle w:val="261"/>
        <w:spacing w:before="0" w:beforeLines="0" w:after="0" w:afterLines="0"/>
        <w:outlineLvl w:val="9"/>
        <w:rPr>
          <w:rFonts w:hint="eastAsia" w:ascii="宋体" w:hAnsi="宋体" w:eastAsia="宋体" w:cs="宋体"/>
          <w:color w:val="auto"/>
          <w:highlight w:val="none"/>
        </w:rPr>
      </w:pPr>
      <w:bookmarkStart w:id="1666" w:name="_Toc4299"/>
      <w:bookmarkStart w:id="1667" w:name="_Toc1588"/>
      <w:bookmarkStart w:id="1668" w:name="_Toc493"/>
      <w:bookmarkStart w:id="1669" w:name="_Toc31935"/>
      <w:bookmarkStart w:id="1670" w:name="_Toc17991"/>
      <w:bookmarkStart w:id="1671" w:name="_Toc16090"/>
      <w:bookmarkStart w:id="1672" w:name="_Toc1104"/>
      <w:r>
        <w:rPr>
          <w:rFonts w:hint="eastAsia" w:ascii="宋体" w:hAnsi="宋体" w:eastAsia="宋体" w:cs="宋体"/>
          <w:color w:val="auto"/>
          <w:highlight w:val="none"/>
        </w:rPr>
        <w:t>每具手提式干粉或</w:t>
      </w:r>
      <w:r>
        <w:rPr>
          <w:rFonts w:hint="eastAsia" w:ascii="宋体" w:hAnsi="宋体" w:eastAsia="宋体" w:cs="宋体"/>
          <w:color w:val="auto"/>
          <w:highlight w:val="none"/>
          <w:lang w:val="en-US" w:eastAsia="zh-CN"/>
        </w:rPr>
        <w:t>二氧化碳</w:t>
      </w:r>
      <w:r>
        <w:rPr>
          <w:rFonts w:hint="eastAsia" w:ascii="宋体" w:hAnsi="宋体" w:eastAsia="宋体" w:cs="宋体"/>
          <w:color w:val="auto"/>
          <w:highlight w:val="none"/>
        </w:rPr>
        <w:t>灭火器的</w:t>
      </w:r>
      <w:r>
        <w:rPr>
          <w:rFonts w:hint="eastAsia" w:ascii="宋体" w:hAnsi="宋体" w:eastAsia="宋体" w:cs="宋体"/>
          <w:color w:val="auto"/>
          <w:highlight w:val="none"/>
          <w:lang w:val="en-US" w:eastAsia="zh-CN"/>
        </w:rPr>
        <w:t>容量</w:t>
      </w:r>
      <w:r>
        <w:rPr>
          <w:rFonts w:hint="eastAsia" w:ascii="宋体" w:hAnsi="宋体" w:eastAsia="宋体" w:cs="宋体"/>
          <w:color w:val="auto"/>
          <w:highlight w:val="none"/>
        </w:rPr>
        <w:t>应不小于5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kg，每具</w:t>
      </w:r>
      <w:r>
        <w:rPr>
          <w:rFonts w:hint="eastAsia" w:ascii="宋体" w:hAnsi="宋体" w:eastAsia="宋体" w:cs="宋体"/>
          <w:color w:val="auto"/>
          <w:highlight w:val="none"/>
          <w:lang w:val="en-US" w:eastAsia="zh-CN"/>
        </w:rPr>
        <w:t>水基（发泡剂型）</w:t>
      </w:r>
      <w:r>
        <w:rPr>
          <w:rFonts w:hint="eastAsia" w:ascii="宋体" w:hAnsi="宋体" w:eastAsia="宋体" w:cs="宋体"/>
          <w:color w:val="auto"/>
          <w:highlight w:val="none"/>
        </w:rPr>
        <w:t>灭火器的容量应至少</w:t>
      </w:r>
      <w:r>
        <w:rPr>
          <w:rFonts w:hint="eastAsia" w:ascii="宋体" w:hAnsi="宋体" w:eastAsia="宋体" w:cs="宋体"/>
          <w:color w:val="auto"/>
          <w:highlight w:val="none"/>
          <w:lang w:val="en-US" w:eastAsia="zh-CN"/>
        </w:rPr>
        <w:t>为</w:t>
      </w:r>
      <w:r>
        <w:rPr>
          <w:rFonts w:hint="eastAsia" w:ascii="宋体" w:hAnsi="宋体" w:eastAsia="宋体" w:cs="宋体"/>
          <w:color w:val="auto"/>
          <w:highlight w:val="none"/>
        </w:rPr>
        <w:t>9</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所有手提</w:t>
      </w:r>
      <w:r>
        <w:rPr>
          <w:rFonts w:hint="eastAsia" w:ascii="宋体" w:hAnsi="宋体" w:eastAsia="宋体" w:cs="宋体"/>
          <w:color w:val="auto"/>
          <w:highlight w:val="none"/>
          <w:lang w:val="en-US" w:eastAsia="zh-CN"/>
        </w:rPr>
        <w:t>式</w:t>
      </w:r>
      <w:r>
        <w:rPr>
          <w:rFonts w:hint="eastAsia" w:ascii="宋体" w:hAnsi="宋体" w:eastAsia="宋体" w:cs="宋体"/>
          <w:color w:val="auto"/>
          <w:highlight w:val="none"/>
        </w:rPr>
        <w:t>灭火器的质量不应超过23</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kg，且其灭火性能至少与9</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L液体灭火器相当</w:t>
      </w:r>
      <w:bookmarkEnd w:id="1666"/>
      <w:bookmarkEnd w:id="1667"/>
      <w:bookmarkEnd w:id="1668"/>
      <w:bookmarkEnd w:id="1669"/>
      <w:r>
        <w:rPr>
          <w:rFonts w:hint="eastAsia" w:ascii="宋体" w:hAnsi="宋体" w:eastAsia="宋体" w:cs="宋体"/>
          <w:color w:val="auto"/>
          <w:highlight w:val="none"/>
          <w:lang w:eastAsia="zh-CN"/>
        </w:rPr>
        <w:t>。</w:t>
      </w:r>
    </w:p>
    <w:p w14:paraId="148499BF">
      <w:pPr>
        <w:pStyle w:val="261"/>
        <w:spacing w:before="0" w:beforeLines="0" w:after="0" w:afterLines="0"/>
        <w:outlineLvl w:val="9"/>
        <w:rPr>
          <w:rFonts w:hint="eastAsia" w:ascii="宋体" w:hAnsi="宋体" w:eastAsia="宋体" w:cs="宋体"/>
          <w:color w:val="auto"/>
          <w:highlight w:val="none"/>
        </w:rPr>
      </w:pPr>
      <w:bookmarkStart w:id="1673" w:name="_Toc29705"/>
      <w:bookmarkStart w:id="1674" w:name="_Toc19894"/>
      <w:bookmarkStart w:id="1675" w:name="_Toc26700"/>
      <w:bookmarkStart w:id="1676" w:name="_Toc19172"/>
      <w:r>
        <w:rPr>
          <w:rFonts w:hint="eastAsia" w:ascii="宋体" w:hAnsi="宋体" w:eastAsia="宋体" w:cs="宋体"/>
          <w:color w:val="auto"/>
          <w:highlight w:val="none"/>
        </w:rPr>
        <w:t>用于扑灭油类火灾的</w:t>
      </w:r>
      <w:r>
        <w:rPr>
          <w:rFonts w:hint="eastAsia" w:ascii="宋体" w:hAnsi="宋体" w:eastAsia="宋体" w:cs="宋体"/>
          <w:color w:val="auto"/>
          <w:highlight w:val="none"/>
          <w:lang w:val="en-US" w:eastAsia="zh-CN"/>
        </w:rPr>
        <w:t>水基（发泡剂型）灭火器</w:t>
      </w:r>
      <w:r>
        <w:rPr>
          <w:rFonts w:hint="eastAsia" w:ascii="宋体" w:hAnsi="宋体" w:eastAsia="宋体" w:cs="宋体"/>
          <w:color w:val="auto"/>
          <w:highlight w:val="none"/>
        </w:rPr>
        <w:t>应设有便于移动的装置或足够长的软管</w:t>
      </w:r>
      <w:bookmarkEnd w:id="1673"/>
      <w:bookmarkEnd w:id="1674"/>
      <w:bookmarkEnd w:id="1675"/>
      <w:bookmarkEnd w:id="1676"/>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其容量应不小于</w:t>
      </w:r>
      <w:r>
        <w:rPr>
          <w:rFonts w:hint="eastAsia" w:ascii="宋体" w:hAnsi="宋体" w:eastAsia="宋体" w:cs="宋体"/>
          <w:color w:val="auto"/>
          <w:highlight w:val="none"/>
        </w:rPr>
        <w:t>45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w:t>
      </w:r>
      <w:bookmarkStart w:id="1677" w:name="_Toc29660"/>
      <w:bookmarkStart w:id="1678" w:name="_Toc14990"/>
      <w:r>
        <w:rPr>
          <w:rFonts w:hint="eastAsia" w:ascii="宋体" w:hAnsi="宋体" w:eastAsia="宋体" w:cs="宋体"/>
          <w:color w:val="auto"/>
          <w:highlight w:val="none"/>
          <w:lang w:eastAsia="zh-CN"/>
        </w:rPr>
        <w:t>。</w:t>
      </w:r>
    </w:p>
    <w:p w14:paraId="58C7BB7A">
      <w:pPr>
        <w:pStyle w:val="261"/>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在居住区内的每层甲板上</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设置至少</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具手提</w:t>
      </w:r>
      <w:r>
        <w:rPr>
          <w:rFonts w:hint="eastAsia" w:ascii="宋体" w:hAnsi="宋体" w:eastAsia="宋体" w:cs="宋体"/>
          <w:color w:val="auto"/>
          <w:highlight w:val="none"/>
          <w:lang w:val="en-US" w:eastAsia="zh-CN"/>
        </w:rPr>
        <w:t>式</w:t>
      </w:r>
      <w:r>
        <w:rPr>
          <w:rFonts w:hint="eastAsia" w:ascii="宋体" w:hAnsi="宋体" w:eastAsia="宋体" w:cs="宋体"/>
          <w:color w:val="auto"/>
          <w:highlight w:val="none"/>
        </w:rPr>
        <w:t>灭火器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在厨房内设</w:t>
      </w:r>
      <w:r>
        <w:rPr>
          <w:rFonts w:hint="eastAsia" w:ascii="宋体" w:hAnsi="宋体" w:eastAsia="宋体" w:cs="宋体"/>
          <w:color w:val="auto"/>
          <w:highlight w:val="none"/>
          <w:lang w:val="en-US" w:eastAsia="zh-CN"/>
        </w:rPr>
        <w:t>置</w:t>
      </w:r>
      <w:r>
        <w:rPr>
          <w:rFonts w:hint="eastAsia" w:ascii="宋体" w:hAnsi="宋体" w:eastAsia="宋体" w:cs="宋体"/>
          <w:color w:val="auto"/>
          <w:highlight w:val="none"/>
        </w:rPr>
        <w:t>至少</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具手提</w:t>
      </w:r>
      <w:r>
        <w:rPr>
          <w:rFonts w:hint="eastAsia" w:ascii="宋体" w:hAnsi="宋体" w:eastAsia="宋体" w:cs="宋体"/>
          <w:color w:val="auto"/>
          <w:highlight w:val="none"/>
          <w:lang w:val="en-US" w:eastAsia="zh-CN"/>
        </w:rPr>
        <w:t>式</w:t>
      </w:r>
      <w:r>
        <w:rPr>
          <w:rFonts w:hint="eastAsia" w:ascii="宋体" w:hAnsi="宋体" w:eastAsia="宋体" w:cs="宋体"/>
          <w:color w:val="auto"/>
          <w:highlight w:val="none"/>
        </w:rPr>
        <w:t>灭火器</w:t>
      </w:r>
      <w:bookmarkEnd w:id="1677"/>
      <w:bookmarkEnd w:id="1678"/>
      <w:r>
        <w:rPr>
          <w:rFonts w:hint="eastAsia" w:ascii="宋体" w:hAnsi="宋体" w:eastAsia="宋体" w:cs="宋体"/>
          <w:color w:val="auto"/>
          <w:highlight w:val="none"/>
          <w:lang w:eastAsia="zh-CN"/>
        </w:rPr>
        <w:t>；</w:t>
      </w:r>
    </w:p>
    <w:p w14:paraId="3752D394">
      <w:pPr>
        <w:pStyle w:val="261"/>
        <w:spacing w:before="0" w:beforeLines="0" w:after="0" w:afterLines="0"/>
        <w:outlineLvl w:val="9"/>
        <w:rPr>
          <w:rFonts w:hint="eastAsia" w:ascii="宋体" w:hAnsi="宋体" w:eastAsia="宋体" w:cs="宋体"/>
          <w:color w:val="auto"/>
          <w:highlight w:val="none"/>
        </w:rPr>
      </w:pPr>
      <w:bookmarkStart w:id="1679" w:name="_Toc17935"/>
      <w:bookmarkStart w:id="1680" w:name="_Toc12258"/>
      <w:r>
        <w:rPr>
          <w:rFonts w:hint="eastAsia" w:ascii="宋体" w:hAnsi="宋体" w:eastAsia="宋体" w:cs="宋体"/>
          <w:color w:val="auto"/>
          <w:w w:val="100"/>
          <w:highlight w:val="none"/>
        </w:rPr>
        <w:t>设有燃油锅炉或燃油装置的A类机器处所应</w:t>
      </w:r>
      <w:r>
        <w:rPr>
          <w:rFonts w:hint="eastAsia" w:ascii="宋体" w:hAnsi="宋体" w:eastAsia="宋体" w:cs="宋体"/>
          <w:color w:val="auto"/>
          <w:w w:val="100"/>
          <w:highlight w:val="none"/>
          <w:lang w:val="en-US" w:eastAsia="zh-CN"/>
        </w:rPr>
        <w:t>设置</w:t>
      </w:r>
      <w:r>
        <w:rPr>
          <w:rFonts w:hint="eastAsia" w:ascii="宋体" w:hAnsi="宋体" w:eastAsia="宋体" w:cs="宋体"/>
          <w:color w:val="auto"/>
          <w:w w:val="100"/>
          <w:highlight w:val="none"/>
        </w:rPr>
        <w:t>至少</w:t>
      </w:r>
      <w:r>
        <w:rPr>
          <w:rFonts w:hint="eastAsia" w:ascii="宋体" w:hAnsi="宋体" w:eastAsia="宋体" w:cs="宋体"/>
          <w:color w:val="auto"/>
          <w:w w:val="100"/>
          <w:highlight w:val="none"/>
          <w:lang w:eastAsia="zh-CN"/>
        </w:rPr>
        <w:t>3</w:t>
      </w:r>
      <w:r>
        <w:rPr>
          <w:rFonts w:hint="eastAsia" w:ascii="宋体" w:hAnsi="宋体" w:eastAsia="宋体" w:cs="宋体"/>
          <w:color w:val="auto"/>
          <w:w w:val="100"/>
          <w:highlight w:val="none"/>
        </w:rPr>
        <w:t>具手提</w:t>
      </w:r>
      <w:r>
        <w:rPr>
          <w:rFonts w:hint="eastAsia" w:ascii="宋体" w:hAnsi="宋体" w:eastAsia="宋体" w:cs="宋体"/>
          <w:color w:val="auto"/>
          <w:w w:val="100"/>
          <w:highlight w:val="none"/>
          <w:lang w:val="en-US" w:eastAsia="zh-CN"/>
        </w:rPr>
        <w:t>式</w:t>
      </w:r>
      <w:r>
        <w:rPr>
          <w:rFonts w:hint="eastAsia" w:ascii="宋体" w:hAnsi="宋体" w:eastAsia="宋体" w:cs="宋体"/>
          <w:color w:val="auto"/>
          <w:w w:val="100"/>
          <w:highlight w:val="none"/>
        </w:rPr>
        <w:t>水基（发泡剂型）或干粉灭火器、</w:t>
      </w:r>
      <w:r>
        <w:rPr>
          <w:rFonts w:hint="eastAsia" w:ascii="宋体" w:hAnsi="宋体" w:eastAsia="宋体" w:cs="宋体"/>
          <w:color w:val="auto"/>
          <w:w w:val="100"/>
          <w:highlight w:val="none"/>
          <w:lang w:eastAsia="zh-CN"/>
        </w:rPr>
        <w:t>1</w:t>
      </w:r>
      <w:r>
        <w:rPr>
          <w:rFonts w:hint="eastAsia" w:ascii="宋体" w:hAnsi="宋体" w:eastAsia="宋体" w:cs="宋体"/>
          <w:color w:val="auto"/>
          <w:w w:val="100"/>
          <w:highlight w:val="none"/>
        </w:rPr>
        <w:t>具容量不小于135</w:t>
      </w:r>
      <w:r>
        <w:rPr>
          <w:rFonts w:hint="eastAsia" w:ascii="宋体" w:hAnsi="宋体" w:eastAsia="宋体" w:cs="宋体"/>
          <w:color w:val="auto"/>
          <w:w w:val="100"/>
          <w:highlight w:val="none"/>
          <w:lang w:val="en-US" w:eastAsia="zh-CN"/>
        </w:rPr>
        <w:t xml:space="preserve"> </w:t>
      </w:r>
      <w:r>
        <w:rPr>
          <w:rFonts w:hint="eastAsia" w:ascii="宋体" w:hAnsi="宋体" w:eastAsia="宋体" w:cs="宋体"/>
          <w:color w:val="auto"/>
          <w:w w:val="100"/>
          <w:highlight w:val="none"/>
        </w:rPr>
        <w:t>L的大型水基（发泡剂型）或</w:t>
      </w:r>
      <w:r>
        <w:rPr>
          <w:rFonts w:hint="eastAsia" w:ascii="宋体" w:hAnsi="宋体" w:eastAsia="宋体" w:cs="宋体"/>
          <w:color w:val="auto"/>
          <w:w w:val="100"/>
          <w:highlight w:val="none"/>
          <w:lang w:val="en-US" w:eastAsia="zh-CN"/>
        </w:rPr>
        <w:t>50 kg</w:t>
      </w:r>
      <w:r>
        <w:rPr>
          <w:rFonts w:hint="eastAsia" w:ascii="宋体" w:hAnsi="宋体" w:eastAsia="宋体" w:cs="宋体"/>
          <w:color w:val="auto"/>
          <w:w w:val="100"/>
          <w:highlight w:val="none"/>
        </w:rPr>
        <w:t>干粉灭火器</w:t>
      </w:r>
      <w:r>
        <w:rPr>
          <w:rFonts w:hint="eastAsia" w:ascii="宋体" w:hAnsi="宋体" w:eastAsia="宋体" w:cs="宋体"/>
          <w:strike w:val="0"/>
          <w:color w:val="auto"/>
          <w:w w:val="100"/>
          <w:highlight w:val="none"/>
        </w:rPr>
        <w:t>以及</w:t>
      </w:r>
      <w:r>
        <w:rPr>
          <w:rFonts w:hint="eastAsia" w:ascii="宋体" w:hAnsi="宋体" w:eastAsia="宋体" w:cs="宋体"/>
          <w:strike w:val="0"/>
          <w:color w:val="auto"/>
          <w:w w:val="100"/>
          <w:highlight w:val="none"/>
          <w:lang w:eastAsia="zh-CN"/>
        </w:rPr>
        <w:t>1</w:t>
      </w:r>
      <w:r>
        <w:rPr>
          <w:rFonts w:hint="eastAsia" w:ascii="宋体" w:hAnsi="宋体" w:eastAsia="宋体" w:cs="宋体"/>
          <w:strike w:val="0"/>
          <w:color w:val="auto"/>
          <w:w w:val="100"/>
          <w:highlight w:val="none"/>
        </w:rPr>
        <w:t>套手提式泡沫喷枪</w:t>
      </w:r>
      <w:bookmarkEnd w:id="1679"/>
      <w:bookmarkEnd w:id="1680"/>
      <w:r>
        <w:rPr>
          <w:rFonts w:hint="eastAsia" w:ascii="宋体" w:hAnsi="宋体" w:eastAsia="宋体" w:cs="宋体"/>
          <w:color w:val="auto"/>
          <w:w w:val="100"/>
          <w:highlight w:val="none"/>
          <w:lang w:eastAsia="zh-CN"/>
        </w:rPr>
        <w:t>。</w:t>
      </w:r>
    </w:p>
    <w:p w14:paraId="4436DFA1">
      <w:pPr>
        <w:pStyle w:val="261"/>
        <w:spacing w:before="0" w:beforeLines="0" w:after="0" w:afterLines="0"/>
        <w:outlineLvl w:val="9"/>
        <w:rPr>
          <w:rFonts w:hint="eastAsia" w:ascii="宋体" w:hAnsi="宋体" w:eastAsia="宋体" w:cs="宋体"/>
          <w:color w:val="auto"/>
          <w:highlight w:val="none"/>
        </w:rPr>
      </w:pPr>
      <w:bookmarkStart w:id="1681" w:name="_Toc4498"/>
      <w:bookmarkStart w:id="1682" w:name="_Toc8942"/>
      <w:r>
        <w:rPr>
          <w:rFonts w:hint="eastAsia" w:ascii="宋体" w:hAnsi="宋体" w:eastAsia="宋体" w:cs="宋体"/>
          <w:color w:val="auto"/>
          <w:highlight w:val="none"/>
        </w:rPr>
        <w:t>设有内燃机的A类机器处所应在处所的每一出入口设置</w:t>
      </w:r>
      <w:r>
        <w:rPr>
          <w:rFonts w:hint="eastAsia" w:ascii="宋体" w:hAnsi="宋体" w:eastAsia="宋体" w:cs="宋体"/>
          <w:color w:val="auto"/>
          <w:highlight w:val="none"/>
          <w:lang w:eastAsia="zh-CN"/>
        </w:rPr>
        <w:t>1具</w:t>
      </w:r>
      <w:r>
        <w:rPr>
          <w:rFonts w:hint="eastAsia" w:ascii="宋体" w:hAnsi="宋体" w:eastAsia="宋体" w:cs="宋体"/>
          <w:color w:val="auto"/>
          <w:highlight w:val="none"/>
        </w:rPr>
        <w:t>手提水基（发泡剂型）灭火器或干粉灭火器，在处所内每10</w:t>
      </w:r>
      <w:r>
        <w:rPr>
          <w:rFonts w:hint="eastAsia" w:ascii="宋体" w:hAnsi="宋体" w:eastAsia="宋体" w:cs="宋体"/>
          <w:color w:val="auto"/>
          <w:highlight w:val="none"/>
          <w:lang w:val="en-US" w:eastAsia="zh-CN"/>
        </w:rPr>
        <w:t xml:space="preserve"> m</w:t>
      </w:r>
      <w:r>
        <w:rPr>
          <w:rFonts w:hint="eastAsia" w:ascii="宋体" w:hAnsi="宋体" w:eastAsia="宋体" w:cs="宋体"/>
          <w:color w:val="auto"/>
          <w:highlight w:val="none"/>
        </w:rPr>
        <w:t>设置</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具水基（发泡剂型）灭火器或干粉灭火器，每18</w:t>
      </w:r>
      <w:r>
        <w:rPr>
          <w:rFonts w:hint="eastAsia" w:ascii="宋体" w:hAnsi="宋体" w:eastAsia="宋体" w:cs="宋体"/>
          <w:color w:val="auto"/>
          <w:highlight w:val="none"/>
          <w:lang w:val="en-US" w:eastAsia="zh-CN"/>
        </w:rPr>
        <w:t xml:space="preserve"> m</w:t>
      </w:r>
      <w:r>
        <w:rPr>
          <w:rFonts w:hint="eastAsia" w:ascii="宋体" w:hAnsi="宋体" w:eastAsia="宋体" w:cs="宋体"/>
          <w:color w:val="auto"/>
          <w:highlight w:val="none"/>
        </w:rPr>
        <w:t>设置</w:t>
      </w:r>
      <w:r>
        <w:rPr>
          <w:rFonts w:hint="eastAsia" w:ascii="宋体" w:hAnsi="宋体" w:eastAsia="宋体" w:cs="宋体"/>
          <w:color w:val="auto"/>
          <w:highlight w:val="none"/>
          <w:lang w:eastAsia="zh-CN"/>
        </w:rPr>
        <w:t>1具</w:t>
      </w:r>
      <w:r>
        <w:rPr>
          <w:rFonts w:hint="eastAsia" w:ascii="宋体" w:hAnsi="宋体" w:eastAsia="宋体" w:cs="宋体"/>
          <w:color w:val="auto"/>
          <w:highlight w:val="none"/>
        </w:rPr>
        <w:t>45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L的推车式水基（发泡剂型）或干粉灭火器</w:t>
      </w:r>
      <w:bookmarkEnd w:id="1681"/>
      <w:bookmarkEnd w:id="1682"/>
      <w:r>
        <w:rPr>
          <w:rFonts w:hint="eastAsia" w:ascii="宋体" w:hAnsi="宋体" w:eastAsia="宋体" w:cs="宋体"/>
          <w:color w:val="auto"/>
          <w:highlight w:val="none"/>
          <w:lang w:eastAsia="zh-CN"/>
        </w:rPr>
        <w:t>。</w:t>
      </w:r>
    </w:p>
    <w:p w14:paraId="11947809">
      <w:pPr>
        <w:pStyle w:val="261"/>
        <w:spacing w:before="0" w:beforeLines="0" w:after="0" w:afterLines="0"/>
        <w:outlineLvl w:val="9"/>
        <w:rPr>
          <w:rFonts w:hint="eastAsia" w:ascii="宋体" w:hAnsi="宋体" w:eastAsia="宋体" w:cs="宋体"/>
          <w:color w:val="auto"/>
          <w:highlight w:val="none"/>
        </w:rPr>
      </w:pPr>
      <w:bookmarkStart w:id="1683" w:name="_Toc22740"/>
      <w:bookmarkStart w:id="1684" w:name="_Toc26437"/>
      <w:r>
        <w:rPr>
          <w:rFonts w:hint="eastAsia" w:ascii="宋体" w:hAnsi="宋体" w:eastAsia="宋体" w:cs="宋体"/>
          <w:color w:val="auto"/>
          <w:highlight w:val="none"/>
        </w:rPr>
        <w:t>原油泵舱</w:t>
      </w:r>
      <w:r>
        <w:rPr>
          <w:rFonts w:hint="eastAsia" w:ascii="宋体" w:hAnsi="宋体" w:eastAsia="宋体" w:cs="宋体"/>
          <w:color w:val="auto"/>
          <w:highlight w:val="none"/>
          <w:lang w:val="en-US" w:eastAsia="zh-CN"/>
        </w:rPr>
        <w:t>每层</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设置</w:t>
      </w:r>
      <w:r>
        <w:rPr>
          <w:rFonts w:hint="eastAsia" w:ascii="宋体" w:hAnsi="宋体" w:eastAsia="宋体" w:cs="宋体"/>
          <w:color w:val="auto"/>
          <w:highlight w:val="none"/>
        </w:rPr>
        <w:t>至少</w:t>
      </w:r>
      <w:r>
        <w:rPr>
          <w:rFonts w:hint="eastAsia" w:ascii="宋体" w:hAnsi="宋体" w:eastAsia="宋体" w:cs="宋体"/>
          <w:color w:val="auto"/>
          <w:highlight w:val="none"/>
          <w:lang w:eastAsia="zh-CN"/>
        </w:rPr>
        <w:t>2具</w:t>
      </w:r>
      <w:r>
        <w:rPr>
          <w:rFonts w:hint="eastAsia" w:ascii="宋体" w:hAnsi="宋体" w:eastAsia="宋体" w:cs="宋体"/>
          <w:color w:val="auto"/>
          <w:highlight w:val="none"/>
        </w:rPr>
        <w:t>手提式水基（发泡剂型）或干粉灭火器</w:t>
      </w:r>
      <w:bookmarkEnd w:id="1683"/>
      <w:bookmarkEnd w:id="1684"/>
      <w:r>
        <w:rPr>
          <w:rFonts w:hint="eastAsia" w:ascii="宋体" w:hAnsi="宋体" w:eastAsia="宋体" w:cs="宋体"/>
          <w:color w:val="auto"/>
          <w:highlight w:val="none"/>
          <w:lang w:eastAsia="zh-CN"/>
        </w:rPr>
        <w:t>。</w:t>
      </w:r>
    </w:p>
    <w:p w14:paraId="62DA8663">
      <w:pPr>
        <w:pStyle w:val="261"/>
        <w:spacing w:before="0" w:beforeLines="0" w:after="0" w:afterLines="0"/>
        <w:outlineLvl w:val="9"/>
        <w:rPr>
          <w:rFonts w:hint="eastAsia" w:ascii="宋体" w:hAnsi="宋体" w:eastAsia="宋体" w:cs="宋体"/>
          <w:color w:val="auto"/>
          <w:highlight w:val="none"/>
        </w:rPr>
      </w:pPr>
      <w:bookmarkStart w:id="1685" w:name="_Toc27512"/>
      <w:bookmarkStart w:id="1686" w:name="_Toc3229"/>
      <w:r>
        <w:rPr>
          <w:rFonts w:hint="eastAsia" w:ascii="宋体" w:hAnsi="宋体" w:eastAsia="宋体" w:cs="宋体"/>
          <w:color w:val="auto"/>
          <w:highlight w:val="none"/>
        </w:rPr>
        <w:t>油气处理模块每10</w:t>
      </w:r>
      <w:r>
        <w:rPr>
          <w:rFonts w:hint="eastAsia" w:ascii="宋体" w:hAnsi="宋体" w:eastAsia="宋体" w:cs="宋体"/>
          <w:color w:val="auto"/>
          <w:highlight w:val="none"/>
          <w:lang w:val="en-US" w:eastAsia="zh-CN"/>
        </w:rPr>
        <w:t xml:space="preserve"> m</w:t>
      </w:r>
      <w:r>
        <w:rPr>
          <w:rFonts w:hint="eastAsia" w:ascii="宋体" w:hAnsi="宋体" w:eastAsia="宋体" w:cs="宋体"/>
          <w:color w:val="auto"/>
          <w:highlight w:val="none"/>
        </w:rPr>
        <w:t>设置</w:t>
      </w:r>
      <w:r>
        <w:rPr>
          <w:rFonts w:hint="eastAsia" w:ascii="宋体" w:hAnsi="宋体" w:eastAsia="宋体" w:cs="宋体"/>
          <w:color w:val="auto"/>
          <w:highlight w:val="none"/>
          <w:lang w:eastAsia="zh-CN"/>
        </w:rPr>
        <w:t>1具</w:t>
      </w:r>
      <w:r>
        <w:rPr>
          <w:rFonts w:hint="eastAsia" w:ascii="宋体" w:hAnsi="宋体" w:eastAsia="宋体" w:cs="宋体"/>
          <w:color w:val="auto"/>
          <w:highlight w:val="none"/>
        </w:rPr>
        <w:t>手提式水基（发泡剂型）或干粉灭火器，该模块的每一出入口应设置</w:t>
      </w:r>
      <w:r>
        <w:rPr>
          <w:rFonts w:hint="eastAsia" w:ascii="宋体" w:hAnsi="宋体" w:eastAsia="宋体" w:cs="宋体"/>
          <w:color w:val="auto"/>
          <w:highlight w:val="none"/>
          <w:lang w:eastAsia="zh-CN"/>
        </w:rPr>
        <w:t>1具</w:t>
      </w:r>
      <w:r>
        <w:rPr>
          <w:rFonts w:hint="eastAsia" w:ascii="宋体" w:hAnsi="宋体" w:eastAsia="宋体" w:cs="宋体"/>
          <w:color w:val="auto"/>
          <w:highlight w:val="none"/>
        </w:rPr>
        <w:t>，且该模块至少应设置</w:t>
      </w:r>
      <w:r>
        <w:rPr>
          <w:rFonts w:hint="eastAsia" w:ascii="宋体" w:hAnsi="宋体" w:eastAsia="宋体" w:cs="宋体"/>
          <w:color w:val="auto"/>
          <w:highlight w:val="none"/>
          <w:lang w:eastAsia="zh-CN"/>
        </w:rPr>
        <w:t>2具</w:t>
      </w:r>
      <w:r>
        <w:rPr>
          <w:rFonts w:hint="eastAsia" w:ascii="宋体" w:hAnsi="宋体" w:eastAsia="宋体" w:cs="宋体"/>
          <w:color w:val="auto"/>
          <w:highlight w:val="none"/>
        </w:rPr>
        <w:t>容量不小于45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L的水基（发泡剂型）或干粉灭火器</w:t>
      </w:r>
      <w:bookmarkEnd w:id="1685"/>
      <w:bookmarkEnd w:id="1686"/>
      <w:r>
        <w:rPr>
          <w:rFonts w:hint="eastAsia" w:ascii="宋体" w:hAnsi="宋体" w:eastAsia="宋体" w:cs="宋体"/>
          <w:color w:val="auto"/>
          <w:highlight w:val="none"/>
          <w:lang w:eastAsia="zh-CN"/>
        </w:rPr>
        <w:t>。</w:t>
      </w:r>
    </w:p>
    <w:p w14:paraId="3C80BDF9">
      <w:pPr>
        <w:pStyle w:val="261"/>
        <w:spacing w:before="0" w:beforeLines="0" w:after="0" w:afterLines="0"/>
        <w:outlineLvl w:val="9"/>
        <w:rPr>
          <w:rFonts w:hint="eastAsia" w:ascii="宋体" w:hAnsi="宋体" w:eastAsia="宋体" w:cs="宋体"/>
          <w:color w:val="auto"/>
          <w:highlight w:val="none"/>
        </w:rPr>
      </w:pPr>
      <w:bookmarkStart w:id="1687" w:name="_Toc14028"/>
      <w:bookmarkStart w:id="1688" w:name="_Toc27434"/>
      <w:r>
        <w:rPr>
          <w:rFonts w:hint="eastAsia" w:ascii="宋体" w:hAnsi="宋体" w:eastAsia="宋体" w:cs="宋体"/>
          <w:color w:val="auto"/>
          <w:highlight w:val="none"/>
        </w:rPr>
        <w:t>油漆间和易燃液体物料间应</w:t>
      </w:r>
      <w:r>
        <w:rPr>
          <w:rFonts w:hint="eastAsia" w:ascii="宋体" w:hAnsi="宋体" w:eastAsia="宋体" w:cs="宋体"/>
          <w:color w:val="auto"/>
          <w:highlight w:val="none"/>
          <w:lang w:val="en-US" w:eastAsia="zh-CN"/>
        </w:rPr>
        <w:t>设置</w:t>
      </w:r>
      <w:r>
        <w:rPr>
          <w:rFonts w:hint="eastAsia" w:ascii="宋体" w:hAnsi="宋体" w:eastAsia="宋体" w:cs="宋体"/>
          <w:color w:val="auto"/>
          <w:highlight w:val="none"/>
        </w:rPr>
        <w:t>至少</w:t>
      </w:r>
      <w:r>
        <w:rPr>
          <w:rFonts w:hint="eastAsia" w:ascii="宋体" w:hAnsi="宋体" w:eastAsia="宋体" w:cs="宋体"/>
          <w:color w:val="auto"/>
          <w:highlight w:val="none"/>
          <w:lang w:eastAsia="zh-CN"/>
        </w:rPr>
        <w:t>2具</w:t>
      </w:r>
      <w:r>
        <w:rPr>
          <w:rFonts w:hint="eastAsia" w:ascii="宋体" w:hAnsi="宋体" w:eastAsia="宋体" w:cs="宋体"/>
          <w:color w:val="auto"/>
          <w:highlight w:val="none"/>
        </w:rPr>
        <w:t>手提式</w:t>
      </w:r>
      <w:r>
        <w:rPr>
          <w:rFonts w:hint="eastAsia" w:ascii="宋体" w:hAnsi="宋体" w:eastAsia="宋体" w:cs="宋体"/>
          <w:color w:val="auto"/>
          <w:highlight w:val="none"/>
          <w:lang w:val="en-US" w:eastAsia="zh-CN"/>
        </w:rPr>
        <w:t>二氧化碳</w:t>
      </w:r>
      <w:r>
        <w:rPr>
          <w:rFonts w:hint="eastAsia" w:ascii="宋体" w:hAnsi="宋体" w:eastAsia="宋体" w:cs="宋体"/>
          <w:color w:val="auto"/>
          <w:highlight w:val="none"/>
        </w:rPr>
        <w:t>或干粉灭火器</w:t>
      </w:r>
      <w:bookmarkEnd w:id="1687"/>
      <w:bookmarkEnd w:id="1688"/>
      <w:r>
        <w:rPr>
          <w:rFonts w:hint="eastAsia" w:ascii="宋体" w:hAnsi="宋体" w:eastAsia="宋体" w:cs="宋体"/>
          <w:color w:val="auto"/>
          <w:highlight w:val="none"/>
          <w:lang w:eastAsia="zh-CN"/>
        </w:rPr>
        <w:t>。</w:t>
      </w:r>
    </w:p>
    <w:p w14:paraId="4F566B1C">
      <w:pPr>
        <w:pStyle w:val="261"/>
        <w:spacing w:before="0" w:beforeLines="0" w:after="0" w:afterLines="0"/>
        <w:outlineLvl w:val="9"/>
        <w:rPr>
          <w:rFonts w:hint="eastAsia" w:ascii="宋体" w:hAnsi="宋体" w:eastAsia="宋体" w:cs="宋体"/>
          <w:color w:val="auto"/>
          <w:highlight w:val="none"/>
        </w:rPr>
      </w:pPr>
      <w:bookmarkStart w:id="1689" w:name="_Toc22914"/>
      <w:r>
        <w:rPr>
          <w:rFonts w:hint="eastAsia" w:ascii="宋体" w:hAnsi="宋体" w:eastAsia="宋体" w:cs="宋体"/>
          <w:color w:val="auto"/>
          <w:highlight w:val="none"/>
        </w:rPr>
        <w:t>起重机操纵处所及机器处所应配备手提式灭火器</w:t>
      </w:r>
      <w:bookmarkEnd w:id="1670"/>
      <w:bookmarkEnd w:id="1671"/>
      <w:bookmarkEnd w:id="1672"/>
      <w:bookmarkEnd w:id="1689"/>
      <w:r>
        <w:rPr>
          <w:rFonts w:hint="eastAsia" w:ascii="宋体" w:hAnsi="宋体" w:eastAsia="宋体" w:cs="宋体"/>
          <w:color w:val="auto"/>
          <w:highlight w:val="none"/>
          <w:lang w:eastAsia="zh-CN"/>
        </w:rPr>
        <w:t>。</w:t>
      </w:r>
    </w:p>
    <w:p w14:paraId="5BC0769B">
      <w:pPr>
        <w:pStyle w:val="261"/>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灭火器不应设置在可能超出其使用温度范围的场所，并应采取与</w:t>
      </w:r>
      <w:r>
        <w:rPr>
          <w:rFonts w:hint="eastAsia" w:ascii="宋体" w:hAnsi="宋体" w:eastAsia="宋体" w:cs="宋体"/>
          <w:color w:val="auto"/>
          <w:highlight w:val="none"/>
          <w:lang w:val="en-US" w:eastAsia="zh-CN"/>
        </w:rPr>
        <w:t>所处</w:t>
      </w:r>
      <w:r>
        <w:rPr>
          <w:rFonts w:hint="eastAsia" w:ascii="宋体" w:hAnsi="宋体" w:eastAsia="宋体" w:cs="宋体"/>
          <w:color w:val="auto"/>
          <w:highlight w:val="none"/>
        </w:rPr>
        <w:t>场所环境条件相适应的防护措施。</w:t>
      </w:r>
    </w:p>
    <w:p w14:paraId="231F97A1">
      <w:pPr>
        <w:pStyle w:val="260"/>
        <w:numPr>
          <w:ilvl w:val="1"/>
          <w:numId w:val="33"/>
        </w:numPr>
        <w:jc w:val="both"/>
        <w:outlineLvl w:val="1"/>
        <w:rPr>
          <w:rFonts w:hint="default" w:ascii="Times New Roman" w:hAnsi="Times New Roman" w:cs="Times New Roman"/>
          <w:color w:val="auto"/>
          <w:highlight w:val="none"/>
        </w:rPr>
      </w:pPr>
      <w:bookmarkStart w:id="1690" w:name="_Toc22887"/>
      <w:bookmarkStart w:id="1691" w:name="_Toc31769"/>
      <w:bookmarkStart w:id="1692" w:name="_Toc7381"/>
      <w:bookmarkStart w:id="1693" w:name="_Toc19372"/>
      <w:bookmarkStart w:id="1694" w:name="_Toc5404"/>
      <w:bookmarkStart w:id="1695" w:name="_Toc31189"/>
      <w:bookmarkStart w:id="1696" w:name="_Toc9081"/>
      <w:bookmarkStart w:id="1697" w:name="_Toc977"/>
      <w:bookmarkStart w:id="1698" w:name="_Toc15369"/>
      <w:bookmarkStart w:id="1699" w:name="_Toc183727733"/>
      <w:r>
        <w:rPr>
          <w:rFonts w:hint="default" w:ascii="Times New Roman" w:hAnsi="Times New Roman" w:cs="Times New Roman"/>
          <w:color w:val="auto"/>
          <w:highlight w:val="none"/>
        </w:rPr>
        <w:t>消防员装备</w:t>
      </w:r>
      <w:bookmarkEnd w:id="1690"/>
      <w:bookmarkEnd w:id="1691"/>
      <w:bookmarkEnd w:id="1692"/>
      <w:bookmarkEnd w:id="1693"/>
      <w:bookmarkEnd w:id="1694"/>
      <w:bookmarkEnd w:id="1695"/>
      <w:bookmarkEnd w:id="1696"/>
      <w:bookmarkEnd w:id="1697"/>
      <w:bookmarkEnd w:id="1698"/>
      <w:bookmarkEnd w:id="1699"/>
    </w:p>
    <w:p w14:paraId="27124609">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设置</w:t>
      </w:r>
      <w:r>
        <w:rPr>
          <w:rFonts w:hint="eastAsia" w:ascii="宋体" w:hAnsi="宋体" w:eastAsia="宋体" w:cs="宋体"/>
          <w:color w:val="auto"/>
          <w:highlight w:val="none"/>
        </w:rPr>
        <w:t>至少4套满足</w:t>
      </w:r>
      <w:r>
        <w:rPr>
          <w:rFonts w:hint="eastAsia" w:ascii="宋体" w:hAnsi="宋体" w:eastAsia="宋体" w:cs="宋体"/>
          <w:color w:val="auto"/>
          <w:highlight w:val="none"/>
          <w:lang w:eastAsia="zh-CN"/>
        </w:rPr>
        <w:t>以下要求</w:t>
      </w:r>
      <w:r>
        <w:rPr>
          <w:rFonts w:hint="eastAsia" w:ascii="宋体" w:hAnsi="宋体" w:eastAsia="宋体" w:cs="宋体"/>
          <w:color w:val="auto"/>
          <w:highlight w:val="none"/>
        </w:rPr>
        <w:t>的消防员装备：</w:t>
      </w:r>
    </w:p>
    <w:p w14:paraId="6A34B073">
      <w:pPr>
        <w:pStyle w:val="305"/>
        <w:numPr>
          <w:ilvl w:val="0"/>
          <w:numId w:val="9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个人装备包括：隔热防护服、消防靴、手套、头盔、有绝缘柄的消防斧及可连续使用3</w:t>
      </w:r>
      <w:r>
        <w:rPr>
          <w:rFonts w:hint="eastAsia" w:hAnsi="宋体" w:cs="宋体"/>
          <w:color w:val="auto"/>
          <w:highlight w:val="none"/>
          <w:lang w:val="en-US" w:eastAsia="zh-CN"/>
        </w:rPr>
        <w:t xml:space="preserve"> </w:t>
      </w:r>
      <w:r>
        <w:rPr>
          <w:rFonts w:hint="eastAsia" w:ascii="宋体" w:hAnsi="宋体" w:eastAsia="宋体" w:cs="宋体"/>
          <w:color w:val="auto"/>
          <w:highlight w:val="none"/>
          <w:lang w:val="en-US" w:eastAsia="zh-CN"/>
        </w:rPr>
        <w:t>h的手提式安全灯；</w:t>
      </w:r>
    </w:p>
    <w:p w14:paraId="0A453D49">
      <w:pPr>
        <w:pStyle w:val="305"/>
        <w:numPr>
          <w:ilvl w:val="0"/>
          <w:numId w:val="9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自给式压缩空气呼吸器，气瓶储气量应至少为30 min需求量；每套呼吸器配备1个备用气瓶，；若气瓶无法再次充气，应配备对应数量的备用气瓶；</w:t>
      </w:r>
    </w:p>
    <w:p w14:paraId="73DD275F">
      <w:pPr>
        <w:pStyle w:val="305"/>
        <w:numPr>
          <w:ilvl w:val="0"/>
          <w:numId w:val="9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长度至少为30 m的耐火救生绳，一次性通过静载荷为3.5 kN、时间为5 min的认可实验；</w:t>
      </w:r>
    </w:p>
    <w:p w14:paraId="2D9F8081">
      <w:pPr>
        <w:pStyle w:val="305"/>
        <w:numPr>
          <w:ilvl w:val="0"/>
          <w:numId w:val="9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每套装备至少配有测量氧气和可燃气体浓度的手持式仪器。</w:t>
      </w:r>
    </w:p>
    <w:p w14:paraId="6958235B">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1700" w:name="_Toc9082"/>
      <w:bookmarkStart w:id="1701" w:name="_Toc4923"/>
      <w:bookmarkStart w:id="1702" w:name="_Toc28086"/>
      <w:bookmarkStart w:id="1703" w:name="_Toc23840"/>
      <w:bookmarkStart w:id="1704" w:name="_Toc18983"/>
      <w:r>
        <w:rPr>
          <w:rFonts w:hint="eastAsia" w:ascii="宋体" w:hAnsi="宋体" w:eastAsia="宋体" w:cs="宋体"/>
          <w:color w:val="auto"/>
          <w:highlight w:val="none"/>
        </w:rPr>
        <w:t>消防员装备应存放于消防员装备备品柜中。备品柜位置应易于到达且相互远离，存放位置应有永久性的清晰标志</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且</w:t>
      </w:r>
      <w:r>
        <w:rPr>
          <w:rFonts w:hint="eastAsia" w:ascii="宋体" w:hAnsi="宋体" w:eastAsia="宋体" w:cs="宋体"/>
          <w:color w:val="auto"/>
          <w:highlight w:val="none"/>
        </w:rPr>
        <w:t>在直升机甲板附近应至少存放</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套。</w:t>
      </w:r>
      <w:bookmarkEnd w:id="1700"/>
      <w:bookmarkEnd w:id="1701"/>
      <w:bookmarkEnd w:id="1702"/>
      <w:bookmarkEnd w:id="1703"/>
      <w:bookmarkEnd w:id="1704"/>
      <w:bookmarkStart w:id="1705" w:name="_Toc183727740"/>
    </w:p>
    <w:bookmarkEnd w:id="1705"/>
    <w:p w14:paraId="22862706">
      <w:pPr>
        <w:pStyle w:val="259"/>
        <w:outlineLvl w:val="0"/>
        <w:rPr>
          <w:rFonts w:hint="default" w:ascii="Times New Roman" w:hAnsi="Times New Roman" w:cs="Times New Roman"/>
          <w:color w:val="auto"/>
          <w:highlight w:val="none"/>
        </w:rPr>
      </w:pPr>
      <w:bookmarkStart w:id="1706" w:name="_Toc183727741"/>
      <w:bookmarkStart w:id="1707" w:name="_Toc29156"/>
      <w:bookmarkStart w:id="1708" w:name="_Toc2238"/>
      <w:bookmarkStart w:id="1709" w:name="_Toc13262"/>
      <w:bookmarkStart w:id="1710" w:name="_Toc15095"/>
      <w:bookmarkStart w:id="1711" w:name="_Toc6389"/>
      <w:bookmarkStart w:id="1712" w:name="_Toc26928"/>
      <w:bookmarkStart w:id="1713" w:name="_Toc3029"/>
      <w:bookmarkStart w:id="1714" w:name="_Toc16946"/>
      <w:bookmarkStart w:id="1715" w:name="_Toc18720"/>
      <w:r>
        <w:rPr>
          <w:rFonts w:hint="default" w:ascii="Times New Roman" w:hAnsi="Times New Roman" w:cs="Times New Roman"/>
          <w:color w:val="auto"/>
          <w:highlight w:val="none"/>
        </w:rPr>
        <w:t>救生和逃生系统</w:t>
      </w:r>
      <w:bookmarkEnd w:id="1706"/>
      <w:bookmarkEnd w:id="1707"/>
      <w:bookmarkEnd w:id="1708"/>
      <w:bookmarkEnd w:id="1709"/>
      <w:bookmarkEnd w:id="1710"/>
      <w:bookmarkEnd w:id="1711"/>
      <w:bookmarkEnd w:id="1712"/>
      <w:bookmarkEnd w:id="1713"/>
      <w:bookmarkEnd w:id="1714"/>
      <w:bookmarkEnd w:id="1715"/>
    </w:p>
    <w:p w14:paraId="3B9CD9BD">
      <w:pPr>
        <w:pStyle w:val="260"/>
        <w:jc w:val="both"/>
        <w:outlineLvl w:val="1"/>
        <w:rPr>
          <w:rFonts w:hint="default" w:ascii="Times New Roman" w:hAnsi="Times New Roman" w:cs="Times New Roman"/>
          <w:color w:val="auto"/>
          <w:highlight w:val="none"/>
        </w:rPr>
      </w:pPr>
      <w:bookmarkStart w:id="1716" w:name="_Toc27084"/>
      <w:bookmarkStart w:id="1717" w:name="_Toc22409"/>
      <w:bookmarkStart w:id="1718" w:name="_Toc5757"/>
      <w:bookmarkStart w:id="1719" w:name="_Toc10252"/>
      <w:bookmarkStart w:id="1720" w:name="_Toc16165"/>
      <w:bookmarkStart w:id="1721" w:name="_Toc4055"/>
      <w:bookmarkStart w:id="1722" w:name="_Toc7860"/>
      <w:bookmarkStart w:id="1723" w:name="_Toc8397"/>
      <w:bookmarkStart w:id="1724" w:name="_Toc183727743"/>
      <w:bookmarkStart w:id="1725" w:name="_Toc26772"/>
      <w:r>
        <w:rPr>
          <w:rFonts w:hint="default" w:ascii="Times New Roman" w:hAnsi="Times New Roman" w:cs="Times New Roman"/>
          <w:color w:val="auto"/>
          <w:highlight w:val="none"/>
        </w:rPr>
        <w:t>救生艇筏</w:t>
      </w:r>
      <w:bookmarkEnd w:id="1716"/>
      <w:bookmarkEnd w:id="1717"/>
      <w:bookmarkEnd w:id="1718"/>
      <w:bookmarkEnd w:id="1719"/>
      <w:bookmarkEnd w:id="1720"/>
      <w:bookmarkEnd w:id="1721"/>
      <w:bookmarkEnd w:id="1722"/>
      <w:bookmarkEnd w:id="1723"/>
      <w:bookmarkEnd w:id="1724"/>
      <w:bookmarkEnd w:id="1725"/>
    </w:p>
    <w:p w14:paraId="68C81312">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1726" w:name="_Toc11494"/>
      <w:bookmarkStart w:id="1727" w:name="_Toc17781"/>
      <w:bookmarkStart w:id="1728" w:name="_Toc17985"/>
      <w:bookmarkStart w:id="1729" w:name="_Toc10662"/>
      <w:bookmarkStart w:id="1730" w:name="_Toc28042"/>
      <w:bookmarkStart w:id="1731" w:name="_Toc22732"/>
      <w:bookmarkStart w:id="1732" w:name="_Toc23264"/>
      <w:bookmarkStart w:id="1733" w:name="_Toc29931"/>
      <w:bookmarkStart w:id="1734" w:name="_Toc8815"/>
      <w:bookmarkStart w:id="1735" w:name="_Toc2773"/>
      <w:bookmarkStart w:id="1736" w:name="_Toc13700"/>
      <w:bookmarkStart w:id="1737" w:name="_Toc9288"/>
      <w:r>
        <w:rPr>
          <w:rFonts w:hint="eastAsia" w:ascii="宋体" w:hAnsi="宋体" w:eastAsia="宋体" w:cs="宋体"/>
          <w:color w:val="auto"/>
          <w:highlight w:val="none"/>
        </w:rPr>
        <w:t>船型</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救生艇筏的配备</w:t>
      </w:r>
      <w:bookmarkEnd w:id="1726"/>
      <w:bookmarkEnd w:id="1727"/>
      <w:bookmarkEnd w:id="1728"/>
      <w:bookmarkEnd w:id="1729"/>
      <w:bookmarkEnd w:id="1730"/>
      <w:bookmarkEnd w:id="1731"/>
      <w:bookmarkEnd w:id="1732"/>
      <w:r>
        <w:rPr>
          <w:rFonts w:hint="eastAsia" w:ascii="宋体" w:hAnsi="宋体" w:eastAsia="宋体" w:cs="宋体"/>
          <w:color w:val="auto"/>
          <w:highlight w:val="none"/>
          <w:lang w:val="en-US" w:eastAsia="zh-CN"/>
        </w:rPr>
        <w:t>满足以下要求：</w:t>
      </w:r>
      <w:bookmarkEnd w:id="1733"/>
      <w:bookmarkEnd w:id="1734"/>
      <w:bookmarkEnd w:id="1735"/>
    </w:p>
    <w:p w14:paraId="37996E1E">
      <w:pPr>
        <w:pStyle w:val="305"/>
        <w:numPr>
          <w:ilvl w:val="0"/>
          <w:numId w:val="9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每舷应配备1艘或多艘符合IMO LSA要求的全封闭式耐火救生艇，且每舷的总容量应容纳FPSO人员的总数；</w:t>
      </w:r>
    </w:p>
    <w:p w14:paraId="2ADC9BBF">
      <w:pPr>
        <w:pStyle w:val="305"/>
        <w:numPr>
          <w:ilvl w:val="0"/>
          <w:numId w:val="9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每舷应配备1艘或多艘符合IMO LSA要求的气胀式或刚性救生筏，且每舷的总容量应能容纳FPSO人员的总数；</w:t>
      </w:r>
    </w:p>
    <w:p w14:paraId="45E19F1E">
      <w:pPr>
        <w:pStyle w:val="305"/>
        <w:numPr>
          <w:ilvl w:val="0"/>
          <w:numId w:val="9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当从船艏最前端或船艉最末端至最近的救生筏水平距离超过100 m时，应增设救生筏；</w:t>
      </w:r>
    </w:p>
    <w:p w14:paraId="13AAA99B">
      <w:pPr>
        <w:pStyle w:val="305"/>
        <w:numPr>
          <w:ilvl w:val="0"/>
          <w:numId w:val="9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救生筏应能通过手动操作从其固定位置释放，且能在不使用降落设备的情况下部署至水面。</w:t>
      </w:r>
    </w:p>
    <w:p w14:paraId="6FEB1154">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1738" w:name="_Toc13429"/>
      <w:bookmarkStart w:id="1739" w:name="_Toc22287"/>
      <w:bookmarkStart w:id="1740" w:name="_Toc19351"/>
      <w:bookmarkStart w:id="1741" w:name="_Toc2938"/>
      <w:bookmarkStart w:id="1742" w:name="_Toc10621"/>
      <w:bookmarkStart w:id="1743" w:name="_Toc21049"/>
      <w:bookmarkStart w:id="1744" w:name="_Toc27897"/>
      <w:bookmarkStart w:id="1745" w:name="_Toc22594"/>
      <w:bookmarkStart w:id="1746" w:name="_Toc20941"/>
      <w:bookmarkStart w:id="1747" w:name="_Toc26172"/>
      <w:r>
        <w:rPr>
          <w:rFonts w:hint="eastAsia" w:ascii="宋体" w:hAnsi="宋体" w:eastAsia="宋体" w:cs="宋体"/>
          <w:color w:val="auto"/>
          <w:highlight w:val="none"/>
        </w:rPr>
        <w:t>圆筒型</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救生艇筏的配备</w:t>
      </w:r>
      <w:bookmarkEnd w:id="1738"/>
      <w:bookmarkEnd w:id="1739"/>
      <w:bookmarkEnd w:id="1740"/>
      <w:bookmarkEnd w:id="1741"/>
      <w:bookmarkEnd w:id="1742"/>
      <w:bookmarkEnd w:id="1743"/>
      <w:bookmarkEnd w:id="1744"/>
      <w:r>
        <w:rPr>
          <w:rFonts w:hint="eastAsia" w:ascii="宋体" w:hAnsi="宋体" w:eastAsia="宋体" w:cs="宋体"/>
          <w:color w:val="auto"/>
          <w:highlight w:val="none"/>
          <w:lang w:val="en-US" w:eastAsia="zh-CN"/>
        </w:rPr>
        <w:t>满足以下要求：</w:t>
      </w:r>
      <w:bookmarkEnd w:id="1745"/>
      <w:bookmarkEnd w:id="1746"/>
      <w:bookmarkEnd w:id="1747"/>
    </w:p>
    <w:p w14:paraId="7C8CA777">
      <w:pPr>
        <w:pStyle w:val="305"/>
        <w:numPr>
          <w:ilvl w:val="0"/>
          <w:numId w:val="100"/>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生活楼两侧应各配备1艘或多艘符合IMO LSA要求的全封闭式耐火救生艇，且每侧的总容量应能容纳FPSO人员的总数；</w:t>
      </w:r>
    </w:p>
    <w:p w14:paraId="407F247B">
      <w:pPr>
        <w:pStyle w:val="305"/>
        <w:numPr>
          <w:ilvl w:val="0"/>
          <w:numId w:val="100"/>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救生艇的布置应满足船体在各工况单舱破损最不利计算倾角下安全下放；</w:t>
      </w:r>
    </w:p>
    <w:p w14:paraId="7DD8B7E3">
      <w:pPr>
        <w:pStyle w:val="305"/>
        <w:numPr>
          <w:ilvl w:val="0"/>
          <w:numId w:val="100"/>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救生筏应采用海上撤离系统或柔性逃生筒，救生筏的配备数量应符合19.1.1要求。</w:t>
      </w:r>
    </w:p>
    <w:p w14:paraId="44AC66F7">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1748" w:name="_Toc18560"/>
      <w:bookmarkStart w:id="1749" w:name="_Toc29063"/>
      <w:bookmarkStart w:id="1750" w:name="_Toc15257"/>
      <w:bookmarkStart w:id="1751" w:name="_Toc21724"/>
      <w:bookmarkStart w:id="1752" w:name="_Toc21863"/>
      <w:bookmarkStart w:id="1753" w:name="_Toc16365"/>
      <w:bookmarkStart w:id="1754" w:name="_Toc25202"/>
      <w:bookmarkStart w:id="1755" w:name="_Toc1348"/>
      <w:bookmarkStart w:id="1756" w:name="_Toc12496"/>
      <w:bookmarkStart w:id="1757" w:name="_Toc11867"/>
      <w:r>
        <w:rPr>
          <w:rFonts w:hint="eastAsia" w:ascii="宋体" w:hAnsi="宋体" w:eastAsia="宋体" w:cs="宋体"/>
          <w:color w:val="auto"/>
          <w:highlight w:val="none"/>
        </w:rPr>
        <w:t>半潜式</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救生艇筏的配备</w:t>
      </w:r>
      <w:bookmarkEnd w:id="1748"/>
      <w:bookmarkEnd w:id="1749"/>
      <w:bookmarkEnd w:id="1750"/>
      <w:bookmarkEnd w:id="1751"/>
      <w:bookmarkEnd w:id="1752"/>
      <w:bookmarkEnd w:id="1753"/>
      <w:bookmarkEnd w:id="1754"/>
      <w:r>
        <w:rPr>
          <w:rFonts w:hint="eastAsia" w:ascii="宋体" w:hAnsi="宋体" w:eastAsia="宋体" w:cs="宋体"/>
          <w:color w:val="auto"/>
          <w:highlight w:val="none"/>
          <w:lang w:val="en-US" w:eastAsia="zh-CN"/>
        </w:rPr>
        <w:t>满足以下要求：</w:t>
      </w:r>
      <w:bookmarkEnd w:id="1755"/>
      <w:bookmarkEnd w:id="1756"/>
      <w:bookmarkEnd w:id="1757"/>
    </w:p>
    <w:bookmarkEnd w:id="1736"/>
    <w:bookmarkEnd w:id="1737"/>
    <w:p w14:paraId="1BB59A02">
      <w:pPr>
        <w:pStyle w:val="305"/>
        <w:numPr>
          <w:ilvl w:val="0"/>
          <w:numId w:val="101"/>
        </w:numPr>
        <w:ind w:left="839" w:leftChars="0" w:hanging="419" w:firstLineChars="0"/>
        <w:rPr>
          <w:rFonts w:hint="eastAsia" w:ascii="宋体" w:hAnsi="宋体" w:eastAsia="宋体" w:cs="宋体"/>
          <w:color w:val="auto"/>
          <w:highlight w:val="none"/>
          <w:lang w:val="en-US" w:eastAsia="zh-CN"/>
        </w:rPr>
      </w:pPr>
      <w:bookmarkStart w:id="1758" w:name="_Toc8159"/>
      <w:bookmarkStart w:id="1759" w:name="_Toc12158"/>
      <w:bookmarkStart w:id="1760" w:name="_Toc28662"/>
      <w:bookmarkStart w:id="1761" w:name="_Toc22114"/>
      <w:bookmarkStart w:id="1762" w:name="_Toc1619"/>
      <w:bookmarkStart w:id="1763" w:name="_Toc183727744"/>
      <w:bookmarkStart w:id="1764" w:name="_Toc31586"/>
      <w:bookmarkStart w:id="1765" w:name="_Toc18748"/>
      <w:r>
        <w:rPr>
          <w:rFonts w:hint="eastAsia" w:ascii="宋体" w:hAnsi="宋体" w:eastAsia="宋体" w:cs="宋体"/>
          <w:color w:val="auto"/>
          <w:highlight w:val="none"/>
          <w:lang w:val="en-US" w:eastAsia="zh-CN"/>
        </w:rPr>
        <w:t>应配备1艘或多艘符合IMO LSA要求的全封闭式耐火救生艇，应存放在FPSO的两舷或两端至少两个相互远离的地点，且在任何一处的救生艇失效时，余下的救生艇仍能容纳FPSO的总人数；</w:t>
      </w:r>
    </w:p>
    <w:p w14:paraId="4D6DBACE">
      <w:pPr>
        <w:pStyle w:val="305"/>
        <w:numPr>
          <w:ilvl w:val="0"/>
          <w:numId w:val="101"/>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应配备满足19.1.1规定的救生筏。</w:t>
      </w:r>
    </w:p>
    <w:p w14:paraId="64F4AC1F">
      <w:pPr>
        <w:pStyle w:val="260"/>
        <w:outlineLvl w:val="1"/>
        <w:rPr>
          <w:rFonts w:hint="default" w:ascii="Times New Roman" w:hAnsi="Times New Roman" w:cs="Times New Roman"/>
          <w:color w:val="auto"/>
          <w:highlight w:val="none"/>
        </w:rPr>
      </w:pPr>
      <w:bookmarkStart w:id="1766" w:name="_Toc11880"/>
      <w:bookmarkStart w:id="1767" w:name="_Toc13469"/>
      <w:r>
        <w:rPr>
          <w:rFonts w:hint="default" w:ascii="Times New Roman" w:hAnsi="Times New Roman" w:cs="Times New Roman"/>
          <w:color w:val="auto"/>
          <w:highlight w:val="none"/>
        </w:rPr>
        <w:t>救助艇</w:t>
      </w:r>
      <w:bookmarkEnd w:id="1758"/>
      <w:bookmarkEnd w:id="1759"/>
      <w:bookmarkEnd w:id="1760"/>
      <w:bookmarkEnd w:id="1761"/>
      <w:bookmarkEnd w:id="1766"/>
      <w:bookmarkEnd w:id="1767"/>
    </w:p>
    <w:p w14:paraId="61D140DF">
      <w:pPr>
        <w:pStyle w:val="326"/>
        <w:rPr>
          <w:rFonts w:hint="eastAsia" w:ascii="宋体" w:hAnsi="宋体" w:eastAsia="宋体" w:cs="宋体"/>
          <w:color w:val="auto"/>
          <w:highlight w:val="none"/>
        </w:rPr>
      </w:pPr>
      <w:bookmarkStart w:id="1768" w:name="_Toc12557"/>
      <w:r>
        <w:rPr>
          <w:rFonts w:hint="eastAsia" w:ascii="宋体" w:hAnsi="宋体" w:eastAsia="宋体" w:cs="宋体"/>
          <w:color w:val="auto"/>
          <w:highlight w:val="none"/>
        </w:rPr>
        <w:t>应至少配备1艘符合</w:t>
      </w:r>
      <w:r>
        <w:rPr>
          <w:rFonts w:hint="eastAsia" w:ascii="宋体" w:hAnsi="宋体" w:eastAsia="宋体" w:cs="宋体"/>
          <w:color w:val="auto"/>
          <w:highlight w:val="none"/>
          <w:lang w:val="en-US" w:eastAsia="zh-CN"/>
        </w:rPr>
        <w:t xml:space="preserve">IMO </w:t>
      </w:r>
      <w:r>
        <w:rPr>
          <w:rFonts w:hint="eastAsia" w:ascii="宋体" w:hAnsi="宋体" w:eastAsia="宋体" w:cs="宋体"/>
          <w:color w:val="auto"/>
          <w:highlight w:val="none"/>
        </w:rPr>
        <w:t>SOLAS要求的救助艇。</w:t>
      </w:r>
      <w:bookmarkEnd w:id="1768"/>
    </w:p>
    <w:p w14:paraId="756E3E86">
      <w:pPr>
        <w:pStyle w:val="326"/>
        <w:rPr>
          <w:rFonts w:hint="eastAsia" w:ascii="宋体" w:hAnsi="宋体" w:eastAsia="宋体" w:cs="宋体"/>
          <w:color w:val="auto"/>
          <w:highlight w:val="none"/>
        </w:rPr>
      </w:pPr>
      <w:r>
        <w:rPr>
          <w:rFonts w:hint="eastAsia" w:ascii="宋体" w:hAnsi="宋体" w:eastAsia="宋体" w:cs="宋体"/>
          <w:color w:val="auto"/>
          <w:highlight w:val="none"/>
        </w:rPr>
        <w:t>救助艇应符合下列</w:t>
      </w:r>
      <w:r>
        <w:rPr>
          <w:rFonts w:hint="eastAsia" w:ascii="宋体" w:hAnsi="宋体" w:eastAsia="宋体" w:cs="宋体"/>
          <w:color w:val="auto"/>
          <w:highlight w:val="none"/>
          <w:lang w:val="en-US" w:eastAsia="zh-CN"/>
        </w:rPr>
        <w:t>要求</w:t>
      </w:r>
      <w:r>
        <w:rPr>
          <w:rFonts w:hint="eastAsia" w:ascii="宋体" w:hAnsi="宋体" w:eastAsia="宋体" w:cs="宋体"/>
          <w:color w:val="auto"/>
          <w:highlight w:val="none"/>
        </w:rPr>
        <w:t>：</w:t>
      </w:r>
    </w:p>
    <w:p w14:paraId="28A61262">
      <w:pPr>
        <w:pStyle w:val="305"/>
        <w:numPr>
          <w:ilvl w:val="0"/>
          <w:numId w:val="102"/>
        </w:numPr>
        <w:ind w:left="839" w:leftChars="0" w:hanging="419" w:firstLineChars="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刚</w:t>
      </w:r>
      <w:r>
        <w:rPr>
          <w:rFonts w:hint="default" w:ascii="宋体" w:hAnsi="宋体" w:eastAsia="宋体" w:cs="宋体"/>
          <w:color w:val="auto"/>
          <w:highlight w:val="none"/>
          <w:lang w:val="en-US" w:eastAsia="zh-CN"/>
        </w:rPr>
        <w:t>性的或充气的，或两者混合结构的；</w:t>
      </w:r>
    </w:p>
    <w:p w14:paraId="00AEBDDF">
      <w:pPr>
        <w:pStyle w:val="305"/>
        <w:numPr>
          <w:ilvl w:val="0"/>
          <w:numId w:val="102"/>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长度不小于3.8 m，且不大于8.5 m；</w:t>
      </w:r>
    </w:p>
    <w:p w14:paraId="29E2121C">
      <w:pPr>
        <w:pStyle w:val="305"/>
        <w:numPr>
          <w:ilvl w:val="0"/>
          <w:numId w:val="102"/>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除能容纳至少5名坐姿乘员外，同时还能容纳一名躺卧乘员；</w:t>
      </w:r>
    </w:p>
    <w:p w14:paraId="707E921F">
      <w:pPr>
        <w:pStyle w:val="305"/>
        <w:numPr>
          <w:ilvl w:val="0"/>
          <w:numId w:val="102"/>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航速不小于6节，并在此航速下连续航行4 h；</w:t>
      </w:r>
    </w:p>
    <w:p w14:paraId="51672495">
      <w:pPr>
        <w:pStyle w:val="305"/>
        <w:numPr>
          <w:ilvl w:val="0"/>
          <w:numId w:val="102"/>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在波浪中具有足够的机动性和操纵性，能从水中营救人员和集结救生筏；</w:t>
      </w:r>
    </w:p>
    <w:p w14:paraId="10724E45">
      <w:pPr>
        <w:pStyle w:val="305"/>
        <w:numPr>
          <w:ilvl w:val="0"/>
          <w:numId w:val="102"/>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设有拖带设施和拖带浮索；</w:t>
      </w:r>
    </w:p>
    <w:p w14:paraId="74DE60A0">
      <w:pPr>
        <w:pStyle w:val="305"/>
        <w:numPr>
          <w:ilvl w:val="0"/>
          <w:numId w:val="102"/>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配备救助艇属具。</w:t>
      </w:r>
    </w:p>
    <w:p w14:paraId="295B5E2E">
      <w:pPr>
        <w:pStyle w:val="326"/>
        <w:rPr>
          <w:rFonts w:hint="eastAsia" w:ascii="宋体" w:hAnsi="宋体" w:eastAsia="宋体" w:cs="宋体"/>
          <w:color w:val="auto"/>
          <w:highlight w:val="none"/>
        </w:rPr>
      </w:pPr>
      <w:r>
        <w:rPr>
          <w:rFonts w:hint="eastAsia" w:ascii="宋体" w:hAnsi="宋体" w:eastAsia="宋体" w:cs="宋体"/>
          <w:color w:val="auto"/>
          <w:highlight w:val="none"/>
        </w:rPr>
        <w:t>当刚性全封闭机动耐火救生艇兼做救助艇时，应满足19.</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.2的要求。</w:t>
      </w:r>
    </w:p>
    <w:p w14:paraId="01095B83">
      <w:pPr>
        <w:pStyle w:val="326"/>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rPr>
        <w:t>救助艇的存放和降落装置应布置在非危险区内，并能保证在应急情况时</w:t>
      </w:r>
      <w:r>
        <w:rPr>
          <w:rFonts w:hint="eastAsia" w:ascii="宋体" w:hAnsi="宋体" w:eastAsia="宋体" w:cs="宋体"/>
          <w:color w:val="auto"/>
          <w:highlight w:val="none"/>
        </w:rPr>
        <w:t>迅速地降落到水面上</w:t>
      </w:r>
      <w:r>
        <w:rPr>
          <w:rFonts w:hint="eastAsia" w:ascii="Times New Roman" w:cs="Times New Roman"/>
          <w:color w:val="auto"/>
          <w:highlight w:val="none"/>
          <w:lang w:eastAsia="zh-CN"/>
        </w:rPr>
        <w:t>。</w:t>
      </w:r>
    </w:p>
    <w:bookmarkEnd w:id="1762"/>
    <w:bookmarkEnd w:id="1763"/>
    <w:bookmarkEnd w:id="1764"/>
    <w:bookmarkEnd w:id="1765"/>
    <w:p w14:paraId="15727C7D">
      <w:pPr>
        <w:pStyle w:val="260"/>
        <w:outlineLvl w:val="1"/>
        <w:rPr>
          <w:rFonts w:hint="default" w:ascii="Times New Roman" w:hAnsi="Times New Roman" w:cs="Times New Roman"/>
          <w:color w:val="auto"/>
          <w:highlight w:val="none"/>
        </w:rPr>
      </w:pPr>
      <w:bookmarkStart w:id="1769" w:name="_Toc397"/>
      <w:bookmarkStart w:id="1770" w:name="_Toc9525"/>
      <w:bookmarkStart w:id="1771" w:name="_Toc7815"/>
      <w:bookmarkStart w:id="1772" w:name="_Toc17601"/>
      <w:bookmarkStart w:id="1773" w:name="_Toc11109"/>
      <w:bookmarkStart w:id="1774" w:name="_Toc31535"/>
      <w:bookmarkStart w:id="1775" w:name="_Toc15696"/>
      <w:bookmarkStart w:id="1776" w:name="_Toc183727745"/>
      <w:bookmarkStart w:id="1777" w:name="_Toc31132"/>
      <w:bookmarkStart w:id="1778" w:name="_Toc14715"/>
      <w:r>
        <w:rPr>
          <w:rFonts w:hint="default" w:ascii="Times New Roman" w:hAnsi="Times New Roman" w:cs="Times New Roman"/>
          <w:color w:val="auto"/>
          <w:highlight w:val="none"/>
        </w:rPr>
        <w:t>个人救生设备</w:t>
      </w:r>
      <w:bookmarkEnd w:id="1769"/>
      <w:bookmarkEnd w:id="1770"/>
      <w:bookmarkEnd w:id="1771"/>
      <w:bookmarkEnd w:id="1772"/>
      <w:bookmarkEnd w:id="1773"/>
      <w:bookmarkEnd w:id="1774"/>
      <w:bookmarkEnd w:id="1775"/>
      <w:bookmarkEnd w:id="1776"/>
      <w:bookmarkEnd w:id="1777"/>
      <w:bookmarkEnd w:id="1778"/>
    </w:p>
    <w:p w14:paraId="013DBF4C">
      <w:pPr>
        <w:pStyle w:val="261"/>
        <w:spacing w:before="0" w:beforeLines="0" w:after="0" w:afterLines="0"/>
        <w:outlineLvl w:val="2"/>
        <w:rPr>
          <w:rFonts w:hint="default" w:ascii="Times New Roman" w:hAnsi="Times New Roman" w:cs="Times New Roman"/>
          <w:color w:val="auto"/>
          <w:highlight w:val="none"/>
        </w:rPr>
      </w:pPr>
      <w:bookmarkStart w:id="1779" w:name="_Toc25196"/>
      <w:bookmarkStart w:id="1780" w:name="_Toc31900"/>
      <w:bookmarkStart w:id="1781" w:name="_Toc22133"/>
      <w:bookmarkStart w:id="1782" w:name="_Toc14817"/>
      <w:bookmarkStart w:id="1783" w:name="_Toc5891"/>
      <w:bookmarkStart w:id="1784" w:name="_Toc10530"/>
      <w:bookmarkStart w:id="1785" w:name="_Toc24947"/>
      <w:bookmarkStart w:id="1786" w:name="_Toc28754"/>
      <w:bookmarkStart w:id="1787" w:name="_Toc22153"/>
      <w:bookmarkStart w:id="1788" w:name="_Toc18189"/>
      <w:r>
        <w:rPr>
          <w:rFonts w:hint="default" w:ascii="Times New Roman" w:hAnsi="Times New Roman" w:cs="Times New Roman"/>
          <w:color w:val="auto"/>
          <w:highlight w:val="none"/>
        </w:rPr>
        <w:t>救生圈</w:t>
      </w:r>
      <w:bookmarkEnd w:id="1779"/>
      <w:bookmarkEnd w:id="1780"/>
      <w:bookmarkEnd w:id="1781"/>
      <w:bookmarkEnd w:id="1782"/>
      <w:bookmarkEnd w:id="1783"/>
      <w:bookmarkEnd w:id="1784"/>
      <w:bookmarkEnd w:id="1785"/>
      <w:bookmarkEnd w:id="1786"/>
      <w:bookmarkEnd w:id="1787"/>
      <w:bookmarkEnd w:id="1788"/>
    </w:p>
    <w:p w14:paraId="66F9B961">
      <w:pPr>
        <w:pStyle w:val="290"/>
        <w:spacing w:before="0" w:beforeLines="0" w:after="0" w:afterLines="0"/>
        <w:jc w:val="both"/>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救生圈的配置应符合</w:t>
      </w:r>
      <w:r>
        <w:rPr>
          <w:rFonts w:hint="eastAsia" w:ascii="宋体" w:hAnsi="宋体" w:cs="宋体"/>
          <w:color w:val="auto"/>
          <w:highlight w:val="none"/>
          <w:lang w:val="en-US" w:eastAsia="zh-CN"/>
        </w:rPr>
        <w:t xml:space="preserve">IMO </w:t>
      </w:r>
      <w:r>
        <w:rPr>
          <w:rFonts w:hint="eastAsia" w:ascii="宋体" w:hAnsi="宋体" w:eastAsia="宋体" w:cs="宋体"/>
          <w:color w:val="auto"/>
          <w:highlight w:val="none"/>
        </w:rPr>
        <w:t>SOLAS</w:t>
      </w:r>
      <w:r>
        <w:rPr>
          <w:rFonts w:hint="default" w:ascii="Times New Roman" w:hAnsi="Times New Roman" w:cs="Times New Roman" w:eastAsiaTheme="minorEastAsia"/>
          <w:color w:val="auto"/>
          <w:highlight w:val="none"/>
        </w:rPr>
        <w:t>和</w:t>
      </w:r>
      <w:r>
        <w:rPr>
          <w:rFonts w:hint="eastAsia" w:ascii="宋体" w:hAnsi="宋体" w:cs="宋体"/>
          <w:color w:val="auto"/>
          <w:highlight w:val="none"/>
          <w:lang w:val="en-US" w:eastAsia="zh-CN"/>
        </w:rPr>
        <w:t>LSA</w:t>
      </w:r>
      <w:r>
        <w:rPr>
          <w:rFonts w:hint="default" w:ascii="Times New Roman" w:hAnsi="Times New Roman" w:cs="Times New Roman" w:eastAsiaTheme="minorEastAsia"/>
          <w:color w:val="auto"/>
          <w:highlight w:val="none"/>
        </w:rPr>
        <w:t>的要求，应存放于露天且易于取得的位置，其数量</w:t>
      </w:r>
      <w:r>
        <w:rPr>
          <w:rFonts w:hint="eastAsia" w:ascii="Times New Roman" w:hAnsi="Times New Roman" w:cs="Times New Roman" w:eastAsiaTheme="minorEastAsia"/>
          <w:color w:val="auto"/>
          <w:highlight w:val="none"/>
          <w:lang w:val="en-US" w:eastAsia="zh-CN"/>
        </w:rPr>
        <w:t>应满足</w:t>
      </w:r>
      <w:r>
        <w:rPr>
          <w:rFonts w:hint="default" w:ascii="Times New Roman" w:hAnsi="Times New Roman" w:cs="Times New Roman" w:eastAsiaTheme="minorEastAsia"/>
          <w:color w:val="auto"/>
          <w:highlight w:val="none"/>
        </w:rPr>
        <w:t>表</w:t>
      </w:r>
      <w:r>
        <w:rPr>
          <w:rFonts w:hint="eastAsia" w:ascii="Times New Roman" w:hAnsi="Times New Roman" w:cs="Times New Roman" w:eastAsiaTheme="minorEastAsia"/>
          <w:color w:val="auto"/>
          <w:highlight w:val="none"/>
          <w:lang w:val="en-US" w:eastAsia="zh-CN"/>
        </w:rPr>
        <w:t>6</w:t>
      </w:r>
      <w:r>
        <w:rPr>
          <w:rFonts w:hint="default" w:ascii="Times New Roman" w:hAnsi="Times New Roman" w:cs="Times New Roman" w:eastAsiaTheme="minorEastAsia"/>
          <w:color w:val="auto"/>
          <w:highlight w:val="none"/>
        </w:rPr>
        <w:t>的规定。</w:t>
      </w:r>
    </w:p>
    <w:p w14:paraId="6E5605EA">
      <w:pPr>
        <w:pStyle w:val="301"/>
        <w:rPr>
          <w:rFonts w:hint="default" w:ascii="Times New Roman" w:hAnsi="Times New Roman" w:cs="Times New Roman"/>
          <w:color w:val="auto"/>
          <w:highlight w:val="none"/>
          <w:lang w:val="en-US" w:eastAsia="zh-CN"/>
        </w:rPr>
      </w:pPr>
      <w:bookmarkStart w:id="1789" w:name="_Toc9140"/>
      <w:r>
        <w:rPr>
          <w:rFonts w:hint="default" w:ascii="Times New Roman" w:hAnsi="Times New Roman" w:cs="Times New Roman"/>
          <w:color w:val="auto"/>
          <w:highlight w:val="none"/>
          <w:lang w:val="en-US" w:eastAsia="zh-CN"/>
        </w:rPr>
        <w:t>救生圈最少设置数量表</w:t>
      </w:r>
      <w:bookmarkEnd w:id="1789"/>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6B7C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0177182D">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长度L</w:t>
            </w:r>
          </w:p>
          <w:p w14:paraId="694461F4">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m</w:t>
            </w:r>
          </w:p>
        </w:tc>
        <w:tc>
          <w:tcPr>
            <w:tcW w:w="4261" w:type="dxa"/>
          </w:tcPr>
          <w:p w14:paraId="4DBD837E">
            <w:pPr>
              <w:pStyle w:val="517"/>
              <w:jc w:val="center"/>
              <w:rPr>
                <w:rFonts w:hint="eastAsia" w:ascii="宋体" w:hAnsi="宋体" w:eastAsia="宋体" w:cs="宋体"/>
                <w:color w:val="auto"/>
                <w:highlight w:val="none"/>
              </w:rPr>
            </w:pPr>
            <w:bookmarkStart w:id="1790" w:name="_Toc29894"/>
            <w:r>
              <w:rPr>
                <w:rFonts w:hint="eastAsia" w:ascii="宋体" w:hAnsi="宋体" w:eastAsia="宋体" w:cs="宋体"/>
                <w:color w:val="auto"/>
                <w:highlight w:val="none"/>
              </w:rPr>
              <w:t>最少救生圈数量</w:t>
            </w:r>
          </w:p>
          <w:p w14:paraId="3D347C81">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个</w:t>
            </w:r>
            <w:bookmarkEnd w:id="1790"/>
          </w:p>
        </w:tc>
      </w:tr>
      <w:tr w14:paraId="3345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7BC5693A">
            <w:pPr>
              <w:pStyle w:val="517"/>
              <w:jc w:val="center"/>
              <w:rPr>
                <w:rFonts w:hint="eastAsia" w:ascii="宋体" w:hAnsi="宋体" w:eastAsia="宋体" w:cs="宋体"/>
                <w:color w:val="auto"/>
                <w:highlight w:val="none"/>
              </w:rPr>
            </w:pPr>
            <w:bookmarkStart w:id="1791" w:name="_Toc6569"/>
            <w:r>
              <w:rPr>
                <w:rFonts w:hint="eastAsia" w:ascii="宋体" w:hAnsi="宋体" w:eastAsia="宋体" w:cs="宋体"/>
                <w:color w:val="auto"/>
                <w:highlight w:val="none"/>
              </w:rPr>
              <w:t>L＜100</w:t>
            </w:r>
            <w:bookmarkEnd w:id="1791"/>
          </w:p>
        </w:tc>
        <w:tc>
          <w:tcPr>
            <w:tcW w:w="4261" w:type="dxa"/>
          </w:tcPr>
          <w:p w14:paraId="4F4ACD30">
            <w:pPr>
              <w:pStyle w:val="517"/>
              <w:jc w:val="center"/>
              <w:rPr>
                <w:rFonts w:hint="eastAsia" w:ascii="宋体" w:hAnsi="宋体" w:eastAsia="宋体" w:cs="宋体"/>
                <w:color w:val="auto"/>
                <w:highlight w:val="none"/>
              </w:rPr>
            </w:pPr>
            <w:bookmarkStart w:id="1792" w:name="_Toc204"/>
            <w:r>
              <w:rPr>
                <w:rFonts w:hint="eastAsia" w:ascii="宋体" w:hAnsi="宋体" w:eastAsia="宋体" w:cs="宋体"/>
                <w:color w:val="auto"/>
                <w:highlight w:val="none"/>
              </w:rPr>
              <w:t>8</w:t>
            </w:r>
            <w:bookmarkEnd w:id="1792"/>
          </w:p>
        </w:tc>
      </w:tr>
      <w:tr w14:paraId="65816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70464641">
            <w:pPr>
              <w:pStyle w:val="517"/>
              <w:jc w:val="center"/>
              <w:rPr>
                <w:rFonts w:hint="eastAsia" w:ascii="宋体" w:hAnsi="宋体" w:eastAsia="宋体" w:cs="宋体"/>
                <w:color w:val="auto"/>
                <w:highlight w:val="none"/>
              </w:rPr>
            </w:pPr>
            <w:bookmarkStart w:id="1793" w:name="_Toc6509"/>
            <w:r>
              <w:rPr>
                <w:rFonts w:hint="eastAsia" w:ascii="宋体" w:hAnsi="宋体" w:eastAsia="宋体" w:cs="宋体"/>
                <w:color w:val="auto"/>
                <w:highlight w:val="none"/>
              </w:rPr>
              <w:t>100≤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L＜150</w:t>
            </w:r>
            <w:bookmarkEnd w:id="1793"/>
          </w:p>
        </w:tc>
        <w:tc>
          <w:tcPr>
            <w:tcW w:w="4261" w:type="dxa"/>
          </w:tcPr>
          <w:p w14:paraId="6C2C072C">
            <w:pPr>
              <w:pStyle w:val="517"/>
              <w:jc w:val="center"/>
              <w:rPr>
                <w:rFonts w:hint="eastAsia" w:ascii="宋体" w:hAnsi="宋体" w:eastAsia="宋体" w:cs="宋体"/>
                <w:color w:val="auto"/>
                <w:highlight w:val="none"/>
              </w:rPr>
            </w:pPr>
            <w:bookmarkStart w:id="1794" w:name="_Toc14113"/>
            <w:r>
              <w:rPr>
                <w:rFonts w:hint="eastAsia" w:ascii="宋体" w:hAnsi="宋体" w:eastAsia="宋体" w:cs="宋体"/>
                <w:color w:val="auto"/>
                <w:highlight w:val="none"/>
              </w:rPr>
              <w:t>10</w:t>
            </w:r>
            <w:bookmarkEnd w:id="1794"/>
          </w:p>
        </w:tc>
      </w:tr>
      <w:tr w14:paraId="7AF1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4C698140">
            <w:pPr>
              <w:pStyle w:val="517"/>
              <w:jc w:val="center"/>
              <w:rPr>
                <w:rFonts w:hint="eastAsia" w:ascii="宋体" w:hAnsi="宋体" w:eastAsia="宋体" w:cs="宋体"/>
                <w:color w:val="auto"/>
                <w:highlight w:val="none"/>
              </w:rPr>
            </w:pPr>
            <w:bookmarkStart w:id="1795" w:name="_Toc29234"/>
            <w:r>
              <w:rPr>
                <w:rFonts w:hint="eastAsia" w:ascii="宋体" w:hAnsi="宋体" w:eastAsia="宋体" w:cs="宋体"/>
                <w:color w:val="auto"/>
                <w:highlight w:val="none"/>
              </w:rPr>
              <w:t>150≤L＜200</w:t>
            </w:r>
            <w:bookmarkEnd w:id="1795"/>
          </w:p>
        </w:tc>
        <w:tc>
          <w:tcPr>
            <w:tcW w:w="4261" w:type="dxa"/>
          </w:tcPr>
          <w:p w14:paraId="1D8A9E63">
            <w:pPr>
              <w:pStyle w:val="517"/>
              <w:jc w:val="center"/>
              <w:rPr>
                <w:rFonts w:hint="eastAsia" w:ascii="宋体" w:hAnsi="宋体" w:eastAsia="宋体" w:cs="宋体"/>
                <w:color w:val="auto"/>
                <w:highlight w:val="none"/>
              </w:rPr>
            </w:pPr>
            <w:bookmarkStart w:id="1796" w:name="_Toc25508"/>
            <w:r>
              <w:rPr>
                <w:rFonts w:hint="eastAsia" w:ascii="宋体" w:hAnsi="宋体" w:eastAsia="宋体" w:cs="宋体"/>
                <w:color w:val="auto"/>
                <w:highlight w:val="none"/>
              </w:rPr>
              <w:t>12</w:t>
            </w:r>
            <w:bookmarkEnd w:id="1796"/>
          </w:p>
        </w:tc>
      </w:tr>
      <w:tr w14:paraId="29E49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tcPr>
          <w:p w14:paraId="044E186B">
            <w:pPr>
              <w:pStyle w:val="517"/>
              <w:jc w:val="center"/>
              <w:rPr>
                <w:rFonts w:hint="eastAsia" w:ascii="宋体" w:hAnsi="宋体" w:eastAsia="宋体" w:cs="宋体"/>
                <w:color w:val="auto"/>
                <w:highlight w:val="none"/>
              </w:rPr>
            </w:pPr>
            <w:bookmarkStart w:id="1797" w:name="_Toc18893"/>
            <w:r>
              <w:rPr>
                <w:rFonts w:hint="eastAsia" w:ascii="宋体" w:hAnsi="宋体" w:eastAsia="宋体" w:cs="宋体"/>
                <w:color w:val="auto"/>
                <w:highlight w:val="none"/>
              </w:rPr>
              <w:t>L≥200</w:t>
            </w:r>
            <w:bookmarkEnd w:id="1797"/>
          </w:p>
        </w:tc>
        <w:tc>
          <w:tcPr>
            <w:tcW w:w="4261" w:type="dxa"/>
          </w:tcPr>
          <w:p w14:paraId="1A7C71DC">
            <w:pPr>
              <w:pStyle w:val="517"/>
              <w:jc w:val="center"/>
              <w:rPr>
                <w:rFonts w:hint="eastAsia" w:ascii="宋体" w:hAnsi="宋体" w:eastAsia="宋体" w:cs="宋体"/>
                <w:color w:val="auto"/>
                <w:highlight w:val="none"/>
              </w:rPr>
            </w:pPr>
            <w:bookmarkStart w:id="1798" w:name="_Toc16519"/>
            <w:r>
              <w:rPr>
                <w:rFonts w:hint="eastAsia" w:ascii="宋体" w:hAnsi="宋体" w:eastAsia="宋体" w:cs="宋体"/>
                <w:color w:val="auto"/>
                <w:highlight w:val="none"/>
              </w:rPr>
              <w:t>14</w:t>
            </w:r>
            <w:bookmarkEnd w:id="1798"/>
          </w:p>
        </w:tc>
      </w:tr>
    </w:tbl>
    <w:p w14:paraId="2895D3FF">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一半</w:t>
      </w:r>
      <w:r>
        <w:rPr>
          <w:rFonts w:hint="eastAsia" w:ascii="宋体" w:hAnsi="宋体" w:eastAsia="宋体" w:cs="宋体"/>
          <w:color w:val="auto"/>
          <w:highlight w:val="none"/>
          <w:lang w:val="en-US" w:eastAsia="zh-CN"/>
        </w:rPr>
        <w:t>以上</w:t>
      </w:r>
      <w:r>
        <w:rPr>
          <w:rFonts w:hint="eastAsia" w:ascii="宋体" w:hAnsi="宋体" w:eastAsia="宋体" w:cs="宋体"/>
          <w:color w:val="auto"/>
          <w:highlight w:val="none"/>
        </w:rPr>
        <w:t>的救生圈应设有</w:t>
      </w:r>
      <w:r>
        <w:rPr>
          <w:rFonts w:hint="eastAsia" w:ascii="宋体" w:hAnsi="宋体" w:eastAsia="宋体" w:cs="宋体"/>
          <w:color w:val="auto"/>
          <w:highlight w:val="none"/>
          <w:lang w:val="en-US" w:eastAsia="zh-CN"/>
        </w:rPr>
        <w:t>电池型</w:t>
      </w:r>
      <w:r>
        <w:rPr>
          <w:rFonts w:hint="eastAsia" w:ascii="宋体" w:hAnsi="宋体" w:eastAsia="宋体" w:cs="宋体"/>
          <w:color w:val="auto"/>
          <w:highlight w:val="none"/>
        </w:rPr>
        <w:t>自亮灯</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其中</w:t>
      </w:r>
      <w:r>
        <w:rPr>
          <w:rFonts w:hint="eastAsia" w:ascii="宋体" w:hAnsi="宋体" w:eastAsia="宋体" w:cs="宋体"/>
          <w:color w:val="auto"/>
          <w:highlight w:val="none"/>
          <w:lang w:val="en-US" w:eastAsia="zh-CN"/>
        </w:rPr>
        <w:t>至少4</w:t>
      </w:r>
      <w:r>
        <w:rPr>
          <w:rFonts w:hint="eastAsia" w:ascii="宋体" w:hAnsi="宋体" w:eastAsia="宋体" w:cs="宋体"/>
          <w:color w:val="auto"/>
          <w:highlight w:val="none"/>
        </w:rPr>
        <w:t>个</w:t>
      </w:r>
      <w:r>
        <w:rPr>
          <w:rFonts w:hint="eastAsia" w:ascii="宋体" w:hAnsi="宋体" w:eastAsia="宋体" w:cs="宋体"/>
          <w:color w:val="auto"/>
          <w:highlight w:val="none"/>
          <w:lang w:val="en-US" w:eastAsia="zh-CN"/>
        </w:rPr>
        <w:t>还</w:t>
      </w:r>
      <w:r>
        <w:rPr>
          <w:rFonts w:hint="eastAsia" w:ascii="宋体" w:hAnsi="宋体" w:eastAsia="宋体" w:cs="宋体"/>
          <w:color w:val="auto"/>
          <w:highlight w:val="none"/>
        </w:rPr>
        <w:t>应配备自发烟雾信号。设有自亮灯</w:t>
      </w:r>
      <w:r>
        <w:rPr>
          <w:rFonts w:hint="eastAsia" w:ascii="宋体" w:hAnsi="宋体" w:eastAsia="宋体" w:cs="宋体"/>
          <w:color w:val="auto"/>
          <w:highlight w:val="none"/>
          <w:lang w:val="en-US" w:eastAsia="zh-CN"/>
        </w:rPr>
        <w:t>或</w:t>
      </w:r>
      <w:r>
        <w:rPr>
          <w:rFonts w:hint="eastAsia" w:ascii="宋体" w:hAnsi="宋体" w:eastAsia="宋体" w:cs="宋体"/>
          <w:color w:val="auto"/>
          <w:highlight w:val="none"/>
        </w:rPr>
        <w:t>自发烟雾信号的救生圈</w:t>
      </w:r>
      <w:r>
        <w:rPr>
          <w:rFonts w:hint="eastAsia" w:ascii="宋体" w:hAnsi="宋体" w:eastAsia="宋体" w:cs="宋体"/>
          <w:color w:val="auto"/>
          <w:highlight w:val="none"/>
          <w:lang w:val="en-US" w:eastAsia="zh-CN"/>
        </w:rPr>
        <w:t>应均匀布置</w:t>
      </w:r>
      <w:r>
        <w:rPr>
          <w:rFonts w:hint="eastAsia" w:ascii="宋体" w:hAnsi="宋体" w:eastAsia="宋体" w:cs="宋体"/>
          <w:color w:val="auto"/>
          <w:highlight w:val="none"/>
        </w:rPr>
        <w:t>在FPSO的两舷。</w:t>
      </w:r>
      <w:r>
        <w:rPr>
          <w:rFonts w:hint="eastAsia" w:ascii="宋体" w:hAnsi="宋体" w:eastAsia="宋体" w:cs="宋体"/>
          <w:color w:val="auto"/>
          <w:highlight w:val="none"/>
          <w:lang w:val="en-US" w:eastAsia="zh-CN"/>
        </w:rPr>
        <w:t>每个带自亮浮灯和自发烟雾信号的救生圈应配备1根可浮救生索。</w:t>
      </w:r>
      <w:r>
        <w:rPr>
          <w:rFonts w:hint="eastAsia" w:ascii="宋体" w:hAnsi="宋体" w:eastAsia="宋体" w:cs="宋体"/>
          <w:color w:val="auto"/>
          <w:highlight w:val="none"/>
        </w:rPr>
        <w:t>位于危险区域内救生圈配备的自亮灯以及自发烟雾信号均应为防爆型。</w:t>
      </w:r>
    </w:p>
    <w:p w14:paraId="6B4BE29D">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应至少在两个相互远离或每舷的1个救生圈上各设1条可浮救生索，其长度应不少于其存放处在轻载水线以上高度的</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倍</w:t>
      </w:r>
      <w:r>
        <w:rPr>
          <w:rFonts w:hint="eastAsia" w:ascii="宋体" w:hAnsi="宋体" w:eastAsia="宋体" w:cs="宋体"/>
          <w:color w:val="auto"/>
          <w:highlight w:val="none"/>
          <w:lang w:val="en-US" w:eastAsia="zh-CN"/>
        </w:rPr>
        <w:t>和</w:t>
      </w:r>
      <w:r>
        <w:rPr>
          <w:rFonts w:hint="eastAsia" w:ascii="宋体" w:hAnsi="宋体" w:eastAsia="宋体" w:cs="宋体"/>
          <w:color w:val="auto"/>
          <w:highlight w:val="none"/>
        </w:rPr>
        <w:t>30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m中的较大值。</w:t>
      </w:r>
    </w:p>
    <w:p w14:paraId="071DB8F2">
      <w:pPr>
        <w:pStyle w:val="261"/>
        <w:spacing w:before="0" w:beforeLines="0" w:after="0" w:afterLines="0"/>
        <w:outlineLvl w:val="2"/>
        <w:rPr>
          <w:rFonts w:hint="default" w:ascii="Times New Roman" w:hAnsi="Times New Roman" w:cs="Times New Roman"/>
          <w:color w:val="auto"/>
          <w:highlight w:val="none"/>
        </w:rPr>
      </w:pPr>
      <w:bookmarkStart w:id="1799" w:name="_Toc5450"/>
      <w:bookmarkStart w:id="1800" w:name="_Toc17542"/>
      <w:bookmarkStart w:id="1801" w:name="_Toc31502"/>
      <w:bookmarkStart w:id="1802" w:name="_Toc24458"/>
      <w:bookmarkStart w:id="1803" w:name="_Toc6035"/>
      <w:bookmarkStart w:id="1804" w:name="_Toc27604"/>
      <w:bookmarkStart w:id="1805" w:name="_Toc5803"/>
      <w:bookmarkStart w:id="1806" w:name="_Toc1021"/>
      <w:bookmarkStart w:id="1807" w:name="_Toc24374"/>
      <w:bookmarkStart w:id="1808" w:name="_Toc10405"/>
      <w:r>
        <w:rPr>
          <w:rFonts w:hint="default" w:ascii="Times New Roman" w:hAnsi="Times New Roman" w:cs="Times New Roman"/>
          <w:color w:val="auto"/>
          <w:highlight w:val="none"/>
        </w:rPr>
        <w:t>救生衣</w:t>
      </w:r>
      <w:bookmarkEnd w:id="1799"/>
      <w:bookmarkEnd w:id="1800"/>
      <w:bookmarkEnd w:id="1801"/>
      <w:bookmarkEnd w:id="1802"/>
      <w:bookmarkEnd w:id="1803"/>
      <w:bookmarkEnd w:id="1804"/>
      <w:bookmarkEnd w:id="1805"/>
      <w:bookmarkEnd w:id="1806"/>
      <w:bookmarkEnd w:id="1807"/>
      <w:bookmarkEnd w:id="1808"/>
    </w:p>
    <w:p w14:paraId="04EB16E8">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应每人配备1件</w:t>
      </w:r>
      <w:r>
        <w:rPr>
          <w:rFonts w:hint="eastAsia" w:ascii="宋体" w:hAnsi="宋体" w:eastAsia="宋体" w:cs="宋体"/>
          <w:color w:val="auto"/>
          <w:highlight w:val="none"/>
          <w:lang w:val="en-US" w:eastAsia="zh-CN"/>
        </w:rPr>
        <w:t>符合IMO LSA要求的</w:t>
      </w:r>
      <w:r>
        <w:rPr>
          <w:rFonts w:hint="eastAsia" w:ascii="宋体" w:hAnsi="宋体" w:eastAsia="宋体" w:cs="宋体"/>
          <w:color w:val="auto"/>
          <w:highlight w:val="none"/>
        </w:rPr>
        <w:t>救生衣，</w:t>
      </w:r>
      <w:r>
        <w:rPr>
          <w:rFonts w:hint="eastAsia" w:ascii="宋体" w:hAnsi="宋体" w:eastAsia="宋体" w:cs="宋体"/>
          <w:color w:val="auto"/>
          <w:highlight w:val="none"/>
          <w:lang w:val="en-US" w:eastAsia="zh-CN"/>
        </w:rPr>
        <w:t>救生衣配备应满足以下要求</w:t>
      </w:r>
      <w:r>
        <w:rPr>
          <w:rFonts w:hint="eastAsia" w:ascii="宋体" w:hAnsi="宋体" w:eastAsia="宋体" w:cs="宋体"/>
          <w:color w:val="auto"/>
          <w:highlight w:val="none"/>
        </w:rPr>
        <w:t>：</w:t>
      </w:r>
    </w:p>
    <w:p w14:paraId="3CBC9329">
      <w:pPr>
        <w:pStyle w:val="305"/>
        <w:numPr>
          <w:ilvl w:val="0"/>
          <w:numId w:val="103"/>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居住室按照床位数100%配备；</w:t>
      </w:r>
    </w:p>
    <w:p w14:paraId="7DE80F01">
      <w:pPr>
        <w:pStyle w:val="305"/>
        <w:numPr>
          <w:ilvl w:val="0"/>
          <w:numId w:val="103"/>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工作区内按照平台总人数10%配备；</w:t>
      </w:r>
    </w:p>
    <w:p w14:paraId="29711C06">
      <w:pPr>
        <w:pStyle w:val="305"/>
        <w:numPr>
          <w:ilvl w:val="0"/>
          <w:numId w:val="103"/>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救生艇集合区按照救生艇人数100%配备；</w:t>
      </w:r>
    </w:p>
    <w:p w14:paraId="57CBC88C">
      <w:pPr>
        <w:pStyle w:val="305"/>
        <w:numPr>
          <w:ilvl w:val="0"/>
          <w:numId w:val="103"/>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在驾驶室、中控室、机舱控制室等有人值班场所应按值班人数配备救生衣。</w:t>
      </w:r>
    </w:p>
    <w:p w14:paraId="10BCE1D0">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每件救生衣应配备1</w:t>
      </w:r>
      <w:r>
        <w:rPr>
          <w:rFonts w:hint="eastAsia" w:ascii="宋体" w:hAnsi="宋体" w:eastAsia="宋体" w:cs="宋体"/>
          <w:color w:val="auto"/>
          <w:highlight w:val="none"/>
          <w:lang w:val="en-US" w:eastAsia="zh-CN"/>
        </w:rPr>
        <w:t>只救生衣</w:t>
      </w:r>
      <w:r>
        <w:rPr>
          <w:rFonts w:hint="eastAsia" w:ascii="宋体" w:hAnsi="宋体" w:eastAsia="宋体" w:cs="宋体"/>
          <w:color w:val="auto"/>
          <w:highlight w:val="none"/>
        </w:rPr>
        <w:t>灯和</w:t>
      </w:r>
      <w:r>
        <w:rPr>
          <w:rFonts w:hint="eastAsia" w:ascii="宋体" w:hAnsi="宋体" w:eastAsia="宋体" w:cs="宋体"/>
          <w:color w:val="auto"/>
          <w:highlight w:val="none"/>
          <w:lang w:val="en-US" w:eastAsia="zh-CN"/>
        </w:rPr>
        <w:t>1只</w:t>
      </w:r>
      <w:r>
        <w:rPr>
          <w:rFonts w:hint="eastAsia" w:ascii="宋体" w:hAnsi="宋体" w:eastAsia="宋体" w:cs="宋体"/>
          <w:color w:val="auto"/>
          <w:highlight w:val="none"/>
        </w:rPr>
        <w:t>口哨。</w:t>
      </w:r>
    </w:p>
    <w:p w14:paraId="53ED7BCD">
      <w:pPr>
        <w:pStyle w:val="290"/>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工作区内配备的救生衣应存放在干燥、安全的柜内，该柜应位于易于到达的地方，并有识别</w:t>
      </w:r>
      <w:r>
        <w:rPr>
          <w:rFonts w:hint="eastAsia" w:ascii="宋体" w:hAnsi="宋体" w:eastAsia="宋体" w:cs="宋体"/>
          <w:color w:val="auto"/>
          <w:highlight w:val="none"/>
          <w:lang w:val="en-US" w:eastAsia="zh-CN"/>
        </w:rPr>
        <w:t>标识</w:t>
      </w:r>
      <w:r>
        <w:rPr>
          <w:rFonts w:hint="eastAsia" w:ascii="宋体" w:hAnsi="宋体" w:eastAsia="宋体" w:cs="宋体"/>
          <w:color w:val="auto"/>
          <w:highlight w:val="none"/>
        </w:rPr>
        <w:t>。</w:t>
      </w:r>
    </w:p>
    <w:p w14:paraId="21940D9B">
      <w:pPr>
        <w:pStyle w:val="261"/>
        <w:spacing w:before="0" w:beforeLines="0" w:after="0" w:afterLines="0"/>
        <w:outlineLvl w:val="2"/>
        <w:rPr>
          <w:rFonts w:hint="eastAsia" w:ascii="宋体" w:hAnsi="宋体" w:eastAsia="宋体" w:cs="宋体"/>
          <w:color w:val="auto"/>
          <w:highlight w:val="none"/>
        </w:rPr>
      </w:pPr>
      <w:bookmarkStart w:id="1809" w:name="_Toc14411"/>
      <w:bookmarkStart w:id="1810" w:name="_Toc7258"/>
      <w:bookmarkStart w:id="1811" w:name="_Toc10776"/>
      <w:bookmarkStart w:id="1812" w:name="_Toc4364"/>
      <w:bookmarkStart w:id="1813" w:name="_Toc2275"/>
      <w:bookmarkStart w:id="1814" w:name="_Toc889"/>
      <w:bookmarkStart w:id="1815" w:name="_Toc29918"/>
      <w:bookmarkStart w:id="1816" w:name="_Toc26029"/>
      <w:bookmarkStart w:id="1817" w:name="_Toc1981"/>
      <w:bookmarkStart w:id="1818" w:name="_Toc32228"/>
      <w:r>
        <w:rPr>
          <w:rFonts w:hint="eastAsia" w:ascii="宋体" w:hAnsi="宋体" w:eastAsia="宋体" w:cs="宋体"/>
          <w:color w:val="auto"/>
          <w:highlight w:val="none"/>
        </w:rPr>
        <w:t>防寒救生服</w:t>
      </w:r>
      <w:bookmarkEnd w:id="1809"/>
      <w:bookmarkEnd w:id="1810"/>
      <w:bookmarkEnd w:id="1811"/>
      <w:bookmarkEnd w:id="1812"/>
      <w:bookmarkEnd w:id="1813"/>
      <w:bookmarkEnd w:id="1814"/>
      <w:bookmarkEnd w:id="1815"/>
      <w:bookmarkEnd w:id="1816"/>
      <w:bookmarkEnd w:id="1817"/>
      <w:bookmarkEnd w:id="1818"/>
    </w:p>
    <w:p w14:paraId="5D1533AA">
      <w:pPr>
        <w:pStyle w:val="326"/>
        <w:numPr>
          <w:ilvl w:val="0"/>
          <w:numId w:val="0"/>
        </w:num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水温小于10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℃海域的</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上应每人配备</w:t>
      </w:r>
      <w:r>
        <w:rPr>
          <w:rFonts w:hint="eastAsia" w:ascii="宋体" w:hAnsi="宋体" w:eastAsia="宋体" w:cs="宋体"/>
          <w:color w:val="auto"/>
          <w:highlight w:val="none"/>
          <w:lang w:eastAsia="zh-CN"/>
        </w:rPr>
        <w:t>1套</w:t>
      </w:r>
      <w:r>
        <w:rPr>
          <w:rFonts w:hint="eastAsia" w:ascii="宋体" w:hAnsi="宋体" w:eastAsia="宋体" w:cs="宋体"/>
          <w:color w:val="auto"/>
          <w:highlight w:val="none"/>
          <w:lang w:val="en-US" w:eastAsia="zh-CN"/>
        </w:rPr>
        <w:t>防寒</w:t>
      </w:r>
      <w:r>
        <w:rPr>
          <w:rFonts w:hint="eastAsia" w:ascii="宋体" w:hAnsi="宋体" w:eastAsia="宋体" w:cs="宋体"/>
          <w:color w:val="auto"/>
          <w:highlight w:val="none"/>
        </w:rPr>
        <w:t>救生服</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其配备数量不</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少于FPSO的总</w:t>
      </w:r>
      <w:r>
        <w:rPr>
          <w:rFonts w:hint="eastAsia" w:ascii="宋体" w:hAnsi="宋体" w:eastAsia="宋体" w:cs="宋体"/>
          <w:color w:val="auto"/>
          <w:highlight w:val="none"/>
          <w:lang w:val="en-US" w:eastAsia="zh-CN"/>
        </w:rPr>
        <w:t>人</w:t>
      </w:r>
      <w:r>
        <w:rPr>
          <w:rFonts w:hint="eastAsia" w:ascii="宋体" w:hAnsi="宋体" w:eastAsia="宋体" w:cs="宋体"/>
          <w:color w:val="auto"/>
          <w:highlight w:val="none"/>
        </w:rPr>
        <w:t>数。</w:t>
      </w:r>
    </w:p>
    <w:p w14:paraId="7DAC543F">
      <w:pPr>
        <w:pStyle w:val="260"/>
        <w:outlineLvl w:val="1"/>
        <w:rPr>
          <w:rFonts w:hint="default" w:ascii="Times New Roman" w:hAnsi="Times New Roman" w:cs="Times New Roman"/>
          <w:color w:val="auto"/>
          <w:highlight w:val="none"/>
        </w:rPr>
      </w:pPr>
      <w:bookmarkStart w:id="1819" w:name="_Toc10273"/>
      <w:bookmarkStart w:id="1820" w:name="_Toc6956"/>
      <w:r>
        <w:rPr>
          <w:rFonts w:hint="default" w:ascii="Times New Roman" w:hAnsi="Times New Roman" w:cs="Times New Roman"/>
          <w:color w:val="auto"/>
          <w:highlight w:val="none"/>
        </w:rPr>
        <w:t>遇险信号</w:t>
      </w:r>
      <w:bookmarkEnd w:id="1819"/>
      <w:bookmarkEnd w:id="1820"/>
    </w:p>
    <w:p w14:paraId="0F383541">
      <w:pPr>
        <w:ind w:firstLine="420" w:firstLineChars="200"/>
        <w:rPr>
          <w:rFonts w:hint="default" w:ascii="Times New Roman" w:hAnsi="Times New Roman" w:cs="Times New Roman"/>
          <w:color w:val="auto"/>
          <w:highlight w:val="none"/>
        </w:rPr>
      </w:pP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应配备至少12支符合《国际救生设备规则》要求的火箭降落伞式火焰信号</w:t>
      </w:r>
      <w:r>
        <w:rPr>
          <w:rFonts w:hint="default" w:ascii="Times New Roman" w:hAnsi="Times New Roman" w:cs="Times New Roman"/>
          <w:color w:val="auto"/>
          <w:highlight w:val="none"/>
        </w:rPr>
        <w:t>。</w:t>
      </w:r>
    </w:p>
    <w:p w14:paraId="54BF5B03">
      <w:pPr>
        <w:pStyle w:val="260"/>
        <w:outlineLvl w:val="1"/>
        <w:rPr>
          <w:rFonts w:hint="default" w:ascii="Times New Roman" w:hAnsi="Times New Roman" w:cs="Times New Roman"/>
          <w:color w:val="auto"/>
          <w:highlight w:val="none"/>
        </w:rPr>
      </w:pPr>
      <w:bookmarkStart w:id="1821" w:name="_Toc183727747"/>
      <w:bookmarkStart w:id="1822" w:name="_Toc25833"/>
      <w:bookmarkStart w:id="1823" w:name="_Toc24673"/>
      <w:bookmarkStart w:id="1824" w:name="_Toc22857"/>
      <w:bookmarkStart w:id="1825" w:name="_Toc16655"/>
      <w:bookmarkStart w:id="1826" w:name="_Toc6007"/>
      <w:bookmarkStart w:id="1827" w:name="_Toc28729"/>
      <w:bookmarkStart w:id="1828" w:name="_Toc15045"/>
      <w:bookmarkStart w:id="1829" w:name="_Toc29282"/>
      <w:bookmarkStart w:id="1830" w:name="_Toc8981"/>
      <w:r>
        <w:rPr>
          <w:rFonts w:hint="default" w:ascii="Times New Roman" w:hAnsi="Times New Roman" w:cs="Times New Roman"/>
          <w:color w:val="auto"/>
          <w:highlight w:val="none"/>
        </w:rPr>
        <w:t>人员防护</w:t>
      </w:r>
      <w:bookmarkEnd w:id="1821"/>
      <w:bookmarkEnd w:id="1822"/>
      <w:bookmarkEnd w:id="1823"/>
      <w:bookmarkEnd w:id="1824"/>
      <w:bookmarkEnd w:id="1825"/>
      <w:bookmarkEnd w:id="1826"/>
      <w:bookmarkEnd w:id="1827"/>
      <w:bookmarkEnd w:id="1828"/>
      <w:bookmarkEnd w:id="1829"/>
      <w:bookmarkEnd w:id="1830"/>
    </w:p>
    <w:p w14:paraId="306B471F">
      <w:pPr>
        <w:pStyle w:val="261"/>
        <w:spacing w:before="0" w:beforeLines="0" w:after="0" w:afterLines="0"/>
        <w:jc w:val="both"/>
        <w:outlineLvl w:val="9"/>
        <w:rPr>
          <w:rFonts w:hint="eastAsia" w:ascii="宋体" w:hAnsi="宋体" w:eastAsia="宋体" w:cs="宋体"/>
          <w:color w:val="auto"/>
          <w:highlight w:val="none"/>
        </w:rPr>
      </w:pPr>
      <w:bookmarkStart w:id="1831" w:name="_Toc11682"/>
      <w:bookmarkStart w:id="1832" w:name="_Toc22961"/>
      <w:bookmarkStart w:id="1833" w:name="_Toc15421"/>
      <w:bookmarkStart w:id="1834" w:name="_Toc6910"/>
      <w:r>
        <w:rPr>
          <w:rFonts w:hint="eastAsia" w:ascii="宋体" w:hAnsi="宋体" w:eastAsia="宋体" w:cs="宋体"/>
          <w:color w:val="auto"/>
          <w:highlight w:val="none"/>
        </w:rPr>
        <w:t>露天甲板区边缘以及走道、甲板开口、橇块顶部工作平台的边缘，均应设置安全护栏。</w:t>
      </w:r>
      <w:bookmarkEnd w:id="1831"/>
      <w:bookmarkEnd w:id="1832"/>
      <w:bookmarkEnd w:id="1833"/>
      <w:bookmarkEnd w:id="1834"/>
    </w:p>
    <w:p w14:paraId="2A115A23">
      <w:pPr>
        <w:pStyle w:val="261"/>
        <w:spacing w:before="0" w:beforeLines="0" w:after="0" w:afterLines="0"/>
        <w:jc w:val="both"/>
        <w:outlineLvl w:val="9"/>
        <w:rPr>
          <w:rFonts w:hint="eastAsia" w:ascii="宋体" w:hAnsi="宋体" w:eastAsia="宋体" w:cs="宋体"/>
          <w:color w:val="auto"/>
          <w:highlight w:val="none"/>
        </w:rPr>
      </w:pPr>
      <w:bookmarkStart w:id="1835" w:name="_Toc23081"/>
      <w:bookmarkStart w:id="1836" w:name="_Toc6994"/>
      <w:bookmarkStart w:id="1837" w:name="_Toc15164"/>
      <w:bookmarkStart w:id="1838" w:name="_Toc7376"/>
      <w:r>
        <w:rPr>
          <w:rFonts w:hint="eastAsia" w:ascii="宋体" w:hAnsi="宋体" w:eastAsia="宋体" w:cs="宋体"/>
          <w:color w:val="auto"/>
          <w:highlight w:val="none"/>
        </w:rPr>
        <w:t>可能对工作人员造成危害的运动部件，应设置护罩、栏杆或其他安全防护设施。</w:t>
      </w:r>
      <w:bookmarkEnd w:id="1835"/>
      <w:bookmarkEnd w:id="1836"/>
      <w:bookmarkEnd w:id="1837"/>
      <w:bookmarkEnd w:id="1838"/>
    </w:p>
    <w:p w14:paraId="25038BC9">
      <w:pPr>
        <w:pStyle w:val="261"/>
        <w:spacing w:before="0" w:beforeLines="0" w:after="0" w:afterLines="0"/>
        <w:jc w:val="both"/>
        <w:outlineLvl w:val="9"/>
        <w:rPr>
          <w:rFonts w:hint="eastAsia" w:ascii="宋体" w:hAnsi="宋体" w:eastAsia="宋体" w:cs="宋体"/>
          <w:color w:val="auto"/>
          <w:highlight w:val="none"/>
        </w:rPr>
      </w:pPr>
      <w:bookmarkStart w:id="1839" w:name="_Toc11040"/>
      <w:bookmarkStart w:id="1840" w:name="_Toc4110"/>
      <w:bookmarkStart w:id="1841" w:name="_Toc25263"/>
      <w:bookmarkStart w:id="1842" w:name="_Toc4399"/>
      <w:r>
        <w:rPr>
          <w:rFonts w:hint="eastAsia" w:ascii="宋体" w:hAnsi="宋体" w:eastAsia="宋体" w:cs="宋体"/>
          <w:color w:val="auto"/>
          <w:highlight w:val="none"/>
        </w:rPr>
        <w:t>所有工作区、走道的地板表面及梯子表面等人员经常通过的地方，应</w:t>
      </w:r>
      <w:r>
        <w:rPr>
          <w:rFonts w:hint="eastAsia" w:ascii="宋体" w:hAnsi="宋体" w:eastAsia="宋体" w:cs="宋体"/>
          <w:color w:val="auto"/>
          <w:highlight w:val="none"/>
          <w:lang w:val="en-US" w:eastAsia="zh-CN"/>
        </w:rPr>
        <w:t>采取</w:t>
      </w:r>
      <w:r>
        <w:rPr>
          <w:rFonts w:hint="eastAsia" w:ascii="宋体" w:hAnsi="宋体" w:eastAsia="宋体" w:cs="宋体"/>
          <w:color w:val="auto"/>
          <w:highlight w:val="none"/>
        </w:rPr>
        <w:t>防滑措施。</w:t>
      </w:r>
      <w:bookmarkEnd w:id="1839"/>
      <w:bookmarkEnd w:id="1840"/>
      <w:bookmarkEnd w:id="1841"/>
      <w:bookmarkEnd w:id="1842"/>
    </w:p>
    <w:p w14:paraId="1A3C61A9">
      <w:pPr>
        <w:pStyle w:val="261"/>
        <w:spacing w:before="0" w:beforeLines="0" w:after="0" w:afterLines="0"/>
        <w:jc w:val="both"/>
        <w:outlineLvl w:val="9"/>
        <w:rPr>
          <w:rFonts w:hint="eastAsia" w:ascii="宋体" w:hAnsi="宋体" w:eastAsia="宋体" w:cs="宋体"/>
          <w:color w:val="auto"/>
          <w:highlight w:val="none"/>
        </w:rPr>
      </w:pPr>
      <w:bookmarkStart w:id="1843" w:name="_Toc2640"/>
      <w:bookmarkStart w:id="1844" w:name="_Toc21244"/>
      <w:bookmarkStart w:id="1845" w:name="_Toc4815"/>
      <w:bookmarkStart w:id="1846" w:name="_Toc8527"/>
      <w:r>
        <w:rPr>
          <w:rFonts w:hint="eastAsia" w:ascii="宋体" w:hAnsi="宋体" w:eastAsia="宋体" w:cs="宋体"/>
          <w:color w:val="auto"/>
          <w:highlight w:val="none"/>
        </w:rPr>
        <w:t>所有高度超过</w:t>
      </w:r>
      <w:r>
        <w:rPr>
          <w:rFonts w:hint="eastAsia" w:ascii="宋体" w:hAnsi="宋体" w:eastAsia="宋体" w:cs="宋体"/>
          <w:color w:val="auto"/>
          <w:highlight w:val="none"/>
          <w:lang w:val="en-US" w:eastAsia="zh-CN"/>
        </w:rPr>
        <w:t xml:space="preserve">6 </w:t>
      </w:r>
      <w:r>
        <w:rPr>
          <w:rFonts w:hint="eastAsia" w:ascii="宋体" w:hAnsi="宋体" w:eastAsia="宋体" w:cs="宋体"/>
          <w:color w:val="auto"/>
          <w:highlight w:val="none"/>
        </w:rPr>
        <w:t>m的直梯应设安全防护笼或其他安全装置。</w:t>
      </w:r>
      <w:bookmarkEnd w:id="1843"/>
      <w:bookmarkEnd w:id="1844"/>
      <w:bookmarkEnd w:id="1845"/>
      <w:bookmarkEnd w:id="1846"/>
    </w:p>
    <w:p w14:paraId="6A37B62A">
      <w:pPr>
        <w:pStyle w:val="261"/>
        <w:spacing w:before="0" w:beforeLines="0" w:after="0" w:afterLines="0"/>
        <w:jc w:val="both"/>
        <w:outlineLvl w:val="9"/>
        <w:rPr>
          <w:rFonts w:hint="eastAsia" w:ascii="宋体" w:hAnsi="宋体" w:eastAsia="宋体" w:cs="宋体"/>
          <w:color w:val="auto"/>
          <w:highlight w:val="none"/>
        </w:rPr>
      </w:pPr>
      <w:bookmarkStart w:id="1847" w:name="_Toc13218"/>
      <w:bookmarkStart w:id="1848" w:name="_Toc29023"/>
      <w:bookmarkStart w:id="1849" w:name="_Toc26434"/>
      <w:bookmarkStart w:id="1850" w:name="_Toc28577"/>
      <w:r>
        <w:rPr>
          <w:rFonts w:hint="eastAsia" w:ascii="宋体" w:hAnsi="宋体" w:eastAsia="宋体" w:cs="宋体"/>
          <w:color w:val="auto"/>
          <w:highlight w:val="none"/>
        </w:rPr>
        <w:t>有可能遭遇到</w:t>
      </w:r>
      <w:r>
        <w:rPr>
          <w:rFonts w:hint="eastAsia" w:ascii="宋体" w:hAnsi="宋体" w:eastAsia="宋体" w:cs="宋体"/>
          <w:color w:val="auto"/>
          <w:highlight w:val="none"/>
          <w:lang w:val="en-US" w:eastAsia="zh-CN"/>
        </w:rPr>
        <w:t>硫化氢</w:t>
      </w:r>
      <w:r>
        <w:rPr>
          <w:rFonts w:hint="eastAsia" w:ascii="宋体" w:hAnsi="宋体" w:eastAsia="宋体" w:cs="宋体"/>
          <w:color w:val="auto"/>
          <w:highlight w:val="none"/>
        </w:rPr>
        <w:t>气体或高浓度</w:t>
      </w:r>
      <w:r>
        <w:rPr>
          <w:rFonts w:hint="eastAsia" w:ascii="宋体" w:hAnsi="宋体" w:eastAsia="宋体" w:cs="宋体"/>
          <w:color w:val="auto"/>
          <w:highlight w:val="none"/>
          <w:lang w:val="en-US" w:eastAsia="zh-CN"/>
        </w:rPr>
        <w:t>二氧化碳</w:t>
      </w:r>
      <w:r>
        <w:rPr>
          <w:rFonts w:hint="eastAsia" w:ascii="宋体" w:hAnsi="宋体" w:eastAsia="宋体" w:cs="宋体"/>
          <w:color w:val="auto"/>
          <w:highlight w:val="none"/>
          <w:vertAlign w:val="baseline"/>
          <w:lang w:val="en-US" w:eastAsia="zh-CN"/>
        </w:rPr>
        <w:t>导致人员中毒或窒息</w:t>
      </w:r>
      <w:r>
        <w:rPr>
          <w:rFonts w:hint="eastAsia" w:ascii="宋体" w:hAnsi="宋体" w:eastAsia="宋体" w:cs="宋体"/>
          <w:color w:val="auto"/>
          <w:highlight w:val="none"/>
        </w:rPr>
        <w:t>的工作处所，</w:t>
      </w:r>
      <w:r>
        <w:rPr>
          <w:rFonts w:hint="eastAsia" w:ascii="宋体" w:hAnsi="宋体" w:eastAsia="宋体" w:cs="宋体"/>
          <w:color w:val="auto"/>
          <w:highlight w:val="none"/>
          <w:lang w:val="en-US" w:eastAsia="zh-CN"/>
        </w:rPr>
        <w:t>应为</w:t>
      </w:r>
      <w:r>
        <w:rPr>
          <w:rFonts w:hint="eastAsia" w:ascii="宋体" w:hAnsi="宋体" w:eastAsia="宋体" w:cs="宋体"/>
          <w:color w:val="auto"/>
          <w:highlight w:val="none"/>
        </w:rPr>
        <w:t>每一位现场操作人员配备</w:t>
      </w:r>
      <w:r>
        <w:rPr>
          <w:rFonts w:hint="eastAsia" w:ascii="宋体" w:hAnsi="宋体" w:eastAsia="宋体" w:cs="宋体"/>
          <w:color w:val="auto"/>
          <w:highlight w:val="none"/>
          <w:lang w:eastAsia="zh-CN"/>
        </w:rPr>
        <w:t>1套</w:t>
      </w:r>
      <w:r>
        <w:rPr>
          <w:rFonts w:hint="eastAsia" w:ascii="宋体" w:hAnsi="宋体" w:eastAsia="宋体" w:cs="宋体"/>
          <w:color w:val="auto"/>
          <w:highlight w:val="none"/>
        </w:rPr>
        <w:t>全面罩式、正压自给式呼吸装置，该装置的额定供气时间应至少为30</w:t>
      </w:r>
      <w:r>
        <w:rPr>
          <w:rFonts w:hint="eastAsia" w:ascii="宋体" w:hAnsi="宋体" w:eastAsia="宋体" w:cs="宋体"/>
          <w:color w:val="auto"/>
          <w:highlight w:val="none"/>
          <w:lang w:val="en-US" w:eastAsia="zh-CN"/>
        </w:rPr>
        <w:t xml:space="preserve"> min</w:t>
      </w:r>
      <w:r>
        <w:rPr>
          <w:rFonts w:hint="eastAsia" w:ascii="宋体" w:hAnsi="宋体" w:eastAsia="宋体" w:cs="宋体"/>
          <w:color w:val="auto"/>
          <w:highlight w:val="none"/>
        </w:rPr>
        <w:t>。其他区域</w:t>
      </w:r>
      <w:r>
        <w:rPr>
          <w:rFonts w:hint="eastAsia" w:ascii="宋体" w:hAnsi="宋体" w:eastAsia="宋体" w:cs="宋体"/>
          <w:color w:val="auto"/>
          <w:highlight w:val="none"/>
          <w:lang w:val="en-US" w:eastAsia="zh-CN"/>
        </w:rPr>
        <w:t>应为</w:t>
      </w:r>
      <w:r>
        <w:rPr>
          <w:rFonts w:hint="eastAsia" w:ascii="宋体" w:hAnsi="宋体" w:eastAsia="宋体" w:cs="宋体"/>
          <w:color w:val="auto"/>
          <w:highlight w:val="none"/>
        </w:rPr>
        <w:t>每位人员配备</w:t>
      </w:r>
      <w:r>
        <w:rPr>
          <w:rFonts w:hint="eastAsia" w:ascii="宋体" w:hAnsi="宋体" w:eastAsia="宋体" w:cs="宋体"/>
          <w:color w:val="auto"/>
          <w:highlight w:val="none"/>
          <w:lang w:eastAsia="zh-CN"/>
        </w:rPr>
        <w:t>1套</w:t>
      </w:r>
      <w:r>
        <w:rPr>
          <w:rFonts w:hint="eastAsia" w:ascii="宋体" w:hAnsi="宋体" w:eastAsia="宋体" w:cs="宋体"/>
          <w:color w:val="auto"/>
          <w:highlight w:val="none"/>
        </w:rPr>
        <w:t>全面罩式、正压自给式呼吸装置，该装置的额定供气时间应至少为15</w:t>
      </w:r>
      <w:r>
        <w:rPr>
          <w:rFonts w:hint="eastAsia" w:ascii="宋体" w:hAnsi="宋体" w:eastAsia="宋体" w:cs="宋体"/>
          <w:color w:val="auto"/>
          <w:highlight w:val="none"/>
          <w:lang w:val="en-US" w:eastAsia="zh-CN"/>
        </w:rPr>
        <w:t xml:space="preserve"> min</w:t>
      </w:r>
      <w:r>
        <w:rPr>
          <w:rFonts w:hint="eastAsia" w:ascii="宋体" w:hAnsi="宋体" w:eastAsia="宋体" w:cs="宋体"/>
          <w:color w:val="auto"/>
          <w:highlight w:val="none"/>
        </w:rPr>
        <w:t>。</w:t>
      </w:r>
      <w:bookmarkEnd w:id="1847"/>
      <w:bookmarkEnd w:id="1848"/>
      <w:bookmarkEnd w:id="1849"/>
      <w:bookmarkEnd w:id="1850"/>
    </w:p>
    <w:p w14:paraId="55CBAC4C">
      <w:pPr>
        <w:pStyle w:val="261"/>
        <w:spacing w:before="0" w:beforeLines="0" w:after="0" w:afterLines="0"/>
        <w:jc w:val="both"/>
        <w:outlineLvl w:val="9"/>
        <w:rPr>
          <w:rFonts w:hint="eastAsia" w:ascii="宋体" w:hAnsi="宋体" w:eastAsia="宋体" w:cs="宋体"/>
          <w:color w:val="auto"/>
          <w:highlight w:val="none"/>
        </w:rPr>
      </w:pPr>
      <w:bookmarkStart w:id="1851" w:name="_Toc31977"/>
      <w:bookmarkStart w:id="1852" w:name="_Toc8644"/>
      <w:r>
        <w:rPr>
          <w:rFonts w:hint="eastAsia" w:ascii="宋体" w:hAnsi="宋体" w:eastAsia="宋体" w:cs="宋体"/>
          <w:color w:val="auto"/>
          <w:highlight w:val="none"/>
        </w:rPr>
        <w:t>存在高温设备的工作处所，</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为现场操作人员配备至少</w:t>
      </w:r>
      <w:r>
        <w:rPr>
          <w:rFonts w:hint="eastAsia" w:ascii="宋体" w:hAnsi="宋体" w:eastAsia="宋体" w:cs="宋体"/>
          <w:color w:val="auto"/>
          <w:highlight w:val="none"/>
          <w:lang w:eastAsia="zh-CN"/>
        </w:rPr>
        <w:t>1套</w:t>
      </w:r>
      <w:r>
        <w:rPr>
          <w:rFonts w:hint="eastAsia" w:ascii="宋体" w:hAnsi="宋体" w:eastAsia="宋体" w:cs="宋体"/>
          <w:color w:val="auto"/>
          <w:highlight w:val="none"/>
        </w:rPr>
        <w:t>高温防烫服。</w:t>
      </w:r>
      <w:bookmarkEnd w:id="1851"/>
      <w:bookmarkEnd w:id="1852"/>
    </w:p>
    <w:p w14:paraId="7307E04D">
      <w:pPr>
        <w:pStyle w:val="261"/>
        <w:spacing w:before="0" w:beforeLines="0" w:after="0" w:afterLines="0"/>
        <w:jc w:val="both"/>
        <w:outlineLvl w:val="9"/>
        <w:rPr>
          <w:rFonts w:hint="eastAsia" w:ascii="宋体" w:hAnsi="宋体" w:eastAsia="宋体" w:cs="宋体"/>
          <w:color w:val="auto"/>
          <w:highlight w:val="none"/>
        </w:rPr>
      </w:pPr>
      <w:bookmarkStart w:id="1853" w:name="_Toc5339"/>
      <w:bookmarkStart w:id="1854" w:name="_Toc17801"/>
      <w:bookmarkStart w:id="1855" w:name="_Toc7342"/>
      <w:bookmarkStart w:id="1856" w:name="_Toc11290"/>
      <w:r>
        <w:rPr>
          <w:rFonts w:hint="eastAsia" w:ascii="宋体" w:hAnsi="宋体" w:eastAsia="宋体" w:cs="宋体"/>
          <w:color w:val="auto"/>
          <w:highlight w:val="none"/>
        </w:rPr>
        <w:t>对于可能接触腐蚀性/毒性介质的区域，应设置洗眼站/洗眼器。</w:t>
      </w:r>
      <w:bookmarkEnd w:id="1853"/>
      <w:bookmarkEnd w:id="1854"/>
      <w:bookmarkEnd w:id="1855"/>
      <w:bookmarkEnd w:id="1856"/>
    </w:p>
    <w:p w14:paraId="6300F191">
      <w:pPr>
        <w:pStyle w:val="260"/>
        <w:outlineLvl w:val="1"/>
        <w:rPr>
          <w:rFonts w:hint="default" w:ascii="Times New Roman" w:hAnsi="Times New Roman" w:cs="Times New Roman"/>
          <w:color w:val="auto"/>
          <w:highlight w:val="none"/>
        </w:rPr>
      </w:pPr>
      <w:bookmarkStart w:id="1857" w:name="_Toc17208"/>
      <w:bookmarkStart w:id="1858" w:name="_Toc5825"/>
      <w:bookmarkStart w:id="1859" w:name="_Toc13314"/>
      <w:bookmarkStart w:id="1860" w:name="_Toc183727748"/>
      <w:bookmarkStart w:id="1861" w:name="_Toc22603"/>
      <w:bookmarkStart w:id="1862" w:name="_Toc30689"/>
      <w:bookmarkStart w:id="1863" w:name="_Toc20575"/>
      <w:bookmarkStart w:id="1864" w:name="_Toc30345"/>
      <w:bookmarkStart w:id="1865" w:name="_Toc9622"/>
      <w:bookmarkStart w:id="1866" w:name="_Toc12243"/>
      <w:r>
        <w:rPr>
          <w:rFonts w:hint="default" w:ascii="Times New Roman" w:hAnsi="Times New Roman" w:cs="Times New Roman"/>
          <w:color w:val="auto"/>
          <w:highlight w:val="none"/>
        </w:rPr>
        <w:t>无线电救生设备</w:t>
      </w:r>
      <w:bookmarkEnd w:id="1857"/>
      <w:bookmarkEnd w:id="1858"/>
      <w:bookmarkEnd w:id="1859"/>
      <w:bookmarkEnd w:id="1860"/>
      <w:bookmarkEnd w:id="1861"/>
      <w:bookmarkEnd w:id="1862"/>
      <w:bookmarkEnd w:id="1863"/>
      <w:bookmarkEnd w:id="1864"/>
      <w:bookmarkEnd w:id="1865"/>
      <w:bookmarkEnd w:id="1866"/>
    </w:p>
    <w:p w14:paraId="2D7528E9">
      <w:pPr>
        <w:ind w:firstLine="420" w:firstLineChars="200"/>
        <w:rPr>
          <w:rFonts w:hint="default" w:ascii="Times New Roman" w:hAnsi="Times New Roman" w:cs="Times New Roman" w:eastAsiaTheme="minorEastAsia"/>
          <w:color w:val="auto"/>
          <w:highlight w:val="none"/>
        </w:rPr>
      </w:pPr>
      <w:bookmarkStart w:id="1867" w:name="_Toc16230"/>
      <w:bookmarkStart w:id="1868" w:name="_Toc5250"/>
      <w:bookmarkStart w:id="1869" w:name="_Toc19396"/>
      <w:bookmarkStart w:id="1870" w:name="_Toc13542"/>
      <w:bookmarkStart w:id="1871" w:name="_Toc26574"/>
      <w:r>
        <w:rPr>
          <w:rFonts w:hint="default" w:ascii="Times New Roman" w:hAnsi="Times New Roman" w:cs="Times New Roman" w:eastAsiaTheme="minorEastAsia"/>
          <w:color w:val="auto"/>
          <w:highlight w:val="none"/>
        </w:rPr>
        <w:t>救生艇内应设有固定式双向甚高频无线</w:t>
      </w:r>
      <w:r>
        <w:rPr>
          <w:rFonts w:hint="eastAsia" w:ascii="宋体" w:hAnsi="宋体" w:eastAsia="宋体" w:cs="宋体"/>
          <w:color w:val="auto"/>
          <w:highlight w:val="none"/>
        </w:rPr>
        <w:t>电话设备</w:t>
      </w:r>
      <w:r>
        <w:rPr>
          <w:rFonts w:hint="eastAsia" w:ascii="宋体" w:hAnsi="宋体" w:eastAsia="宋体" w:cs="宋体"/>
          <w:color w:val="auto"/>
          <w:highlight w:val="none"/>
          <w:lang w:val="en-US" w:eastAsia="zh-CN"/>
        </w:rPr>
        <w:t>和搜救雷达应答器</w:t>
      </w:r>
      <w:r>
        <w:rPr>
          <w:rFonts w:hint="eastAsia" w:ascii="宋体" w:hAnsi="宋体" w:eastAsia="宋体" w:cs="宋体"/>
          <w:color w:val="auto"/>
          <w:highlight w:val="none"/>
        </w:rPr>
        <w:t>。</w:t>
      </w:r>
      <w:bookmarkEnd w:id="1867"/>
      <w:bookmarkEnd w:id="1868"/>
      <w:bookmarkEnd w:id="1869"/>
      <w:bookmarkEnd w:id="1870"/>
      <w:bookmarkEnd w:id="1871"/>
    </w:p>
    <w:p w14:paraId="441AB41A">
      <w:pPr>
        <w:pStyle w:val="260"/>
        <w:outlineLvl w:val="1"/>
        <w:rPr>
          <w:rFonts w:hint="default" w:ascii="Times New Roman" w:hAnsi="Times New Roman" w:cs="Times New Roman"/>
          <w:color w:val="auto"/>
          <w:highlight w:val="none"/>
        </w:rPr>
      </w:pPr>
      <w:bookmarkStart w:id="1872" w:name="_Toc18216"/>
      <w:bookmarkStart w:id="1873" w:name="_Toc18562"/>
      <w:bookmarkStart w:id="1874" w:name="_Toc7424"/>
      <w:bookmarkStart w:id="1875" w:name="_Toc183727749"/>
      <w:bookmarkStart w:id="1876" w:name="_Toc935"/>
      <w:bookmarkStart w:id="1877" w:name="_Toc21022"/>
      <w:bookmarkStart w:id="1878" w:name="_Toc22309"/>
      <w:bookmarkStart w:id="1879" w:name="_Toc20409"/>
      <w:bookmarkStart w:id="1880" w:name="_Toc21209"/>
      <w:bookmarkStart w:id="1881" w:name="_Toc12953"/>
      <w:r>
        <w:rPr>
          <w:rFonts w:hint="default" w:ascii="Times New Roman" w:hAnsi="Times New Roman" w:cs="Times New Roman"/>
          <w:color w:val="auto"/>
          <w:highlight w:val="none"/>
        </w:rPr>
        <w:t>逃生通道</w:t>
      </w:r>
      <w:bookmarkEnd w:id="1872"/>
      <w:bookmarkEnd w:id="1873"/>
      <w:bookmarkEnd w:id="1874"/>
      <w:bookmarkEnd w:id="1875"/>
      <w:bookmarkEnd w:id="1876"/>
      <w:bookmarkEnd w:id="1877"/>
      <w:bookmarkEnd w:id="1878"/>
      <w:bookmarkEnd w:id="1879"/>
      <w:bookmarkEnd w:id="1880"/>
      <w:bookmarkEnd w:id="1881"/>
    </w:p>
    <w:p w14:paraId="6BF85A1E">
      <w:pPr>
        <w:pStyle w:val="261"/>
        <w:spacing w:before="0" w:beforeLines="0" w:after="0" w:afterLines="0"/>
        <w:jc w:val="both"/>
        <w:outlineLvl w:val="9"/>
        <w:rPr>
          <w:rFonts w:hint="eastAsia" w:ascii="宋体" w:hAnsi="宋体" w:eastAsia="宋体" w:cs="宋体"/>
          <w:color w:val="auto"/>
          <w:highlight w:val="none"/>
        </w:rPr>
      </w:pPr>
      <w:bookmarkStart w:id="1882" w:name="_Toc11578"/>
      <w:bookmarkStart w:id="1883" w:name="_Toc23559"/>
      <w:bookmarkStart w:id="1884" w:name="_Toc28631"/>
      <w:bookmarkStart w:id="1885" w:name="_Toc29904"/>
      <w:r>
        <w:rPr>
          <w:rFonts w:hint="eastAsia" w:ascii="宋体" w:hAnsi="宋体" w:eastAsia="宋体" w:cs="宋体"/>
          <w:color w:val="auto"/>
          <w:highlight w:val="none"/>
          <w:lang w:eastAsia="zh-CN"/>
        </w:rPr>
        <w:t>起居处所</w:t>
      </w:r>
      <w:r>
        <w:rPr>
          <w:rFonts w:hint="eastAsia" w:ascii="宋体" w:hAnsi="宋体" w:eastAsia="宋体" w:cs="宋体"/>
          <w:color w:val="auto"/>
          <w:highlight w:val="none"/>
        </w:rPr>
        <w:t>和工作人员经常使用的非机器处所应设有通往</w:t>
      </w:r>
      <w:r>
        <w:rPr>
          <w:rFonts w:hint="eastAsia" w:ascii="宋体" w:hAnsi="宋体" w:eastAsia="宋体" w:cs="宋体"/>
          <w:color w:val="auto"/>
          <w:highlight w:val="none"/>
          <w:lang w:val="en-US" w:eastAsia="zh-CN"/>
        </w:rPr>
        <w:t>开敞</w:t>
      </w:r>
      <w:r>
        <w:rPr>
          <w:rFonts w:hint="eastAsia" w:ascii="宋体" w:hAnsi="宋体" w:eastAsia="宋体" w:cs="宋体"/>
          <w:color w:val="auto"/>
          <w:highlight w:val="none"/>
        </w:rPr>
        <w:t>甲板和撤离地点的逃生通道，且满足</w:t>
      </w:r>
      <w:r>
        <w:rPr>
          <w:rFonts w:hint="eastAsia" w:ascii="宋体" w:hAnsi="宋体" w:eastAsia="宋体" w:cs="宋体"/>
          <w:color w:val="auto"/>
          <w:highlight w:val="none"/>
          <w:lang w:val="en-US" w:eastAsia="zh-CN"/>
        </w:rPr>
        <w:t>以下要求</w:t>
      </w:r>
      <w:r>
        <w:rPr>
          <w:rFonts w:hint="eastAsia" w:ascii="宋体" w:hAnsi="宋体" w:eastAsia="宋体" w:cs="宋体"/>
          <w:color w:val="auto"/>
          <w:highlight w:val="none"/>
        </w:rPr>
        <w:t>：</w:t>
      </w:r>
      <w:bookmarkEnd w:id="1882"/>
      <w:bookmarkEnd w:id="1883"/>
      <w:bookmarkEnd w:id="1884"/>
      <w:bookmarkEnd w:id="1885"/>
    </w:p>
    <w:p w14:paraId="61B207AB">
      <w:pPr>
        <w:pStyle w:val="305"/>
        <w:numPr>
          <w:ilvl w:val="0"/>
          <w:numId w:val="104"/>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起居处所各层，任一受限制处所或处所群应至少设置2条相互远离的逃生通道；</w:t>
      </w:r>
    </w:p>
    <w:p w14:paraId="6CAF4B59">
      <w:pPr>
        <w:pStyle w:val="305"/>
        <w:numPr>
          <w:ilvl w:val="0"/>
          <w:numId w:val="104"/>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在最低层开敞甲板以下主逃生通道应为梯道；在最低层开敞甲板以上，逃生通道应为梯道或门；逃生用梯道、围壁通道或门均应通往开敞甲板；</w:t>
      </w:r>
    </w:p>
    <w:p w14:paraId="7FEB3263">
      <w:pPr>
        <w:pStyle w:val="305"/>
        <w:numPr>
          <w:ilvl w:val="0"/>
          <w:numId w:val="104"/>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封闭区域内不应设置长度超过7 m而一端不通的通道；</w:t>
      </w:r>
    </w:p>
    <w:p w14:paraId="3536B274">
      <w:pPr>
        <w:pStyle w:val="305"/>
        <w:numPr>
          <w:ilvl w:val="0"/>
          <w:numId w:val="104"/>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主要逃生通道的宽度应不小于1 m，次要逃生通道的宽度应不小于0.8 m；</w:t>
      </w:r>
    </w:p>
    <w:p w14:paraId="224EA25E">
      <w:pPr>
        <w:pStyle w:val="305"/>
        <w:numPr>
          <w:ilvl w:val="0"/>
          <w:numId w:val="104"/>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若无线电室无直通开敞甲板的出口，应设置2个出口；</w:t>
      </w:r>
    </w:p>
    <w:p w14:paraId="428483E6">
      <w:pPr>
        <w:pStyle w:val="305"/>
        <w:numPr>
          <w:ilvl w:val="0"/>
          <w:numId w:val="104"/>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中控室除应设置通往居住区内部的开口外，还应设置直通开敞甲板的出口。</w:t>
      </w:r>
    </w:p>
    <w:p w14:paraId="117194DB">
      <w:pPr>
        <w:pStyle w:val="261"/>
        <w:spacing w:before="0" w:beforeLines="0" w:after="0" w:afterLines="0"/>
        <w:jc w:val="both"/>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A类机器处所应设置</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条相互远离的逃生通道，且应符合以下要求之一：</w:t>
      </w:r>
    </w:p>
    <w:p w14:paraId="7B2666E3">
      <w:pPr>
        <w:pStyle w:val="305"/>
        <w:numPr>
          <w:ilvl w:val="0"/>
          <w:numId w:val="105"/>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部相互远离的钢梯，通至该处所上部相互远离的门，且门通往开敞甲板，其中一部钢梯自该处所的下部至该处所外的安全地点有连续的防火遮蔽，且下端设自闭式防火门；防火遮蔽与A类机器处所的相邻部分达到A-60级标准，其余部分达到A-0级标准；</w:t>
      </w:r>
    </w:p>
    <w:p w14:paraId="32227072">
      <w:pPr>
        <w:pStyle w:val="305"/>
        <w:numPr>
          <w:ilvl w:val="0"/>
          <w:numId w:val="105"/>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一部钢梯通往该处所上部的1个门，且此门通往开敞甲板；在该处所下部远离上述钢梯的位置设1个能从2面进行开关的钢门，且此门可进入从该处所下部到开敞甲板的逃生通道。</w:t>
      </w:r>
    </w:p>
    <w:p w14:paraId="3A9BE16B">
      <w:pPr>
        <w:pStyle w:val="261"/>
        <w:spacing w:before="0" w:beforeLines="0" w:after="0" w:afterLines="0"/>
        <w:jc w:val="both"/>
        <w:outlineLvl w:val="9"/>
        <w:rPr>
          <w:rFonts w:hint="eastAsia" w:ascii="宋体" w:hAnsi="宋体" w:eastAsia="宋体" w:cs="宋体"/>
          <w:color w:val="auto"/>
          <w:highlight w:val="none"/>
        </w:rPr>
      </w:pPr>
      <w:bookmarkStart w:id="1886" w:name="_Toc24654"/>
      <w:bookmarkStart w:id="1887" w:name="_Toc17247"/>
      <w:bookmarkStart w:id="1888" w:name="_Toc32709"/>
      <w:bookmarkStart w:id="1889" w:name="_Toc31057"/>
      <w:r>
        <w:rPr>
          <w:rFonts w:hint="eastAsia" w:ascii="宋体" w:hAnsi="宋体" w:eastAsia="宋体" w:cs="宋体"/>
          <w:color w:val="auto"/>
          <w:highlight w:val="none"/>
        </w:rPr>
        <w:t>原油泵舱和压载泵舱除应设置一部能从底部到达开敞甲板的钢梯外，还应设置</w:t>
      </w:r>
      <w:r>
        <w:rPr>
          <w:rFonts w:hint="eastAsia" w:ascii="宋体" w:hAnsi="宋体" w:eastAsia="宋体" w:cs="宋体"/>
          <w:color w:val="auto"/>
          <w:highlight w:val="none"/>
          <w:lang w:eastAsia="zh-CN"/>
        </w:rPr>
        <w:t>1个</w:t>
      </w:r>
      <w:r>
        <w:rPr>
          <w:rFonts w:hint="eastAsia" w:ascii="宋体" w:hAnsi="宋体" w:eastAsia="宋体" w:cs="宋体"/>
          <w:color w:val="auto"/>
          <w:highlight w:val="none"/>
        </w:rPr>
        <w:t>供吊运受伤人员的垂直通道。</w:t>
      </w:r>
      <w:bookmarkEnd w:id="1886"/>
      <w:bookmarkEnd w:id="1887"/>
      <w:bookmarkEnd w:id="1888"/>
      <w:bookmarkEnd w:id="1889"/>
    </w:p>
    <w:p w14:paraId="78118D4A">
      <w:pPr>
        <w:pStyle w:val="261"/>
        <w:spacing w:before="0" w:beforeLines="0" w:after="0" w:afterLines="0"/>
        <w:jc w:val="both"/>
        <w:outlineLvl w:val="9"/>
        <w:rPr>
          <w:rFonts w:hint="eastAsia" w:ascii="宋体" w:hAnsi="宋体" w:eastAsia="宋体" w:cs="宋体"/>
          <w:color w:val="auto"/>
          <w:highlight w:val="none"/>
        </w:rPr>
      </w:pPr>
      <w:bookmarkStart w:id="1890" w:name="_Toc32590"/>
      <w:bookmarkStart w:id="1891" w:name="_Toc3825"/>
      <w:bookmarkStart w:id="1892" w:name="_Toc32038"/>
      <w:bookmarkStart w:id="1893" w:name="_Toc2295"/>
      <w:r>
        <w:rPr>
          <w:rFonts w:hint="eastAsia" w:ascii="宋体" w:hAnsi="宋体" w:eastAsia="宋体" w:cs="宋体"/>
          <w:color w:val="auto"/>
          <w:highlight w:val="none"/>
        </w:rPr>
        <w:t>原油</w:t>
      </w:r>
      <w:r>
        <w:rPr>
          <w:rFonts w:hint="eastAsia" w:ascii="宋体" w:hAnsi="宋体" w:eastAsia="宋体" w:cs="宋体"/>
          <w:color w:val="auto"/>
          <w:highlight w:val="none"/>
          <w:lang w:val="en-US" w:eastAsia="zh-CN"/>
        </w:rPr>
        <w:t>区域</w:t>
      </w:r>
      <w:r>
        <w:rPr>
          <w:rFonts w:hint="eastAsia" w:ascii="宋体" w:hAnsi="宋体" w:eastAsia="宋体" w:cs="宋体"/>
          <w:color w:val="auto"/>
          <w:highlight w:val="none"/>
        </w:rPr>
        <w:t>甲板上各模块的逃生通道</w:t>
      </w:r>
      <w:bookmarkEnd w:id="1890"/>
      <w:bookmarkEnd w:id="1891"/>
      <w:bookmarkEnd w:id="1892"/>
      <w:bookmarkEnd w:id="1893"/>
      <w:r>
        <w:rPr>
          <w:rFonts w:hint="eastAsia" w:ascii="宋体" w:hAnsi="宋体" w:eastAsia="宋体" w:cs="宋体"/>
          <w:color w:val="auto"/>
          <w:highlight w:val="none"/>
          <w:lang w:val="en-US" w:eastAsia="zh-CN"/>
        </w:rPr>
        <w:t>满足以下要求：</w:t>
      </w:r>
    </w:p>
    <w:p w14:paraId="5FE97C5E">
      <w:pPr>
        <w:pStyle w:val="305"/>
        <w:numPr>
          <w:ilvl w:val="0"/>
          <w:numId w:val="106"/>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每一模块应设有2个互相远离的逃生通道，若逃生通道仅设一条，应经发证检验机构认可；</w:t>
      </w:r>
    </w:p>
    <w:p w14:paraId="729FA218">
      <w:pPr>
        <w:pStyle w:val="305"/>
        <w:numPr>
          <w:ilvl w:val="0"/>
          <w:numId w:val="106"/>
        </w:numPr>
        <w:ind w:left="839" w:leftChars="0" w:hanging="419" w:firstLineChars="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逃生通道的宽度应不小于700 mm，梯级应不高于250 mm，斜度不大于50°，两侧设有扶手、栏杆，梯步板应防滑。</w:t>
      </w:r>
    </w:p>
    <w:p w14:paraId="4F6D712C">
      <w:pPr>
        <w:pStyle w:val="260"/>
        <w:outlineLvl w:val="1"/>
        <w:rPr>
          <w:rFonts w:hint="default" w:ascii="Times New Roman" w:hAnsi="Times New Roman" w:cs="Times New Roman"/>
          <w:color w:val="auto"/>
          <w:highlight w:val="none"/>
        </w:rPr>
      </w:pPr>
      <w:bookmarkStart w:id="1894" w:name="_Toc4020"/>
      <w:bookmarkStart w:id="1895" w:name="_Toc10860"/>
      <w:bookmarkStart w:id="1896" w:name="_Toc9875"/>
      <w:bookmarkStart w:id="1897" w:name="_Toc183727750"/>
      <w:bookmarkStart w:id="1898" w:name="_Toc21728"/>
      <w:bookmarkStart w:id="1899" w:name="_Toc30519"/>
      <w:bookmarkStart w:id="1900" w:name="_Toc15770"/>
      <w:bookmarkStart w:id="1901" w:name="_Toc16972"/>
      <w:bookmarkStart w:id="1902" w:name="_Toc28568"/>
      <w:bookmarkStart w:id="1903" w:name="_Toc18296"/>
      <w:r>
        <w:rPr>
          <w:rFonts w:hint="default" w:ascii="Times New Roman" w:hAnsi="Times New Roman" w:cs="Times New Roman"/>
          <w:color w:val="auto"/>
          <w:highlight w:val="none"/>
        </w:rPr>
        <w:t>登艇集合区</w:t>
      </w:r>
      <w:bookmarkEnd w:id="1894"/>
      <w:bookmarkEnd w:id="1895"/>
      <w:bookmarkEnd w:id="1896"/>
      <w:bookmarkEnd w:id="1897"/>
      <w:bookmarkEnd w:id="1898"/>
      <w:bookmarkEnd w:id="1899"/>
      <w:bookmarkEnd w:id="1900"/>
      <w:bookmarkEnd w:id="1901"/>
      <w:bookmarkEnd w:id="1902"/>
      <w:bookmarkEnd w:id="1903"/>
    </w:p>
    <w:p w14:paraId="73C8810F">
      <w:pPr>
        <w:pStyle w:val="290"/>
        <w:spacing w:before="0" w:beforeLines="0" w:after="0" w:afterLines="0"/>
        <w:jc w:val="both"/>
        <w:outlineLvl w:val="9"/>
        <w:rPr>
          <w:rFonts w:hint="eastAsia" w:ascii="宋体" w:hAnsi="宋体" w:eastAsia="宋体" w:cs="宋体"/>
          <w:strike w:val="0"/>
          <w:dstrike w:val="0"/>
          <w:color w:val="auto"/>
          <w:w w:val="95"/>
          <w:sz w:val="21"/>
          <w:highlight w:val="none"/>
        </w:rPr>
      </w:pPr>
      <w:r>
        <w:rPr>
          <w:rFonts w:hint="eastAsia" w:ascii="宋体" w:hAnsi="宋体" w:eastAsia="宋体" w:cs="宋体"/>
          <w:strike w:val="0"/>
          <w:dstrike w:val="0"/>
          <w:color w:val="auto"/>
          <w:w w:val="95"/>
          <w:sz w:val="21"/>
          <w:highlight w:val="none"/>
        </w:rPr>
        <w:t>登艇集合区的面积应不低于0.35</w:t>
      </w:r>
      <w:r>
        <w:rPr>
          <w:rFonts w:hint="eastAsia" w:ascii="宋体" w:hAnsi="宋体" w:eastAsia="宋体" w:cs="宋体"/>
          <w:strike w:val="0"/>
          <w:dstrike w:val="0"/>
          <w:color w:val="auto"/>
          <w:w w:val="95"/>
          <w:sz w:val="21"/>
          <w:highlight w:val="none"/>
          <w:lang w:val="en-US" w:eastAsia="zh-CN"/>
        </w:rPr>
        <w:t xml:space="preserve"> </w:t>
      </w:r>
      <w:r>
        <w:rPr>
          <w:rFonts w:hint="eastAsia" w:ascii="宋体" w:hAnsi="宋体" w:eastAsia="宋体" w:cs="宋体"/>
          <w:strike w:val="0"/>
          <w:dstrike w:val="0"/>
          <w:color w:val="auto"/>
          <w:w w:val="95"/>
          <w:sz w:val="21"/>
          <w:highlight w:val="none"/>
        </w:rPr>
        <w:t>m</w:t>
      </w:r>
      <w:r>
        <w:rPr>
          <w:rFonts w:hint="eastAsia" w:ascii="宋体" w:hAnsi="宋体" w:eastAsia="宋体" w:cs="宋体"/>
          <w:strike w:val="0"/>
          <w:dstrike w:val="0"/>
          <w:color w:val="auto"/>
          <w:w w:val="95"/>
          <w:sz w:val="21"/>
          <w:highlight w:val="none"/>
          <w:vertAlign w:val="superscript"/>
        </w:rPr>
        <w:t>2</w:t>
      </w:r>
      <w:r>
        <w:rPr>
          <w:rFonts w:hint="eastAsia" w:ascii="宋体" w:hAnsi="宋体" w:eastAsia="宋体" w:cs="宋体"/>
          <w:strike w:val="0"/>
          <w:dstrike w:val="0"/>
          <w:color w:val="auto"/>
          <w:w w:val="95"/>
          <w:sz w:val="21"/>
          <w:highlight w:val="none"/>
        </w:rPr>
        <w:t>/人。配置呼吸器的</w:t>
      </w:r>
      <w:r>
        <w:rPr>
          <w:rFonts w:hint="eastAsia" w:ascii="宋体" w:hAnsi="宋体" w:eastAsia="宋体" w:cs="宋体"/>
          <w:strike w:val="0"/>
          <w:dstrike w:val="0"/>
          <w:color w:val="auto"/>
          <w:w w:val="95"/>
          <w:sz w:val="21"/>
          <w:highlight w:val="none"/>
          <w:lang w:eastAsia="zh-CN"/>
        </w:rPr>
        <w:t>FPSO</w:t>
      </w:r>
      <w:r>
        <w:rPr>
          <w:rFonts w:hint="eastAsia" w:ascii="宋体" w:hAnsi="宋体" w:eastAsia="宋体" w:cs="宋体"/>
          <w:strike w:val="0"/>
          <w:dstrike w:val="0"/>
          <w:color w:val="auto"/>
          <w:w w:val="95"/>
          <w:sz w:val="21"/>
          <w:highlight w:val="none"/>
        </w:rPr>
        <w:t>，集合区面积</w:t>
      </w:r>
      <w:r>
        <w:rPr>
          <w:rFonts w:hint="eastAsia" w:ascii="宋体" w:hAnsi="宋体" w:eastAsia="宋体" w:cs="宋体"/>
          <w:strike w:val="0"/>
          <w:dstrike w:val="0"/>
          <w:color w:val="auto"/>
          <w:w w:val="95"/>
          <w:sz w:val="21"/>
          <w:highlight w:val="none"/>
          <w:lang w:val="en-US" w:eastAsia="zh-CN"/>
        </w:rPr>
        <w:t>应</w:t>
      </w:r>
      <w:r>
        <w:rPr>
          <w:rFonts w:hint="eastAsia" w:ascii="宋体" w:hAnsi="宋体" w:eastAsia="宋体" w:cs="宋体"/>
          <w:strike w:val="0"/>
          <w:dstrike w:val="0"/>
          <w:color w:val="auto"/>
          <w:w w:val="95"/>
          <w:sz w:val="21"/>
          <w:highlight w:val="none"/>
        </w:rPr>
        <w:t>不低于0.56</w:t>
      </w:r>
      <w:r>
        <w:rPr>
          <w:rFonts w:hint="eastAsia" w:ascii="宋体" w:hAnsi="宋体" w:eastAsia="宋体" w:cs="宋体"/>
          <w:strike w:val="0"/>
          <w:dstrike w:val="0"/>
          <w:color w:val="auto"/>
          <w:w w:val="95"/>
          <w:sz w:val="21"/>
          <w:highlight w:val="none"/>
          <w:lang w:val="en-US" w:eastAsia="zh-CN"/>
        </w:rPr>
        <w:t xml:space="preserve"> </w:t>
      </w:r>
      <w:r>
        <w:rPr>
          <w:rFonts w:hint="eastAsia" w:ascii="宋体" w:hAnsi="宋体" w:eastAsia="宋体" w:cs="宋体"/>
          <w:strike w:val="0"/>
          <w:dstrike w:val="0"/>
          <w:color w:val="auto"/>
          <w:w w:val="95"/>
          <w:sz w:val="21"/>
          <w:highlight w:val="none"/>
        </w:rPr>
        <w:t>m</w:t>
      </w:r>
      <w:r>
        <w:rPr>
          <w:rFonts w:hint="eastAsia" w:ascii="宋体" w:hAnsi="宋体" w:eastAsia="宋体" w:cs="宋体"/>
          <w:strike w:val="0"/>
          <w:dstrike w:val="0"/>
          <w:color w:val="auto"/>
          <w:w w:val="95"/>
          <w:sz w:val="21"/>
          <w:highlight w:val="none"/>
          <w:vertAlign w:val="superscript"/>
        </w:rPr>
        <w:t>2</w:t>
      </w:r>
      <w:r>
        <w:rPr>
          <w:rFonts w:hint="eastAsia" w:ascii="宋体" w:hAnsi="宋体" w:eastAsia="宋体" w:cs="宋体"/>
          <w:strike w:val="0"/>
          <w:dstrike w:val="0"/>
          <w:color w:val="auto"/>
          <w:w w:val="95"/>
          <w:sz w:val="21"/>
          <w:highlight w:val="none"/>
        </w:rPr>
        <w:t>/人。</w:t>
      </w:r>
    </w:p>
    <w:p w14:paraId="0A8351EB">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当</w:t>
      </w:r>
      <w:r>
        <w:rPr>
          <w:rFonts w:hint="eastAsia" w:ascii="宋体" w:hAnsi="宋体" w:eastAsia="宋体" w:cs="宋体"/>
          <w:color w:val="auto"/>
          <w:highlight w:val="none"/>
        </w:rPr>
        <w:t>登艇集合区</w:t>
      </w:r>
      <w:r>
        <w:rPr>
          <w:rFonts w:hint="eastAsia" w:ascii="宋体" w:hAnsi="宋体" w:eastAsia="宋体" w:cs="宋体"/>
          <w:color w:val="auto"/>
          <w:highlight w:val="none"/>
          <w:lang w:val="en-US" w:eastAsia="zh-CN"/>
        </w:rPr>
        <w:t>直面工艺装置时</w:t>
      </w:r>
      <w:r>
        <w:rPr>
          <w:rFonts w:hint="eastAsia" w:ascii="宋体" w:hAnsi="宋体" w:eastAsia="宋体" w:cs="宋体"/>
          <w:strike w:val="0"/>
          <w:dstrike w:val="0"/>
          <w:color w:val="auto"/>
          <w:highlight w:val="none"/>
          <w:lang w:val="en-US" w:eastAsia="zh-CN"/>
        </w:rPr>
        <w:t>，应</w:t>
      </w:r>
      <w:r>
        <w:rPr>
          <w:rFonts w:hint="eastAsia" w:ascii="宋体" w:hAnsi="宋体" w:eastAsia="宋体" w:cs="宋体"/>
          <w:strike w:val="0"/>
          <w:dstrike w:val="0"/>
          <w:color w:val="auto"/>
          <w:highlight w:val="none"/>
        </w:rPr>
        <w:t>采取</w:t>
      </w:r>
      <w:r>
        <w:rPr>
          <w:rFonts w:hint="eastAsia" w:ascii="宋体" w:hAnsi="宋体" w:eastAsia="宋体" w:cs="宋体"/>
          <w:color w:val="auto"/>
          <w:highlight w:val="none"/>
        </w:rPr>
        <w:t>防止火灾热辐射的措施。</w:t>
      </w:r>
    </w:p>
    <w:p w14:paraId="0AF6FC3B">
      <w:pPr>
        <w:pStyle w:val="260"/>
        <w:outlineLvl w:val="1"/>
        <w:rPr>
          <w:rFonts w:hint="default" w:ascii="Times New Roman" w:hAnsi="Times New Roman" w:cs="Times New Roman"/>
          <w:color w:val="auto"/>
          <w:highlight w:val="none"/>
        </w:rPr>
      </w:pPr>
      <w:bookmarkStart w:id="1904" w:name="_Toc24144"/>
      <w:bookmarkStart w:id="1905" w:name="_Toc183727751"/>
      <w:bookmarkStart w:id="1906" w:name="_Toc4183"/>
      <w:bookmarkStart w:id="1907" w:name="_Toc7969"/>
      <w:bookmarkStart w:id="1908" w:name="_Toc13214"/>
      <w:bookmarkStart w:id="1909" w:name="_Toc31916"/>
      <w:bookmarkStart w:id="1910" w:name="_Toc10289"/>
      <w:bookmarkStart w:id="1911" w:name="_Toc30184"/>
      <w:bookmarkStart w:id="1912" w:name="_Toc19671"/>
      <w:bookmarkStart w:id="1913" w:name="_Toc11968"/>
      <w:r>
        <w:rPr>
          <w:rFonts w:hint="default" w:ascii="Times New Roman" w:hAnsi="Times New Roman" w:cs="Times New Roman"/>
          <w:color w:val="auto"/>
          <w:highlight w:val="none"/>
        </w:rPr>
        <w:t>临时避难所</w:t>
      </w:r>
      <w:bookmarkEnd w:id="1904"/>
      <w:bookmarkEnd w:id="1905"/>
      <w:bookmarkEnd w:id="1906"/>
      <w:bookmarkEnd w:id="1907"/>
      <w:bookmarkEnd w:id="1908"/>
      <w:bookmarkEnd w:id="1909"/>
      <w:bookmarkEnd w:id="1910"/>
      <w:bookmarkEnd w:id="1911"/>
      <w:bookmarkEnd w:id="1912"/>
      <w:bookmarkEnd w:id="1913"/>
    </w:p>
    <w:p w14:paraId="325E6BE7">
      <w:pPr>
        <w:pStyle w:val="261"/>
        <w:spacing w:before="0" w:beforeLines="0" w:after="0" w:afterLines="0"/>
        <w:jc w:val="both"/>
        <w:outlineLvl w:val="9"/>
        <w:rPr>
          <w:rFonts w:hint="eastAsia" w:ascii="宋体" w:hAnsi="宋体" w:eastAsia="宋体" w:cs="宋体"/>
          <w:color w:val="auto"/>
          <w:highlight w:val="none"/>
        </w:rPr>
      </w:pPr>
      <w:bookmarkStart w:id="1914" w:name="_Toc26955"/>
      <w:r>
        <w:rPr>
          <w:rFonts w:hint="eastAsia" w:ascii="宋体" w:hAnsi="宋体" w:eastAsia="宋体" w:cs="宋体"/>
          <w:color w:val="auto"/>
          <w:highlight w:val="none"/>
        </w:rPr>
        <w:t>经安全风险分析，对于火灾爆炸、有毒有害气体泄漏</w:t>
      </w:r>
      <w:r>
        <w:rPr>
          <w:rFonts w:hint="eastAsia" w:ascii="宋体" w:hAnsi="宋体" w:eastAsia="宋体" w:cs="宋体"/>
          <w:color w:val="auto"/>
          <w:highlight w:val="none"/>
          <w:lang w:val="en-US" w:eastAsia="zh-CN"/>
        </w:rPr>
        <w:t>为</w:t>
      </w:r>
      <w:r>
        <w:rPr>
          <w:rFonts w:hint="eastAsia" w:ascii="宋体" w:hAnsi="宋体" w:eastAsia="宋体" w:cs="宋体"/>
          <w:color w:val="auto"/>
          <w:highlight w:val="none"/>
        </w:rPr>
        <w:t>高风险的</w:t>
      </w:r>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，应设置临时避难所。</w:t>
      </w:r>
      <w:bookmarkEnd w:id="1914"/>
    </w:p>
    <w:p w14:paraId="13C5574F">
      <w:pPr>
        <w:pStyle w:val="261"/>
        <w:spacing w:before="0" w:beforeLines="0" w:after="0" w:afterLines="0"/>
        <w:jc w:val="both"/>
        <w:outlineLvl w:val="9"/>
        <w:rPr>
          <w:rFonts w:hint="eastAsia" w:ascii="宋体" w:hAnsi="宋体" w:eastAsia="宋体" w:cs="宋体"/>
          <w:color w:val="auto"/>
          <w:highlight w:val="none"/>
        </w:rPr>
      </w:pPr>
      <w:bookmarkStart w:id="1915" w:name="_Toc16843"/>
      <w:r>
        <w:rPr>
          <w:rFonts w:hint="eastAsia" w:ascii="宋体" w:hAnsi="宋体" w:eastAsia="宋体" w:cs="宋体"/>
          <w:color w:val="auto"/>
          <w:highlight w:val="none"/>
        </w:rPr>
        <w:t>临时避难所</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结构防火等级应不低于A</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60，直接面向油气生产装置的结构防火等级应为H</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60</w:t>
      </w:r>
      <w:r>
        <w:rPr>
          <w:rFonts w:hint="eastAsia" w:ascii="宋体" w:hAnsi="宋体" w:eastAsia="宋体" w:cs="宋体"/>
          <w:color w:val="auto"/>
          <w:highlight w:val="none"/>
          <w:lang w:eastAsia="zh-CN"/>
        </w:rPr>
        <w:t>。</w:t>
      </w:r>
      <w:bookmarkEnd w:id="1915"/>
      <w:r>
        <w:rPr>
          <w:rFonts w:hint="eastAsia" w:ascii="宋体" w:hAnsi="宋体" w:eastAsia="宋体" w:cs="宋体"/>
          <w:color w:val="auto"/>
          <w:highlight w:val="none"/>
          <w:lang w:val="en-US" w:eastAsia="zh-CN"/>
        </w:rPr>
        <w:t>若防火等级为A-60，应经过火灾风险分析验证。</w:t>
      </w:r>
    </w:p>
    <w:p w14:paraId="08B2DF40">
      <w:pPr>
        <w:pStyle w:val="261"/>
        <w:spacing w:before="0" w:beforeLines="0" w:after="0" w:afterLines="0"/>
        <w:jc w:val="both"/>
        <w:outlineLvl w:val="9"/>
        <w:rPr>
          <w:rFonts w:hint="eastAsia" w:ascii="宋体" w:hAnsi="宋体" w:eastAsia="宋体" w:cs="宋体"/>
          <w:color w:val="auto"/>
          <w:highlight w:val="none"/>
        </w:rPr>
      </w:pPr>
      <w:bookmarkStart w:id="1916" w:name="_Toc18854"/>
      <w:r>
        <w:rPr>
          <w:rFonts w:hint="eastAsia" w:ascii="宋体" w:hAnsi="宋体" w:eastAsia="宋体" w:cs="宋体"/>
          <w:color w:val="auto"/>
          <w:highlight w:val="none"/>
          <w:lang w:val="en-US" w:eastAsia="zh-CN"/>
        </w:rPr>
        <w:t>应为</w:t>
      </w:r>
      <w:r>
        <w:rPr>
          <w:rFonts w:hint="eastAsia" w:ascii="宋体" w:hAnsi="宋体" w:eastAsia="宋体" w:cs="宋体"/>
          <w:color w:val="auto"/>
          <w:highlight w:val="none"/>
        </w:rPr>
        <w:t>临时避难所设置生命支持系统和应急指挥支持系统。</w:t>
      </w:r>
      <w:bookmarkEnd w:id="1916"/>
    </w:p>
    <w:p w14:paraId="47BBC356">
      <w:pPr>
        <w:pStyle w:val="261"/>
        <w:spacing w:before="0" w:beforeLines="0" w:after="0" w:afterLines="0"/>
        <w:jc w:val="both"/>
        <w:outlineLvl w:val="9"/>
        <w:rPr>
          <w:rFonts w:hint="eastAsia" w:ascii="宋体" w:hAnsi="宋体" w:eastAsia="宋体" w:cs="宋体"/>
          <w:color w:val="auto"/>
          <w:highlight w:val="none"/>
        </w:rPr>
      </w:pPr>
      <w:bookmarkStart w:id="1917" w:name="_Toc17457"/>
      <w:r>
        <w:rPr>
          <w:rFonts w:hint="eastAsia" w:ascii="宋体" w:hAnsi="宋体" w:eastAsia="宋体" w:cs="宋体"/>
          <w:color w:val="auto"/>
          <w:highlight w:val="none"/>
        </w:rPr>
        <w:t>临时避难所应与逃生通道连通。</w:t>
      </w:r>
      <w:bookmarkEnd w:id="1917"/>
    </w:p>
    <w:p w14:paraId="43EA776B">
      <w:pPr>
        <w:pStyle w:val="260"/>
        <w:outlineLvl w:val="1"/>
        <w:rPr>
          <w:rFonts w:hint="default" w:ascii="Times New Roman" w:hAnsi="Times New Roman" w:cs="Times New Roman"/>
          <w:color w:val="auto"/>
          <w:highlight w:val="none"/>
        </w:rPr>
      </w:pPr>
      <w:bookmarkStart w:id="1918" w:name="_Toc8817"/>
      <w:bookmarkStart w:id="1919" w:name="_Toc31371"/>
      <w:bookmarkStart w:id="1920" w:name="_Toc183727752"/>
      <w:bookmarkStart w:id="1921" w:name="_Toc22685"/>
      <w:bookmarkStart w:id="1922" w:name="_Toc18818"/>
      <w:bookmarkStart w:id="1923" w:name="_Toc31939"/>
      <w:bookmarkStart w:id="1924" w:name="_Toc28043"/>
      <w:bookmarkStart w:id="1925" w:name="_Toc2987"/>
      <w:bookmarkStart w:id="1926" w:name="_Toc7352"/>
      <w:bookmarkStart w:id="1927" w:name="_Toc28695"/>
      <w:r>
        <w:rPr>
          <w:rFonts w:hint="default" w:ascii="Times New Roman" w:hAnsi="Times New Roman" w:cs="Times New Roman"/>
          <w:color w:val="auto"/>
          <w:highlight w:val="none"/>
        </w:rPr>
        <w:t>其</w:t>
      </w:r>
      <w:bookmarkEnd w:id="1918"/>
      <w:bookmarkEnd w:id="1919"/>
      <w:bookmarkEnd w:id="1920"/>
      <w:r>
        <w:rPr>
          <w:rFonts w:hint="default" w:ascii="Times New Roman" w:hAnsi="Times New Roman" w:cs="Times New Roman"/>
          <w:color w:val="auto"/>
          <w:highlight w:val="none"/>
        </w:rPr>
        <w:t>他</w:t>
      </w:r>
      <w:bookmarkEnd w:id="1921"/>
      <w:bookmarkEnd w:id="1922"/>
      <w:bookmarkEnd w:id="1923"/>
      <w:bookmarkEnd w:id="1924"/>
      <w:bookmarkEnd w:id="1925"/>
      <w:bookmarkEnd w:id="1926"/>
      <w:bookmarkEnd w:id="1927"/>
    </w:p>
    <w:p w14:paraId="29332275">
      <w:pPr>
        <w:pStyle w:val="261"/>
        <w:spacing w:before="0" w:beforeLines="0" w:after="0" w:afterLines="0"/>
        <w:jc w:val="both"/>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应配备1具符合</w:t>
      </w:r>
      <w:r>
        <w:rPr>
          <w:rFonts w:hint="eastAsia" w:ascii="宋体" w:hAnsi="宋体" w:eastAsia="宋体" w:cs="宋体"/>
          <w:color w:val="auto"/>
          <w:highlight w:val="none"/>
          <w:lang w:val="en-US" w:eastAsia="zh-CN"/>
        </w:rPr>
        <w:t>IMO LSA</w:t>
      </w:r>
      <w:r>
        <w:rPr>
          <w:rFonts w:hint="eastAsia" w:ascii="宋体" w:hAnsi="宋体" w:eastAsia="宋体" w:cs="宋体"/>
          <w:color w:val="auto"/>
          <w:highlight w:val="none"/>
        </w:rPr>
        <w:t>要求的抛绳设备。</w:t>
      </w:r>
    </w:p>
    <w:p w14:paraId="3D3B99FC">
      <w:pPr>
        <w:pStyle w:val="261"/>
        <w:spacing w:before="0" w:beforeLines="0" w:after="0" w:afterLines="0"/>
        <w:jc w:val="both"/>
        <w:outlineLvl w:val="9"/>
        <w:rPr>
          <w:rFonts w:hint="eastAsia" w:ascii="宋体" w:hAnsi="宋体" w:eastAsia="宋体" w:cs="宋体"/>
          <w:color w:val="auto"/>
          <w:highlight w:val="none"/>
        </w:rPr>
      </w:pPr>
      <w:bookmarkStart w:id="1928" w:name="_Toc8415"/>
      <w:bookmarkStart w:id="1929" w:name="_Toc4681"/>
      <w:bookmarkStart w:id="1930" w:name="_Toc30094"/>
      <w:bookmarkStart w:id="1931" w:name="_Toc23774"/>
      <w:bookmarkStart w:id="1932" w:name="_Toc16924"/>
      <w:bookmarkStart w:id="1933" w:name="_Toc12985"/>
      <w:bookmarkStart w:id="1934" w:name="_Toc29813"/>
      <w:r>
        <w:rPr>
          <w:rFonts w:hint="eastAsia" w:ascii="宋体" w:hAnsi="宋体" w:eastAsia="宋体" w:cs="宋体"/>
          <w:color w:val="auto"/>
          <w:highlight w:val="none"/>
          <w:lang w:val="en-US" w:eastAsia="zh-CN"/>
        </w:rPr>
        <w:t>除圆筒型FPSO外，</w:t>
      </w:r>
      <w:r>
        <w:rPr>
          <w:rFonts w:hint="eastAsia" w:ascii="宋体" w:hAnsi="宋体" w:eastAsia="宋体" w:cs="宋体"/>
          <w:color w:val="auto"/>
          <w:highlight w:val="none"/>
        </w:rPr>
        <w:t>应配备便携式绳梯、打结逃生索或类似用具，其放置地点应邻近救生筏旁。</w:t>
      </w:r>
      <w:bookmarkEnd w:id="1928"/>
      <w:bookmarkEnd w:id="1929"/>
      <w:bookmarkEnd w:id="1930"/>
      <w:bookmarkEnd w:id="1931"/>
    </w:p>
    <w:p w14:paraId="70AFCDF4">
      <w:pPr>
        <w:pStyle w:val="261"/>
        <w:spacing w:before="0" w:beforeLines="0" w:after="0" w:afterLines="0"/>
        <w:jc w:val="both"/>
        <w:outlineLvl w:val="9"/>
        <w:rPr>
          <w:rFonts w:hint="eastAsia" w:ascii="宋体" w:hAnsi="宋体" w:eastAsia="宋体" w:cs="宋体"/>
          <w:color w:val="auto"/>
          <w:highlight w:val="none"/>
        </w:rPr>
      </w:pPr>
      <w:bookmarkStart w:id="1935" w:name="_Toc15245"/>
      <w:r>
        <w:rPr>
          <w:rFonts w:hint="eastAsia" w:ascii="宋体" w:hAnsi="宋体" w:eastAsia="宋体" w:cs="宋体"/>
          <w:color w:val="auto"/>
          <w:highlight w:val="none"/>
        </w:rPr>
        <w:t>升降机不应作为逃生</w:t>
      </w:r>
      <w:r>
        <w:rPr>
          <w:rFonts w:hint="eastAsia" w:ascii="宋体" w:hAnsi="宋体" w:eastAsia="宋体" w:cs="宋体"/>
          <w:color w:val="auto"/>
          <w:highlight w:val="none"/>
          <w:lang w:val="en-US" w:eastAsia="zh-CN"/>
        </w:rPr>
        <w:t>设备</w:t>
      </w:r>
      <w:r>
        <w:rPr>
          <w:rFonts w:hint="eastAsia" w:ascii="宋体" w:hAnsi="宋体" w:eastAsia="宋体" w:cs="宋体"/>
          <w:color w:val="auto"/>
          <w:highlight w:val="none"/>
        </w:rPr>
        <w:t>。</w:t>
      </w:r>
      <w:bookmarkEnd w:id="1932"/>
      <w:bookmarkEnd w:id="1933"/>
      <w:bookmarkEnd w:id="1934"/>
      <w:bookmarkEnd w:id="1935"/>
    </w:p>
    <w:p w14:paraId="70FACB42">
      <w:pPr>
        <w:pStyle w:val="259"/>
        <w:outlineLvl w:val="0"/>
        <w:rPr>
          <w:rFonts w:hint="default" w:ascii="Times New Roman" w:hAnsi="Times New Roman" w:cs="Times New Roman"/>
          <w:color w:val="auto"/>
          <w:highlight w:val="none"/>
        </w:rPr>
      </w:pPr>
      <w:bookmarkStart w:id="1936" w:name="_Toc1623"/>
      <w:bookmarkStart w:id="1937" w:name="_Toc22056"/>
      <w:bookmarkStart w:id="1938" w:name="_Toc30661"/>
      <w:bookmarkStart w:id="1939" w:name="_Toc23810"/>
      <w:bookmarkStart w:id="1940" w:name="_Toc1534"/>
      <w:bookmarkStart w:id="1941" w:name="_Toc9144"/>
      <w:bookmarkStart w:id="1942" w:name="_Toc183727753"/>
      <w:bookmarkStart w:id="1943" w:name="_Toc23192"/>
      <w:bookmarkStart w:id="1944" w:name="_Toc7703"/>
      <w:bookmarkStart w:id="1945" w:name="_Toc30570"/>
      <w:r>
        <w:rPr>
          <w:rFonts w:hint="default" w:ascii="Times New Roman" w:hAnsi="Times New Roman" w:cs="Times New Roman"/>
          <w:color w:val="auto"/>
          <w:highlight w:val="none"/>
        </w:rPr>
        <w:t>助航标志</w:t>
      </w:r>
      <w:r>
        <w:rPr>
          <w:rFonts w:hint="eastAsia" w:ascii="Times New Roman" w:cs="Times New Roman"/>
          <w:color w:val="auto"/>
          <w:highlight w:val="none"/>
          <w:lang w:val="en-US" w:eastAsia="zh-CN"/>
        </w:rPr>
        <w:t>和</w:t>
      </w:r>
      <w:r>
        <w:rPr>
          <w:rFonts w:hint="default" w:ascii="Times New Roman" w:hAnsi="Times New Roman" w:cs="Times New Roman"/>
          <w:color w:val="auto"/>
          <w:highlight w:val="none"/>
        </w:rPr>
        <w:t>信号</w:t>
      </w:r>
      <w:bookmarkEnd w:id="1936"/>
      <w:bookmarkEnd w:id="1937"/>
      <w:bookmarkEnd w:id="1938"/>
      <w:bookmarkEnd w:id="1939"/>
      <w:bookmarkEnd w:id="1940"/>
      <w:bookmarkEnd w:id="1941"/>
      <w:bookmarkEnd w:id="1942"/>
      <w:bookmarkEnd w:id="1943"/>
      <w:bookmarkEnd w:id="1944"/>
      <w:bookmarkEnd w:id="1945"/>
    </w:p>
    <w:p w14:paraId="0F8912CF">
      <w:pPr>
        <w:pStyle w:val="260"/>
        <w:outlineLvl w:val="1"/>
        <w:rPr>
          <w:rFonts w:hint="default" w:ascii="Times New Roman" w:hAnsi="Times New Roman" w:eastAsia="黑体" w:cs="Times New Roman"/>
          <w:color w:val="auto"/>
          <w:highlight w:val="none"/>
        </w:rPr>
      </w:pPr>
      <w:bookmarkStart w:id="1946" w:name="_Toc343"/>
      <w:bookmarkStart w:id="1947" w:name="_Toc5539"/>
      <w:bookmarkStart w:id="1948" w:name="_Toc32466"/>
      <w:bookmarkStart w:id="1949" w:name="_Toc24423"/>
      <w:bookmarkStart w:id="1950" w:name="_Toc17357"/>
      <w:bookmarkStart w:id="1951" w:name="_Toc24259"/>
      <w:r>
        <w:rPr>
          <w:rFonts w:hint="eastAsia" w:ascii="Times New Roman" w:cs="Times New Roman"/>
          <w:color w:val="auto"/>
          <w:highlight w:val="none"/>
          <w:lang w:val="en-US" w:eastAsia="zh-CN"/>
        </w:rPr>
        <w:t>一般要求</w:t>
      </w:r>
      <w:bookmarkEnd w:id="1946"/>
      <w:bookmarkEnd w:id="1947"/>
    </w:p>
    <w:p w14:paraId="29E74C03">
      <w:pPr>
        <w:pStyle w:val="261"/>
        <w:numPr>
          <w:ilvl w:val="-1"/>
          <w:numId w:val="0"/>
        </w:numPr>
        <w:spacing w:before="0" w:beforeLines="0" w:after="0" w:afterLines="0"/>
        <w:ind w:firstLine="420" w:firstLineChars="200"/>
        <w:jc w:val="both"/>
        <w:outlineLvl w:val="9"/>
        <w:rPr>
          <w:rFonts w:hint="eastAsia" w:ascii="宋体" w:hAnsi="宋体" w:eastAsia="宋体" w:cs="宋体"/>
          <w:color w:val="auto"/>
          <w:highlight w:val="none"/>
        </w:rPr>
      </w:pPr>
      <w:r>
        <w:rPr>
          <w:rFonts w:hint="eastAsia" w:ascii="宋体" w:hAnsi="宋体" w:eastAsia="宋体" w:cs="宋体"/>
          <w:color w:val="auto"/>
          <w:highlight w:val="none"/>
        </w:rPr>
        <w:t>本章适用于非自航式海上</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的助航标志和信号设备的配备要求，自航式海上</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除满足本章适用规定外，还满足</w:t>
      </w:r>
      <w:r>
        <w:rPr>
          <w:rFonts w:hint="eastAsia" w:ascii="宋体" w:hAnsi="宋体" w:eastAsia="宋体" w:cs="宋体"/>
          <w:color w:val="auto"/>
          <w:highlight w:val="none"/>
          <w:lang w:val="en-US" w:eastAsia="zh-CN"/>
        </w:rPr>
        <w:t xml:space="preserve">IMO </w:t>
      </w:r>
      <w:r>
        <w:rPr>
          <w:rFonts w:hint="eastAsia" w:ascii="宋体" w:hAnsi="宋体" w:eastAsia="宋体" w:cs="宋体"/>
          <w:color w:val="auto"/>
          <w:highlight w:val="none"/>
        </w:rPr>
        <w:t>SOLAS和</w:t>
      </w:r>
      <w:r>
        <w:rPr>
          <w:rFonts w:hint="eastAsia" w:ascii="宋体" w:hAnsi="宋体" w:eastAsia="宋体" w:cs="宋体"/>
          <w:color w:val="auto"/>
          <w:kern w:val="2"/>
          <w:sz w:val="21"/>
          <w:szCs w:val="24"/>
          <w:highlight w:val="none"/>
          <w:lang w:val="en-US" w:eastAsia="zh-CN" w:bidi="ar-SA"/>
        </w:rPr>
        <w:t>COLREG</w:t>
      </w:r>
      <w:r>
        <w:rPr>
          <w:rFonts w:hint="eastAsia" w:ascii="宋体" w:hAnsi="宋体" w:cs="宋体"/>
          <w:color w:val="auto"/>
          <w:kern w:val="2"/>
          <w:sz w:val="21"/>
          <w:szCs w:val="24"/>
          <w:highlight w:val="none"/>
          <w:lang w:val="en-US" w:eastAsia="zh-CN" w:bidi="ar-SA"/>
        </w:rPr>
        <w:t>S</w:t>
      </w:r>
      <w:r>
        <w:rPr>
          <w:rFonts w:hint="eastAsia" w:ascii="宋体" w:hAnsi="宋体" w:eastAsia="宋体" w:cs="宋体"/>
          <w:color w:val="auto"/>
          <w:highlight w:val="none"/>
        </w:rPr>
        <w:t>的要求。</w:t>
      </w:r>
      <w:bookmarkEnd w:id="1948"/>
      <w:bookmarkEnd w:id="1949"/>
      <w:bookmarkEnd w:id="1950"/>
      <w:bookmarkEnd w:id="1951"/>
    </w:p>
    <w:p w14:paraId="1E2CCAE8">
      <w:pPr>
        <w:pStyle w:val="260"/>
        <w:outlineLvl w:val="1"/>
        <w:rPr>
          <w:rFonts w:hint="default" w:ascii="Times New Roman" w:hAnsi="Times New Roman" w:cs="Times New Roman"/>
          <w:color w:val="auto"/>
          <w:highlight w:val="none"/>
        </w:rPr>
      </w:pPr>
      <w:bookmarkStart w:id="1952" w:name="_Toc28980"/>
      <w:bookmarkStart w:id="1953" w:name="_Toc12852"/>
      <w:bookmarkStart w:id="1954" w:name="_Toc3435"/>
      <w:bookmarkStart w:id="1955" w:name="_Toc2601"/>
      <w:bookmarkStart w:id="1956" w:name="_Toc9221"/>
      <w:bookmarkStart w:id="1957" w:name="_Toc25802"/>
      <w:bookmarkStart w:id="1958" w:name="_Toc14263"/>
      <w:bookmarkStart w:id="1959" w:name="_Toc19107"/>
      <w:bookmarkStart w:id="1960" w:name="_Toc183727755"/>
      <w:bookmarkStart w:id="1961" w:name="_Toc19148"/>
      <w:r>
        <w:rPr>
          <w:rFonts w:hint="default" w:ascii="Times New Roman" w:hAnsi="Times New Roman" w:cs="Times New Roman"/>
          <w:color w:val="auto"/>
          <w:highlight w:val="none"/>
        </w:rPr>
        <w:t>信号设备的配备</w:t>
      </w:r>
      <w:bookmarkEnd w:id="1952"/>
      <w:bookmarkEnd w:id="1953"/>
      <w:bookmarkEnd w:id="1954"/>
      <w:bookmarkEnd w:id="1955"/>
      <w:bookmarkEnd w:id="1956"/>
      <w:bookmarkEnd w:id="1957"/>
      <w:bookmarkEnd w:id="1958"/>
      <w:bookmarkEnd w:id="1959"/>
      <w:bookmarkEnd w:id="1960"/>
      <w:bookmarkEnd w:id="1961"/>
    </w:p>
    <w:p w14:paraId="47A433D7">
      <w:pPr>
        <w:pStyle w:val="261"/>
        <w:numPr>
          <w:ilvl w:val="-1"/>
          <w:numId w:val="0"/>
        </w:numPr>
        <w:spacing w:before="0" w:beforeLines="0" w:after="0" w:afterLines="0"/>
        <w:ind w:firstLine="420" w:firstLineChars="200"/>
        <w:jc w:val="both"/>
        <w:outlineLvl w:val="9"/>
        <w:rPr>
          <w:rFonts w:hint="eastAsia" w:ascii="宋体" w:hAnsi="宋体" w:eastAsia="宋体" w:cs="宋体"/>
          <w:color w:val="auto"/>
          <w:highlight w:val="none"/>
          <w:lang w:val="en-US" w:eastAsia="zh-CN"/>
        </w:rPr>
      </w:pPr>
      <w:bookmarkStart w:id="1962" w:name="_Toc15433"/>
      <w:bookmarkStart w:id="1963" w:name="_Toc27211"/>
      <w:bookmarkStart w:id="1964" w:name="_Toc17940"/>
      <w:bookmarkStart w:id="1965" w:name="_Toc4919"/>
      <w:r>
        <w:rPr>
          <w:rFonts w:hint="eastAsia" w:ascii="宋体" w:hAnsi="宋体" w:eastAsia="宋体" w:cs="宋体"/>
          <w:color w:val="auto"/>
          <w:highlight w:val="none"/>
          <w:lang w:val="en-US" w:eastAsia="zh-CN"/>
        </w:rPr>
        <w:t>船型</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应按表</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配备信号灯。</w:t>
      </w:r>
      <w:r>
        <w:rPr>
          <w:rFonts w:hint="eastAsia" w:ascii="宋体" w:hAnsi="宋体" w:eastAsia="宋体" w:cs="宋体"/>
          <w:color w:val="auto"/>
          <w:highlight w:val="none"/>
          <w:lang w:val="en-US" w:eastAsia="zh-CN"/>
        </w:rPr>
        <w:t>圆筒型和半潜式应按照表7配置助航标志灯、障碍灯和失控灯。</w:t>
      </w:r>
      <w:bookmarkEnd w:id="1962"/>
      <w:bookmarkEnd w:id="1963"/>
      <w:bookmarkEnd w:id="1964"/>
      <w:bookmarkEnd w:id="1965"/>
    </w:p>
    <w:p w14:paraId="409A23AE">
      <w:pPr>
        <w:pStyle w:val="301"/>
        <w:rPr>
          <w:rFonts w:hint="default" w:ascii="Times New Roman" w:hAnsi="Times New Roman" w:cs="Times New Roman"/>
          <w:color w:val="auto"/>
          <w:highlight w:val="none"/>
        </w:rPr>
      </w:pPr>
      <w:r>
        <w:rPr>
          <w:rFonts w:hint="default" w:ascii="Times New Roman" w:hAnsi="Times New Roman" w:cs="Times New Roman"/>
          <w:color w:val="auto"/>
          <w:highlight w:val="none"/>
        </w:rPr>
        <w:t>信号设备的配备</w:t>
      </w:r>
    </w:p>
    <w:tbl>
      <w:tblPr>
        <w:tblStyle w:val="88"/>
        <w:tblW w:w="3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9"/>
        <w:gridCol w:w="3994"/>
      </w:tblGrid>
      <w:tr w14:paraId="2B01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356" w:type="pct"/>
          </w:tcPr>
          <w:p w14:paraId="31FB20F8">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设备名称</w:t>
            </w:r>
          </w:p>
        </w:tc>
        <w:tc>
          <w:tcPr>
            <w:tcW w:w="2643" w:type="pct"/>
          </w:tcPr>
          <w:p w14:paraId="7E0D6172">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配备数量</w:t>
            </w:r>
          </w:p>
        </w:tc>
      </w:tr>
      <w:tr w14:paraId="121D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356" w:type="pct"/>
          </w:tcPr>
          <w:p w14:paraId="1CDB3B40">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舷灯</w:t>
            </w:r>
          </w:p>
        </w:tc>
        <w:tc>
          <w:tcPr>
            <w:tcW w:w="2643" w:type="pct"/>
          </w:tcPr>
          <w:p w14:paraId="7685B832">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2（左红右绿）</w:t>
            </w:r>
          </w:p>
        </w:tc>
      </w:tr>
      <w:tr w14:paraId="5FF2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356" w:type="pct"/>
          </w:tcPr>
          <w:p w14:paraId="43FB824F">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尾灯</w:t>
            </w:r>
          </w:p>
        </w:tc>
        <w:tc>
          <w:tcPr>
            <w:tcW w:w="2643" w:type="pct"/>
          </w:tcPr>
          <w:p w14:paraId="22081B90">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17B4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356" w:type="pct"/>
          </w:tcPr>
          <w:p w14:paraId="37010E89">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助航标识灯</w:t>
            </w:r>
          </w:p>
        </w:tc>
        <w:tc>
          <w:tcPr>
            <w:tcW w:w="2643" w:type="pct"/>
          </w:tcPr>
          <w:p w14:paraId="3548461F">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1盏或多盏</w:t>
            </w:r>
          </w:p>
        </w:tc>
      </w:tr>
      <w:tr w14:paraId="443BB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2356" w:type="pct"/>
          </w:tcPr>
          <w:p w14:paraId="7B5E6C9A">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障碍灯</w:t>
            </w:r>
          </w:p>
        </w:tc>
        <w:tc>
          <w:tcPr>
            <w:tcW w:w="2643" w:type="pct"/>
          </w:tcPr>
          <w:p w14:paraId="5F951CA2">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在水平和垂直端点安装</w:t>
            </w:r>
          </w:p>
        </w:tc>
      </w:tr>
      <w:tr w14:paraId="1CFC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356" w:type="pct"/>
          </w:tcPr>
          <w:p w14:paraId="78D794BA">
            <w:pPr>
              <w:pStyle w:val="517"/>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失控灯</w:t>
            </w:r>
          </w:p>
        </w:tc>
        <w:tc>
          <w:tcPr>
            <w:tcW w:w="2643" w:type="pct"/>
          </w:tcPr>
          <w:p w14:paraId="60EB7D16">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2盏红色环照灯</w:t>
            </w:r>
          </w:p>
        </w:tc>
      </w:tr>
    </w:tbl>
    <w:p w14:paraId="78E58363">
      <w:pPr>
        <w:pStyle w:val="260"/>
        <w:outlineLvl w:val="1"/>
        <w:rPr>
          <w:rFonts w:hint="default" w:ascii="Times New Roman" w:hAnsi="Times New Roman" w:cs="Times New Roman"/>
          <w:color w:val="auto"/>
          <w:highlight w:val="none"/>
        </w:rPr>
      </w:pPr>
      <w:bookmarkStart w:id="1966" w:name="_Toc24819"/>
      <w:bookmarkStart w:id="1967" w:name="_Toc22580"/>
      <w:bookmarkStart w:id="1968" w:name="_Toc26271"/>
      <w:bookmarkStart w:id="1969" w:name="_Toc13583"/>
      <w:bookmarkStart w:id="1970" w:name="_Toc30280"/>
      <w:bookmarkStart w:id="1971" w:name="_Toc11"/>
      <w:bookmarkStart w:id="1972" w:name="_Toc8245"/>
      <w:bookmarkStart w:id="1973" w:name="_Toc25653"/>
      <w:bookmarkStart w:id="1974" w:name="_Toc25102"/>
      <w:bookmarkStart w:id="1975" w:name="_Toc183727756"/>
      <w:bookmarkStart w:id="1976" w:name="_Toc12630"/>
      <w:r>
        <w:rPr>
          <w:rFonts w:hint="default" w:ascii="Times New Roman" w:hAnsi="Times New Roman" w:cs="Times New Roman"/>
          <w:color w:val="auto"/>
          <w:highlight w:val="none"/>
        </w:rPr>
        <w:t>技术要求</w:t>
      </w:r>
      <w:bookmarkEnd w:id="1966"/>
      <w:bookmarkEnd w:id="1967"/>
      <w:bookmarkEnd w:id="1968"/>
      <w:bookmarkEnd w:id="1969"/>
      <w:bookmarkEnd w:id="1970"/>
      <w:bookmarkEnd w:id="1971"/>
      <w:bookmarkEnd w:id="1972"/>
      <w:bookmarkEnd w:id="1973"/>
      <w:bookmarkEnd w:id="1974"/>
      <w:bookmarkEnd w:id="1975"/>
      <w:bookmarkEnd w:id="1976"/>
    </w:p>
    <w:p w14:paraId="5ED267E5">
      <w:pPr>
        <w:pStyle w:val="261"/>
        <w:spacing w:before="156" w:after="156"/>
        <w:outlineLvl w:val="2"/>
        <w:rPr>
          <w:rFonts w:hint="default" w:ascii="Times New Roman" w:hAnsi="Times New Roman" w:cs="Times New Roman"/>
          <w:color w:val="auto"/>
          <w:highlight w:val="none"/>
        </w:rPr>
      </w:pPr>
      <w:bookmarkStart w:id="1977" w:name="_Toc28768"/>
      <w:bookmarkStart w:id="1978" w:name="_Toc10824"/>
      <w:bookmarkStart w:id="1979" w:name="_Toc3258"/>
      <w:bookmarkStart w:id="1980" w:name="_Toc8498"/>
      <w:bookmarkStart w:id="1981" w:name="_Toc12926"/>
      <w:bookmarkStart w:id="1982" w:name="_Toc28570"/>
      <w:bookmarkStart w:id="1983" w:name="_Toc9757"/>
      <w:r>
        <w:rPr>
          <w:rFonts w:hint="default" w:ascii="Times New Roman" w:hAnsi="Times New Roman" w:cs="Times New Roman"/>
          <w:color w:val="auto"/>
          <w:highlight w:val="none"/>
        </w:rPr>
        <w:t>助航标识灯</w:t>
      </w:r>
      <w:bookmarkEnd w:id="1977"/>
      <w:bookmarkEnd w:id="1978"/>
      <w:bookmarkEnd w:id="1979"/>
      <w:bookmarkEnd w:id="1980"/>
      <w:bookmarkEnd w:id="1981"/>
      <w:bookmarkEnd w:id="1982"/>
      <w:bookmarkEnd w:id="1983"/>
    </w:p>
    <w:p w14:paraId="66DF3966">
      <w:pPr>
        <w:pStyle w:val="290"/>
        <w:spacing w:before="0" w:beforeLines="0" w:after="0" w:afterLines="0"/>
        <w:outlineLvl w:val="9"/>
        <w:rPr>
          <w:rFonts w:hint="eastAsia" w:ascii="宋体" w:hAnsi="宋体" w:eastAsia="宋体" w:cs="宋体"/>
          <w:color w:val="auto"/>
          <w:highlight w:val="none"/>
        </w:rPr>
      </w:pPr>
      <w:bookmarkStart w:id="1984" w:name="_Toc21907"/>
      <w:bookmarkStart w:id="1985" w:name="_Toc19432"/>
      <w:r>
        <w:rPr>
          <w:rFonts w:hint="eastAsia" w:ascii="宋体" w:hAnsi="宋体" w:eastAsia="宋体" w:cs="宋体"/>
          <w:color w:val="auto"/>
          <w:highlight w:val="none"/>
        </w:rPr>
        <w:t>助航标识灯（同步发光）的结构和安装位置应保证航行从任何方向驶近的船舶至少看见</w:t>
      </w:r>
      <w:r>
        <w:rPr>
          <w:rFonts w:hint="eastAsia" w:ascii="宋体" w:hAnsi="宋体" w:eastAsia="宋体" w:cs="宋体"/>
          <w:color w:val="auto"/>
          <w:highlight w:val="none"/>
          <w:lang w:eastAsia="zh-CN"/>
        </w:rPr>
        <w:t>1个</w:t>
      </w:r>
      <w:r>
        <w:rPr>
          <w:rFonts w:hint="eastAsia" w:ascii="宋体" w:hAnsi="宋体" w:eastAsia="宋体" w:cs="宋体"/>
          <w:color w:val="auto"/>
          <w:highlight w:val="none"/>
        </w:rPr>
        <w:t>灯光。</w:t>
      </w:r>
      <w:bookmarkEnd w:id="1984"/>
      <w:bookmarkEnd w:id="1985"/>
    </w:p>
    <w:p w14:paraId="412046C8">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光强和射程</w:t>
      </w:r>
      <w:r>
        <w:rPr>
          <w:rFonts w:hint="eastAsia" w:ascii="宋体" w:hAnsi="宋体" w:eastAsia="宋体" w:cs="宋体"/>
          <w:color w:val="auto"/>
          <w:highlight w:val="none"/>
          <w:lang w:val="en-US" w:eastAsia="zh-CN"/>
        </w:rPr>
        <w:t>应满足以下</w:t>
      </w:r>
      <w:r>
        <w:rPr>
          <w:rFonts w:hint="eastAsia" w:ascii="宋体" w:hAnsi="宋体" w:eastAsia="宋体" w:cs="宋体"/>
          <w:color w:val="auto"/>
          <w:highlight w:val="none"/>
        </w:rPr>
        <w:t>要求</w:t>
      </w:r>
      <w:r>
        <w:rPr>
          <w:rFonts w:hint="eastAsia" w:ascii="宋体" w:hAnsi="宋体" w:eastAsia="宋体" w:cs="宋体"/>
          <w:color w:val="auto"/>
          <w:highlight w:val="none"/>
          <w:lang w:eastAsia="zh-CN"/>
        </w:rPr>
        <w:t>：</w:t>
      </w:r>
    </w:p>
    <w:p w14:paraId="2639083A">
      <w:pPr>
        <w:pStyle w:val="305"/>
        <w:numPr>
          <w:ilvl w:val="0"/>
          <w:numId w:val="107"/>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助航标识灯的最小视光强度为1400 cd，射出光束的垂直分布保证自FPSO近旁至灯光的最大射程可见；</w:t>
      </w:r>
    </w:p>
    <w:p w14:paraId="32C7D03D">
      <w:pPr>
        <w:pStyle w:val="305"/>
        <w:numPr>
          <w:ilvl w:val="0"/>
          <w:numId w:val="107"/>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受背景光影响情况下的灯光射程不小于10n mile，同一海区水中上设置</w:t>
      </w:r>
      <w:r>
        <w:rPr>
          <w:rFonts w:hint="eastAsia" w:hAnsi="宋体" w:cs="宋体"/>
          <w:color w:val="auto"/>
          <w:highlight w:val="none"/>
          <w:lang w:val="en-US" w:eastAsia="zh-CN"/>
        </w:rPr>
        <w:t>2</w:t>
      </w:r>
      <w:r>
        <w:rPr>
          <w:rFonts w:hint="eastAsia" w:ascii="宋体" w:hAnsi="宋体" w:eastAsia="宋体" w:cs="宋体"/>
          <w:color w:val="auto"/>
          <w:highlight w:val="none"/>
          <w:lang w:val="en-US" w:eastAsia="zh-CN"/>
        </w:rPr>
        <w:t>座及以上助航标志时，其射程不低于5n mile。</w:t>
      </w:r>
    </w:p>
    <w:p w14:paraId="17DC63D7">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助航标识灯的闪光特性为莫尔斯信号“U”（</w:t>
      </w:r>
      <w:r>
        <w:rPr>
          <w:rFonts w:hint="eastAsia" w:ascii="宋体" w:hAnsi="宋体" w:eastAsia="宋体" w:cs="宋体"/>
          <w:color w:val="auto"/>
          <w:kern w:val="0"/>
          <w:szCs w:val="21"/>
          <w:highlight w:val="none"/>
        </w:rPr>
        <w:t>··—</w:t>
      </w:r>
      <w:r>
        <w:rPr>
          <w:rFonts w:hint="eastAsia" w:ascii="宋体" w:hAnsi="宋体" w:eastAsia="宋体" w:cs="宋体"/>
          <w:color w:val="auto"/>
          <w:highlight w:val="none"/>
        </w:rPr>
        <w:t xml:space="preserve">），最大周期15 </w:t>
      </w:r>
      <w:r>
        <w:rPr>
          <w:rFonts w:hint="eastAsia" w:ascii="宋体" w:hAnsi="宋体" w:eastAsia="宋体" w:cs="宋体"/>
          <w:color w:val="auto"/>
          <w:highlight w:val="none"/>
          <w:lang w:val="en-US" w:eastAsia="zh-CN"/>
        </w:rPr>
        <w:t>s</w:t>
      </w:r>
      <w:r>
        <w:rPr>
          <w:rFonts w:hint="eastAsia" w:ascii="宋体" w:hAnsi="宋体" w:eastAsia="宋体" w:cs="宋体"/>
          <w:color w:val="auto"/>
          <w:highlight w:val="none"/>
        </w:rPr>
        <w:t>，其莫尔斯信号“U”</w:t>
      </w:r>
      <w:r>
        <w:rPr>
          <w:rFonts w:hint="eastAsia" w:ascii="宋体" w:hAnsi="宋体" w:eastAsia="宋体" w:cs="宋体"/>
          <w:color w:val="auto"/>
          <w:highlight w:val="none"/>
          <w:lang w:eastAsia="zh-CN"/>
        </w:rPr>
        <w:t>应</w:t>
      </w:r>
      <w:r>
        <w:rPr>
          <w:rFonts w:hint="eastAsia" w:ascii="宋体" w:hAnsi="宋体" w:eastAsia="宋体" w:cs="宋体"/>
          <w:color w:val="auto"/>
          <w:highlight w:val="none"/>
        </w:rPr>
        <w:t>符合20.3.</w:t>
      </w:r>
      <w:r>
        <w:rPr>
          <w:rFonts w:hint="eastAsia" w:ascii="宋体" w:hAnsi="宋体" w:eastAsia="宋体" w:cs="宋体"/>
          <w:color w:val="auto"/>
          <w:highlight w:val="none"/>
          <w:lang w:val="en-US" w:eastAsia="zh-CN"/>
        </w:rPr>
        <w:t>4.1</w:t>
      </w:r>
      <w:r>
        <w:rPr>
          <w:rFonts w:hint="eastAsia" w:ascii="宋体" w:hAnsi="宋体" w:eastAsia="宋体" w:cs="宋体"/>
          <w:color w:val="auto"/>
          <w:highlight w:val="none"/>
        </w:rPr>
        <w:t>的要求。</w:t>
      </w:r>
    </w:p>
    <w:p w14:paraId="305A1630">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助航标识灯</w:t>
      </w:r>
      <w:r>
        <w:rPr>
          <w:rFonts w:hint="eastAsia" w:ascii="宋体" w:hAnsi="宋体" w:eastAsia="宋体" w:cs="宋体"/>
          <w:color w:val="auto"/>
          <w:highlight w:val="none"/>
          <w:lang w:val="en-US" w:eastAsia="zh-CN"/>
        </w:rPr>
        <w:t>设置应满足以下</w:t>
      </w:r>
      <w:r>
        <w:rPr>
          <w:rFonts w:hint="eastAsia" w:ascii="宋体" w:hAnsi="宋体" w:eastAsia="宋体" w:cs="宋体"/>
          <w:color w:val="auto"/>
          <w:highlight w:val="none"/>
        </w:rPr>
        <w:t>要求</w:t>
      </w:r>
      <w:r>
        <w:rPr>
          <w:rFonts w:hint="eastAsia" w:ascii="宋体" w:hAnsi="宋体" w:eastAsia="宋体" w:cs="宋体"/>
          <w:color w:val="auto"/>
          <w:highlight w:val="none"/>
          <w:lang w:eastAsia="zh-CN"/>
        </w:rPr>
        <w:t>：</w:t>
      </w:r>
    </w:p>
    <w:p w14:paraId="6E1E7680">
      <w:pPr>
        <w:pStyle w:val="305"/>
        <w:numPr>
          <w:ilvl w:val="0"/>
          <w:numId w:val="10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安装在FPSO的四周；</w:t>
      </w:r>
    </w:p>
    <w:p w14:paraId="12033CEB">
      <w:pPr>
        <w:pStyle w:val="305"/>
        <w:numPr>
          <w:ilvl w:val="0"/>
          <w:numId w:val="10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设置高度在平均大潮高潮面以上6 m</w:t>
      </w:r>
      <w:r>
        <w:rPr>
          <w:rFonts w:hint="eastAsia" w:hAnsi="宋体" w:cs="宋体"/>
          <w:color w:val="auto"/>
          <w:highlight w:val="none"/>
          <w:lang w:val="en-US" w:eastAsia="zh-CN"/>
        </w:rPr>
        <w:t>-</w:t>
      </w:r>
      <w:r>
        <w:rPr>
          <w:rFonts w:hint="eastAsia" w:ascii="宋体" w:hAnsi="宋体" w:eastAsia="宋体" w:cs="宋体"/>
          <w:color w:val="auto"/>
          <w:highlight w:val="none"/>
          <w:lang w:val="en-US" w:eastAsia="zh-CN"/>
        </w:rPr>
        <w:t>30 m；特殊情况下不能安装在该范围内时，在满足灯光射程的要求下，适当调整安装高度。</w:t>
      </w:r>
    </w:p>
    <w:p w14:paraId="0E5A8A45">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应有光源故障报警系统。</w:t>
      </w:r>
    </w:p>
    <w:p w14:paraId="0C7AF23D">
      <w:pPr>
        <w:pStyle w:val="261"/>
        <w:spacing w:before="156" w:after="156"/>
        <w:outlineLvl w:val="2"/>
        <w:rPr>
          <w:rFonts w:hint="default" w:ascii="Times New Roman" w:hAnsi="Times New Roman" w:cs="Times New Roman"/>
          <w:color w:val="auto"/>
          <w:highlight w:val="none"/>
        </w:rPr>
      </w:pPr>
      <w:bookmarkStart w:id="1986" w:name="_Toc26785"/>
      <w:bookmarkStart w:id="1987" w:name="_Toc29513"/>
      <w:bookmarkStart w:id="1988" w:name="_Toc18297"/>
      <w:bookmarkStart w:id="1989" w:name="_Toc9411"/>
      <w:bookmarkStart w:id="1990" w:name="_Toc14255"/>
      <w:bookmarkStart w:id="1991" w:name="_Toc13598"/>
      <w:bookmarkStart w:id="1992" w:name="_Toc12970"/>
      <w:r>
        <w:rPr>
          <w:rFonts w:hint="default" w:ascii="Times New Roman" w:hAnsi="Times New Roman" w:cs="Times New Roman"/>
          <w:color w:val="auto"/>
          <w:highlight w:val="none"/>
        </w:rPr>
        <w:t>障碍灯</w:t>
      </w:r>
      <w:bookmarkEnd w:id="1986"/>
      <w:bookmarkEnd w:id="1987"/>
      <w:bookmarkEnd w:id="1988"/>
      <w:bookmarkEnd w:id="1989"/>
      <w:bookmarkEnd w:id="1990"/>
      <w:bookmarkEnd w:id="1991"/>
      <w:bookmarkEnd w:id="1992"/>
    </w:p>
    <w:p w14:paraId="143C04C0">
      <w:pPr>
        <w:pStyle w:val="290"/>
        <w:spacing w:before="0" w:beforeLines="0" w:after="0" w:afterLines="0"/>
        <w:outlineLvl w:val="9"/>
        <w:rPr>
          <w:rFonts w:hint="eastAsia" w:ascii="宋体" w:hAnsi="宋体" w:eastAsia="宋体" w:cs="宋体"/>
          <w:color w:val="auto"/>
          <w:highlight w:val="none"/>
        </w:rPr>
      </w:pPr>
      <w:r>
        <w:rPr>
          <w:rFonts w:hint="default" w:ascii="Times New Roman" w:hAnsi="Times New Roman" w:eastAsia="宋体" w:cs="Times New Roman"/>
          <w:color w:val="auto"/>
          <w:highlight w:val="none"/>
        </w:rPr>
        <w:t>在直升机障</w:t>
      </w:r>
      <w:r>
        <w:rPr>
          <w:rFonts w:hint="eastAsia" w:ascii="宋体" w:hAnsi="宋体" w:eastAsia="宋体" w:cs="宋体"/>
          <w:color w:val="auto"/>
          <w:highlight w:val="none"/>
        </w:rPr>
        <w:t>碍限制区，高出着陆区15</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m以上的物体，应安装发光强度为25.48～203.8</w:t>
      </w:r>
      <w:r>
        <w:rPr>
          <w:rFonts w:hint="eastAsia" w:ascii="宋体" w:hAnsi="宋体" w:eastAsia="宋体" w:cs="宋体"/>
          <w:color w:val="auto"/>
          <w:highlight w:val="none"/>
          <w:lang w:val="en-US" w:eastAsia="zh-CN"/>
        </w:rPr>
        <w:t xml:space="preserve"> cd</w:t>
      </w:r>
      <w:r>
        <w:rPr>
          <w:rFonts w:hint="eastAsia" w:ascii="宋体" w:hAnsi="宋体" w:eastAsia="宋体" w:cs="宋体"/>
          <w:color w:val="auto"/>
          <w:highlight w:val="none"/>
        </w:rPr>
        <w:t>的全方向红</w:t>
      </w:r>
      <w:r>
        <w:rPr>
          <w:rFonts w:hint="eastAsia" w:ascii="宋体" w:hAnsi="宋体" w:eastAsia="宋体" w:cs="宋体"/>
          <w:color w:val="auto"/>
          <w:highlight w:val="none"/>
          <w:lang w:val="en-US" w:eastAsia="zh-CN"/>
        </w:rPr>
        <w:t>色障碍</w:t>
      </w:r>
      <w:r>
        <w:rPr>
          <w:rFonts w:hint="eastAsia" w:ascii="宋体" w:hAnsi="宋体" w:eastAsia="宋体" w:cs="宋体"/>
          <w:color w:val="auto"/>
          <w:highlight w:val="none"/>
        </w:rPr>
        <w:t>灯，红色障碍灯在10m的间隔内应保持相同的强度。</w:t>
      </w:r>
    </w:p>
    <w:p w14:paraId="7F0943C5">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应符合A型低光强障碍灯要求，最小发光强度为10 cd。</w:t>
      </w:r>
    </w:p>
    <w:p w14:paraId="52C5FBF1">
      <w:pPr>
        <w:pStyle w:val="290"/>
        <w:spacing w:before="0" w:beforeLines="0" w:after="0" w:afterLines="0"/>
        <w:outlineLvl w:val="9"/>
        <w:rPr>
          <w:rFonts w:hint="default" w:ascii="Times New Roman" w:hAnsi="Times New Roman" w:cs="Times New Roman" w:eastAsiaTheme="minorEastAsia"/>
          <w:color w:val="auto"/>
          <w:highlight w:val="none"/>
        </w:rPr>
      </w:pPr>
      <w:r>
        <w:rPr>
          <w:rFonts w:hint="eastAsia" w:ascii="宋体" w:hAnsi="宋体" w:eastAsia="宋体" w:cs="宋体"/>
          <w:color w:val="auto"/>
          <w:highlight w:val="none"/>
        </w:rPr>
        <w:t>应采用防水型灯具，其灯头应具有防止灯泡自行松脱的结构</w:t>
      </w:r>
      <w:r>
        <w:rPr>
          <w:rFonts w:hint="default" w:ascii="Times New Roman" w:hAnsi="Times New Roman" w:cs="Times New Roman" w:eastAsiaTheme="minorEastAsia"/>
          <w:color w:val="auto"/>
          <w:highlight w:val="none"/>
        </w:rPr>
        <w:t>。</w:t>
      </w:r>
    </w:p>
    <w:p w14:paraId="1B8CA8E7">
      <w:pPr>
        <w:pStyle w:val="261"/>
        <w:spacing w:before="156" w:after="156"/>
        <w:outlineLvl w:val="2"/>
        <w:rPr>
          <w:rFonts w:hint="default" w:ascii="Times New Roman" w:hAnsi="Times New Roman" w:cs="Times New Roman"/>
          <w:color w:val="auto"/>
          <w:highlight w:val="none"/>
        </w:rPr>
      </w:pPr>
      <w:bookmarkStart w:id="1993" w:name="_Toc27175"/>
      <w:bookmarkStart w:id="1994" w:name="_Toc31103"/>
      <w:bookmarkStart w:id="1995" w:name="_Toc29209"/>
      <w:bookmarkStart w:id="1996" w:name="_Toc27727"/>
      <w:bookmarkStart w:id="1997" w:name="_Toc3519"/>
      <w:bookmarkStart w:id="1998" w:name="_Toc17439"/>
      <w:bookmarkStart w:id="1999" w:name="_Toc20496"/>
      <w:r>
        <w:rPr>
          <w:rFonts w:hint="default" w:ascii="Times New Roman" w:hAnsi="Times New Roman" w:cs="Times New Roman"/>
          <w:color w:val="auto"/>
          <w:highlight w:val="none"/>
        </w:rPr>
        <w:t>雾笛</w:t>
      </w:r>
      <w:bookmarkEnd w:id="1993"/>
      <w:bookmarkEnd w:id="1994"/>
      <w:bookmarkEnd w:id="1995"/>
      <w:bookmarkEnd w:id="1996"/>
      <w:bookmarkEnd w:id="1997"/>
      <w:bookmarkEnd w:id="1998"/>
      <w:bookmarkEnd w:id="1999"/>
    </w:p>
    <w:p w14:paraId="1CAD4CDA">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主雾笛在任何方向的一般听程应</w:t>
      </w:r>
      <w:r>
        <w:rPr>
          <w:rFonts w:hint="eastAsia" w:ascii="宋体" w:hAnsi="宋体" w:eastAsia="宋体" w:cs="宋体"/>
          <w:color w:val="auto"/>
          <w:highlight w:val="none"/>
          <w:lang w:val="en-US" w:eastAsia="zh-CN"/>
        </w:rPr>
        <w:t>不小于</w:t>
      </w:r>
      <w:r>
        <w:rPr>
          <w:rFonts w:hint="eastAsia" w:ascii="宋体" w:hAnsi="宋体" w:eastAsia="宋体" w:cs="宋体"/>
          <w:color w:val="auto"/>
          <w:highlight w:val="none"/>
        </w:rPr>
        <w:t>2 n mile。备用雾笛在任何方向的听程应</w:t>
      </w:r>
      <w:r>
        <w:rPr>
          <w:rFonts w:hint="eastAsia" w:ascii="宋体" w:hAnsi="宋体" w:eastAsia="宋体" w:cs="宋体"/>
          <w:color w:val="auto"/>
          <w:highlight w:val="none"/>
          <w:lang w:val="en-US" w:eastAsia="zh-CN"/>
        </w:rPr>
        <w:t>不小于</w:t>
      </w:r>
      <w:r>
        <w:rPr>
          <w:rFonts w:hint="eastAsia" w:ascii="宋体" w:hAnsi="宋体" w:eastAsia="宋体" w:cs="宋体"/>
          <w:color w:val="auto"/>
          <w:highlight w:val="none"/>
        </w:rPr>
        <w:t>0.5 n mile。</w:t>
      </w:r>
    </w:p>
    <w:p w14:paraId="7948FD28">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主雾笛及备用雾笛的音响节奏特征</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为莫尔斯信号“U”（··—），最大周期为30</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s。</w:t>
      </w:r>
    </w:p>
    <w:p w14:paraId="6AA344F5">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rPr>
        <w:t>音响信号安装高度应在平均大潮高潮面以上6 m</w:t>
      </w:r>
      <w:r>
        <w:rPr>
          <w:rFonts w:hint="default" w:ascii="Times New Roman" w:hAnsi="Times New Roman" w:eastAsia="宋体" w:cs="Times New Roman"/>
          <w:color w:val="auto"/>
          <w:highlight w:val="none"/>
        </w:rPr>
        <w:t>~</w:t>
      </w:r>
      <w:r>
        <w:rPr>
          <w:rFonts w:hint="eastAsia" w:ascii="宋体" w:hAnsi="宋体" w:eastAsia="宋体" w:cs="宋体"/>
          <w:color w:val="auto"/>
          <w:highlight w:val="none"/>
        </w:rPr>
        <w:t>30 m。</w:t>
      </w:r>
    </w:p>
    <w:p w14:paraId="318CB98B">
      <w:pPr>
        <w:pStyle w:val="290"/>
        <w:spacing w:before="0" w:beforeLines="0" w:after="0" w:afterLines="0"/>
        <w:outlineLvl w:val="9"/>
        <w:rPr>
          <w:rFonts w:hint="default" w:ascii="Times New Roman" w:hAnsi="Times New Roman" w:cs="Times New Roman" w:eastAsiaTheme="minorEastAsia"/>
          <w:color w:val="auto"/>
          <w:highlight w:val="none"/>
        </w:rPr>
      </w:pPr>
      <w:r>
        <w:rPr>
          <w:rFonts w:hint="default" w:ascii="Times New Roman" w:hAnsi="Times New Roman" w:eastAsia="宋体" w:cs="Times New Roman"/>
          <w:color w:val="auto"/>
          <w:highlight w:val="none"/>
        </w:rPr>
        <w:t>雾笛控制设备应满足手动停止鸣放雾号</w:t>
      </w:r>
      <w:r>
        <w:rPr>
          <w:rFonts w:hint="eastAsia" w:ascii="Times New Roman" w:hAnsi="Times New Roman" w:eastAsia="宋体" w:cs="Times New Roman"/>
          <w:color w:val="auto"/>
          <w:highlight w:val="none"/>
          <w:lang w:eastAsia="zh-CN"/>
        </w:rPr>
        <w:t>、</w:t>
      </w:r>
      <w:r>
        <w:rPr>
          <w:rFonts w:hint="default" w:ascii="Times New Roman" w:hAnsi="Times New Roman" w:eastAsia="宋体" w:cs="Times New Roman"/>
          <w:color w:val="auto"/>
          <w:highlight w:val="none"/>
        </w:rPr>
        <w:t>手控鸣号以及故障报警的要求</w:t>
      </w:r>
      <w:r>
        <w:rPr>
          <w:rFonts w:hint="default" w:ascii="Times New Roman" w:hAnsi="Times New Roman" w:cs="Times New Roman" w:eastAsiaTheme="minorEastAsia"/>
          <w:color w:val="auto"/>
          <w:highlight w:val="none"/>
        </w:rPr>
        <w:t>。</w:t>
      </w:r>
    </w:p>
    <w:p w14:paraId="3DD3DA2A">
      <w:pPr>
        <w:pStyle w:val="261"/>
        <w:spacing w:before="156" w:after="156"/>
        <w:outlineLvl w:val="2"/>
        <w:rPr>
          <w:rFonts w:hint="default" w:ascii="Times New Roman" w:hAnsi="Times New Roman" w:cs="Times New Roman"/>
          <w:color w:val="auto"/>
          <w:highlight w:val="none"/>
        </w:rPr>
      </w:pPr>
      <w:bookmarkStart w:id="2000" w:name="_Toc15966"/>
      <w:bookmarkStart w:id="2001" w:name="_Toc22778"/>
      <w:bookmarkStart w:id="2002" w:name="_Toc30114"/>
      <w:bookmarkStart w:id="2003" w:name="_Toc16742"/>
      <w:bookmarkStart w:id="2004" w:name="_Toc2624"/>
      <w:bookmarkStart w:id="2005" w:name="_Toc2993"/>
      <w:bookmarkStart w:id="2006" w:name="_Toc17874"/>
      <w:r>
        <w:rPr>
          <w:rFonts w:hint="default" w:ascii="Times New Roman" w:hAnsi="Times New Roman" w:cs="Times New Roman"/>
          <w:color w:val="auto"/>
          <w:highlight w:val="none"/>
        </w:rPr>
        <w:t>灯光信号和音响信号的技术性能</w:t>
      </w:r>
      <w:bookmarkEnd w:id="2000"/>
      <w:bookmarkEnd w:id="2001"/>
      <w:bookmarkEnd w:id="2002"/>
      <w:bookmarkEnd w:id="2003"/>
      <w:bookmarkEnd w:id="2004"/>
      <w:bookmarkEnd w:id="2005"/>
      <w:bookmarkEnd w:id="2006"/>
    </w:p>
    <w:p w14:paraId="28D0DF73">
      <w:pPr>
        <w:pStyle w:val="290"/>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灯光信号和音响信号的技</w:t>
      </w:r>
      <w:r>
        <w:rPr>
          <w:rFonts w:hint="eastAsia" w:ascii="宋体" w:hAnsi="宋体" w:eastAsia="宋体" w:cs="宋体"/>
          <w:color w:val="auto"/>
          <w:highlight w:val="none"/>
        </w:rPr>
        <w:t>术性能应满</w:t>
      </w:r>
      <w:r>
        <w:rPr>
          <w:rFonts w:hint="eastAsia" w:ascii="宋体" w:hAnsi="宋体" w:eastAsia="宋体" w:cs="宋体"/>
          <w:color w:val="auto"/>
          <w:highlight w:val="none"/>
          <w:lang w:val="en-US" w:eastAsia="zh-CN"/>
        </w:rPr>
        <w:t>足表8和表9的</w:t>
      </w:r>
      <w:r>
        <w:rPr>
          <w:rFonts w:hint="eastAsia" w:ascii="宋体" w:hAnsi="宋体" w:eastAsia="宋体" w:cs="宋体"/>
          <w:color w:val="auto"/>
          <w:highlight w:val="none"/>
        </w:rPr>
        <w:t>要求：</w:t>
      </w:r>
    </w:p>
    <w:p w14:paraId="4D74D35D">
      <w:pPr>
        <w:pStyle w:val="301"/>
        <w:rPr>
          <w:rFonts w:hint="default" w:ascii="Times New Roman" w:hAnsi="Times New Roman" w:cs="Times New Roman"/>
          <w:color w:val="auto"/>
          <w:highlight w:val="none"/>
        </w:rPr>
      </w:pPr>
      <w:bookmarkStart w:id="2007" w:name="_Toc16781"/>
      <w:bookmarkStart w:id="2008" w:name="_Toc29680"/>
      <w:bookmarkStart w:id="2009" w:name="_Toc3296"/>
      <w:bookmarkStart w:id="2010" w:name="_Toc23361"/>
      <w:bookmarkStart w:id="2011" w:name="_Toc24389"/>
      <w:bookmarkStart w:id="2012" w:name="_Toc32198"/>
      <w:bookmarkStart w:id="2013" w:name="_Toc23821"/>
      <w:r>
        <w:rPr>
          <w:rFonts w:hint="default" w:ascii="Times New Roman" w:hAnsi="Times New Roman" w:cs="Times New Roman"/>
          <w:color w:val="auto"/>
          <w:highlight w:val="none"/>
        </w:rPr>
        <w:t>灯光的</w:t>
      </w:r>
      <w:r>
        <w:rPr>
          <w:rFonts w:hint="eastAsia" w:ascii="Times New Roman" w:cs="Times New Roman"/>
          <w:color w:val="auto"/>
          <w:highlight w:val="none"/>
          <w:lang w:val="en-US" w:eastAsia="zh-CN"/>
        </w:rPr>
        <w:t>莫</w:t>
      </w:r>
      <w:r>
        <w:rPr>
          <w:rFonts w:hint="default" w:ascii="Times New Roman" w:hAnsi="Times New Roman" w:cs="Times New Roman"/>
          <w:color w:val="auto"/>
          <w:highlight w:val="none"/>
        </w:rPr>
        <w:t>尔斯信号</w:t>
      </w:r>
    </w:p>
    <w:p w14:paraId="639B3C2C">
      <w:pPr>
        <w:widowControl/>
        <w:adjustRightInd w:val="0"/>
        <w:snapToGrid w:val="0"/>
        <w:spacing w:line="240" w:lineRule="atLeast"/>
        <w:jc w:val="right"/>
        <w:rPr>
          <w:rFonts w:ascii="宋体" w:hAnsi="宋体" w:cs="宋体"/>
          <w:kern w:val="0"/>
          <w:sz w:val="18"/>
          <w:szCs w:val="18"/>
        </w:rPr>
      </w:pPr>
      <w:r>
        <w:rPr>
          <w:rFonts w:ascii="宋体" w:hAnsi="宋体" w:cs="宋体"/>
          <w:kern w:val="0"/>
          <w:sz w:val="18"/>
          <w:szCs w:val="18"/>
        </w:rPr>
        <w:t>单位</w:t>
      </w:r>
      <w:r>
        <w:rPr>
          <w:rFonts w:hint="eastAsia" w:ascii="宋体" w:hAnsi="宋体" w:cs="宋体"/>
          <w:kern w:val="0"/>
          <w:sz w:val="18"/>
          <w:szCs w:val="18"/>
          <w:lang w:val="en-US" w:eastAsia="zh-CN"/>
        </w:rPr>
        <w:t>为</w:t>
      </w:r>
      <w:r>
        <w:rPr>
          <w:rFonts w:hint="eastAsia" w:ascii="宋体" w:hAnsi="宋体" w:cs="宋体"/>
          <w:kern w:val="0"/>
          <w:sz w:val="18"/>
          <w:szCs w:val="18"/>
        </w:rPr>
        <w:t>秒</w:t>
      </w:r>
    </w:p>
    <w:tbl>
      <w:tblPr>
        <w:tblStyle w:val="88"/>
        <w:tblW w:w="0" w:type="auto"/>
        <w:tblInd w:w="108" w:type="dxa"/>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Layout w:type="fixed"/>
        <w:tblCellMar>
          <w:top w:w="0" w:type="dxa"/>
          <w:left w:w="108" w:type="dxa"/>
          <w:bottom w:w="0" w:type="dxa"/>
          <w:right w:w="108" w:type="dxa"/>
        </w:tblCellMar>
      </w:tblPr>
      <w:tblGrid>
        <w:gridCol w:w="4677"/>
        <w:gridCol w:w="4679"/>
      </w:tblGrid>
      <w:tr w14:paraId="50B2610A">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454" w:hRule="atLeast"/>
        </w:trPr>
        <w:tc>
          <w:tcPr>
            <w:tcW w:w="4677" w:type="dxa"/>
            <w:tcBorders>
              <w:top w:val="single" w:color="000000" w:sz="6" w:space="0"/>
              <w:bottom w:val="single" w:color="000000" w:sz="6" w:space="0"/>
            </w:tcBorders>
            <w:vAlign w:val="center"/>
          </w:tcPr>
          <w:p w14:paraId="0E72141D">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信号</w:t>
            </w:r>
          </w:p>
        </w:tc>
        <w:tc>
          <w:tcPr>
            <w:tcW w:w="4679" w:type="dxa"/>
            <w:tcBorders>
              <w:top w:val="single" w:color="000000" w:sz="6" w:space="0"/>
              <w:bottom w:val="single" w:color="000000" w:sz="6" w:space="0"/>
            </w:tcBorders>
            <w:vAlign w:val="center"/>
          </w:tcPr>
          <w:p w14:paraId="17910BDA">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时间</w:t>
            </w:r>
          </w:p>
        </w:tc>
      </w:tr>
      <w:tr w14:paraId="43E6B66F">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tcBorders>
              <w:top w:val="single" w:color="000000" w:sz="6" w:space="0"/>
            </w:tcBorders>
            <w:vAlign w:val="center"/>
          </w:tcPr>
          <w:p w14:paraId="3500CA47">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短明（点）</w:t>
            </w:r>
          </w:p>
        </w:tc>
        <w:tc>
          <w:tcPr>
            <w:tcW w:w="4679" w:type="dxa"/>
            <w:tcBorders>
              <w:top w:val="single" w:color="000000" w:sz="6" w:space="0"/>
            </w:tcBorders>
            <w:vAlign w:val="center"/>
          </w:tcPr>
          <w:p w14:paraId="378551C3">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0.5</w:t>
            </w:r>
          </w:p>
        </w:tc>
      </w:tr>
      <w:tr w14:paraId="43710D5C">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45BEF2CF">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喑</w:t>
            </w:r>
          </w:p>
        </w:tc>
        <w:tc>
          <w:tcPr>
            <w:tcW w:w="4679" w:type="dxa"/>
            <w:vAlign w:val="center"/>
          </w:tcPr>
          <w:p w14:paraId="4ACD27FB">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0.5</w:t>
            </w:r>
          </w:p>
        </w:tc>
      </w:tr>
      <w:tr w14:paraId="4E2A00E1">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130F5905">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短明（点）</w:t>
            </w:r>
          </w:p>
        </w:tc>
        <w:tc>
          <w:tcPr>
            <w:tcW w:w="4679" w:type="dxa"/>
            <w:vAlign w:val="center"/>
          </w:tcPr>
          <w:p w14:paraId="6C59D9DE">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0.5</w:t>
            </w:r>
          </w:p>
        </w:tc>
      </w:tr>
      <w:tr w14:paraId="74F4966C">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1BCFAD57">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喑</w:t>
            </w:r>
          </w:p>
        </w:tc>
        <w:tc>
          <w:tcPr>
            <w:tcW w:w="4679" w:type="dxa"/>
            <w:vAlign w:val="center"/>
          </w:tcPr>
          <w:p w14:paraId="4BEC267C">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0.5</w:t>
            </w:r>
          </w:p>
        </w:tc>
      </w:tr>
      <w:tr w14:paraId="5E113633">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72BE042E">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长明（划）</w:t>
            </w:r>
          </w:p>
        </w:tc>
        <w:tc>
          <w:tcPr>
            <w:tcW w:w="4679" w:type="dxa"/>
            <w:vAlign w:val="center"/>
          </w:tcPr>
          <w:p w14:paraId="20F3AED8">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1.5</w:t>
            </w:r>
          </w:p>
        </w:tc>
      </w:tr>
      <w:tr w14:paraId="7114D76D">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3833D19E">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停</w:t>
            </w:r>
          </w:p>
        </w:tc>
        <w:tc>
          <w:tcPr>
            <w:tcW w:w="4679" w:type="dxa"/>
            <w:vAlign w:val="center"/>
          </w:tcPr>
          <w:p w14:paraId="3D98FF73">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8.5或11.5</w:t>
            </w:r>
          </w:p>
        </w:tc>
      </w:tr>
      <w:tr w14:paraId="5038FED6">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38F0ED7B">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灯光周期</w:t>
            </w:r>
          </w:p>
        </w:tc>
        <w:tc>
          <w:tcPr>
            <w:tcW w:w="4679" w:type="dxa"/>
            <w:vAlign w:val="center"/>
          </w:tcPr>
          <w:p w14:paraId="34D9DE96">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12或15</w:t>
            </w:r>
          </w:p>
        </w:tc>
      </w:tr>
    </w:tbl>
    <w:p w14:paraId="261D1DE4">
      <w:pPr>
        <w:pStyle w:val="301"/>
        <w:rPr>
          <w:rFonts w:hint="default" w:ascii="Times New Roman" w:hAnsi="Times New Roman" w:cs="Times New Roman"/>
          <w:color w:val="auto"/>
          <w:highlight w:val="none"/>
        </w:rPr>
      </w:pPr>
      <w:r>
        <w:rPr>
          <w:rFonts w:hint="default" w:ascii="Times New Roman" w:hAnsi="Times New Roman" w:cs="Times New Roman"/>
          <w:color w:val="auto"/>
          <w:highlight w:val="none"/>
        </w:rPr>
        <w:t>音响的摩尔斯信号</w:t>
      </w:r>
    </w:p>
    <w:p w14:paraId="5AFACD6F">
      <w:pPr>
        <w:widowControl/>
        <w:adjustRightInd w:val="0"/>
        <w:snapToGrid w:val="0"/>
        <w:spacing w:line="240" w:lineRule="atLeast"/>
        <w:jc w:val="right"/>
        <w:rPr>
          <w:rFonts w:ascii="宋体" w:hAnsi="宋体" w:cs="宋体"/>
          <w:kern w:val="0"/>
          <w:sz w:val="18"/>
          <w:szCs w:val="18"/>
        </w:rPr>
      </w:pPr>
      <w:r>
        <w:rPr>
          <w:rFonts w:ascii="宋体" w:hAnsi="宋体" w:cs="宋体"/>
          <w:kern w:val="0"/>
          <w:sz w:val="18"/>
          <w:szCs w:val="18"/>
        </w:rPr>
        <w:t>单位</w:t>
      </w:r>
      <w:r>
        <w:rPr>
          <w:rFonts w:hint="eastAsia" w:ascii="宋体" w:hAnsi="宋体" w:cs="宋体"/>
          <w:kern w:val="0"/>
          <w:sz w:val="18"/>
          <w:szCs w:val="18"/>
          <w:lang w:val="en-US" w:eastAsia="zh-CN"/>
        </w:rPr>
        <w:t>为</w:t>
      </w:r>
      <w:r>
        <w:rPr>
          <w:rFonts w:hint="eastAsia" w:ascii="宋体" w:hAnsi="宋体" w:cs="宋体"/>
          <w:kern w:val="0"/>
          <w:sz w:val="18"/>
          <w:szCs w:val="18"/>
        </w:rPr>
        <w:t>秒</w:t>
      </w:r>
    </w:p>
    <w:tbl>
      <w:tblPr>
        <w:tblStyle w:val="88"/>
        <w:tblW w:w="0" w:type="auto"/>
        <w:tblInd w:w="108" w:type="dxa"/>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Layout w:type="fixed"/>
        <w:tblCellMar>
          <w:top w:w="0" w:type="dxa"/>
          <w:left w:w="108" w:type="dxa"/>
          <w:bottom w:w="0" w:type="dxa"/>
          <w:right w:w="108" w:type="dxa"/>
        </w:tblCellMar>
      </w:tblPr>
      <w:tblGrid>
        <w:gridCol w:w="4677"/>
        <w:gridCol w:w="4679"/>
      </w:tblGrid>
      <w:tr w14:paraId="34440E79">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454" w:hRule="atLeast"/>
        </w:trPr>
        <w:tc>
          <w:tcPr>
            <w:tcW w:w="4677" w:type="dxa"/>
            <w:tcBorders>
              <w:top w:val="single" w:color="000000" w:sz="6" w:space="0"/>
              <w:bottom w:val="single" w:color="000000" w:sz="6" w:space="0"/>
            </w:tcBorders>
            <w:vAlign w:val="center"/>
          </w:tcPr>
          <w:p w14:paraId="3474C5C9">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信号</w:t>
            </w:r>
          </w:p>
        </w:tc>
        <w:tc>
          <w:tcPr>
            <w:tcW w:w="4679" w:type="dxa"/>
            <w:tcBorders>
              <w:top w:val="single" w:color="000000" w:sz="6" w:space="0"/>
              <w:bottom w:val="single" w:color="000000" w:sz="6" w:space="0"/>
            </w:tcBorders>
            <w:vAlign w:val="center"/>
          </w:tcPr>
          <w:p w14:paraId="797E6AE2">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时间</w:t>
            </w:r>
          </w:p>
        </w:tc>
      </w:tr>
      <w:tr w14:paraId="5FA7BF93">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tcBorders>
              <w:top w:val="single" w:color="000000" w:sz="6" w:space="0"/>
            </w:tcBorders>
            <w:vAlign w:val="center"/>
          </w:tcPr>
          <w:p w14:paraId="6D892942">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短鸣</w:t>
            </w:r>
          </w:p>
        </w:tc>
        <w:tc>
          <w:tcPr>
            <w:tcW w:w="4679" w:type="dxa"/>
            <w:tcBorders>
              <w:top w:val="single" w:color="000000" w:sz="6" w:space="0"/>
            </w:tcBorders>
            <w:vAlign w:val="center"/>
          </w:tcPr>
          <w:p w14:paraId="17F0851E">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1</w:t>
            </w:r>
          </w:p>
        </w:tc>
      </w:tr>
      <w:tr w14:paraId="4430FBA0">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062F9B3C">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停</w:t>
            </w:r>
          </w:p>
        </w:tc>
        <w:tc>
          <w:tcPr>
            <w:tcW w:w="4679" w:type="dxa"/>
            <w:vAlign w:val="center"/>
          </w:tcPr>
          <w:p w14:paraId="260781BF">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1</w:t>
            </w:r>
          </w:p>
        </w:tc>
      </w:tr>
      <w:tr w14:paraId="63A11918">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73109051">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短鸣</w:t>
            </w:r>
          </w:p>
        </w:tc>
        <w:tc>
          <w:tcPr>
            <w:tcW w:w="4679" w:type="dxa"/>
            <w:vAlign w:val="center"/>
          </w:tcPr>
          <w:p w14:paraId="641B11C7">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1</w:t>
            </w:r>
          </w:p>
        </w:tc>
      </w:tr>
      <w:tr w14:paraId="3C6613FA">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5B7F94AC">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停</w:t>
            </w:r>
          </w:p>
        </w:tc>
        <w:tc>
          <w:tcPr>
            <w:tcW w:w="4679" w:type="dxa"/>
            <w:vAlign w:val="center"/>
          </w:tcPr>
          <w:p w14:paraId="7BF1D6E6">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1</w:t>
            </w:r>
          </w:p>
        </w:tc>
      </w:tr>
      <w:tr w14:paraId="69D8BD94">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534404D5">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长鸣</w:t>
            </w:r>
          </w:p>
        </w:tc>
        <w:tc>
          <w:tcPr>
            <w:tcW w:w="4679" w:type="dxa"/>
            <w:vAlign w:val="center"/>
          </w:tcPr>
          <w:p w14:paraId="116E5162">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3</w:t>
            </w:r>
          </w:p>
        </w:tc>
      </w:tr>
      <w:tr w14:paraId="0C948FCB">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08896357">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长停</w:t>
            </w:r>
          </w:p>
        </w:tc>
        <w:tc>
          <w:tcPr>
            <w:tcW w:w="4679" w:type="dxa"/>
            <w:vAlign w:val="center"/>
          </w:tcPr>
          <w:p w14:paraId="1E402B25">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23</w:t>
            </w:r>
          </w:p>
        </w:tc>
      </w:tr>
      <w:tr w14:paraId="20C18AD4">
        <w:tblPrEx>
          <w:tblBorders>
            <w:top w:val="single" w:color="000000" w:sz="6" w:space="0"/>
            <w:left w:val="single" w:color="000000" w:sz="6" w:space="0"/>
            <w:bottom w:val="single" w:color="000000" w:sz="6" w:space="0"/>
            <w:right w:val="single" w:color="000000" w:sz="6" w:space="0"/>
            <w:insideH w:val="single" w:color="000000" w:sz="2" w:space="0"/>
            <w:insideV w:val="single" w:color="000000" w:sz="2" w:space="0"/>
          </w:tblBorders>
          <w:tblCellMar>
            <w:top w:w="0" w:type="dxa"/>
            <w:left w:w="108" w:type="dxa"/>
            <w:bottom w:w="0" w:type="dxa"/>
            <w:right w:w="108" w:type="dxa"/>
          </w:tblCellMar>
        </w:tblPrEx>
        <w:trPr>
          <w:trHeight w:val="284" w:hRule="atLeast"/>
        </w:trPr>
        <w:tc>
          <w:tcPr>
            <w:tcW w:w="4677" w:type="dxa"/>
            <w:vAlign w:val="center"/>
          </w:tcPr>
          <w:p w14:paraId="10A0EE56">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周期</w:t>
            </w:r>
          </w:p>
        </w:tc>
        <w:tc>
          <w:tcPr>
            <w:tcW w:w="4679" w:type="dxa"/>
            <w:vAlign w:val="center"/>
          </w:tcPr>
          <w:p w14:paraId="6154ED73">
            <w:pPr>
              <w:widowControl/>
              <w:adjustRightInd w:val="0"/>
              <w:snapToGrid w:val="0"/>
              <w:spacing w:line="240" w:lineRule="atLeast"/>
              <w:jc w:val="center"/>
              <w:rPr>
                <w:rFonts w:ascii="宋体" w:hAnsi="宋体" w:cs="宋体"/>
                <w:kern w:val="0"/>
                <w:sz w:val="18"/>
                <w:szCs w:val="18"/>
              </w:rPr>
            </w:pPr>
            <w:r>
              <w:rPr>
                <w:rFonts w:ascii="宋体" w:hAnsi="宋体" w:cs="宋体"/>
                <w:kern w:val="0"/>
                <w:sz w:val="18"/>
                <w:szCs w:val="18"/>
              </w:rPr>
              <w:t>30</w:t>
            </w:r>
          </w:p>
        </w:tc>
      </w:tr>
    </w:tbl>
    <w:p w14:paraId="7976687A">
      <w:pPr>
        <w:pStyle w:val="261"/>
        <w:spacing w:before="156" w:after="156"/>
        <w:outlineLvl w:val="2"/>
        <w:rPr>
          <w:rFonts w:hint="default" w:ascii="Times New Roman" w:hAnsi="Times New Roman" w:cs="Times New Roman"/>
          <w:color w:val="auto"/>
          <w:highlight w:val="none"/>
        </w:rPr>
      </w:pPr>
      <w:r>
        <w:rPr>
          <w:rFonts w:hint="default" w:ascii="Times New Roman" w:hAnsi="Times New Roman" w:cs="Times New Roman"/>
          <w:color w:val="auto"/>
          <w:highlight w:val="none"/>
        </w:rPr>
        <w:t>供电电源要求</w:t>
      </w:r>
      <w:bookmarkEnd w:id="2007"/>
      <w:bookmarkEnd w:id="2008"/>
      <w:bookmarkEnd w:id="2009"/>
      <w:bookmarkEnd w:id="2010"/>
      <w:bookmarkEnd w:id="2011"/>
      <w:bookmarkEnd w:id="2012"/>
      <w:bookmarkEnd w:id="2013"/>
    </w:p>
    <w:p w14:paraId="60D48D38">
      <w:pPr>
        <w:ind w:firstLine="420" w:firstLineChars="200"/>
        <w:rPr>
          <w:rFonts w:hint="eastAsia" w:ascii="宋体" w:hAnsi="宋体" w:eastAsia="宋体" w:cs="宋体"/>
          <w:color w:val="auto"/>
          <w:highlight w:val="none"/>
        </w:rPr>
      </w:pPr>
      <w:r>
        <w:rPr>
          <w:rFonts w:hint="default" w:ascii="Times New Roman" w:hAnsi="Times New Roman" w:eastAsia="宋体" w:cs="Times New Roman"/>
          <w:color w:val="auto"/>
          <w:highlight w:val="none"/>
        </w:rPr>
        <w:t>当供给助航标志与信号设备的主电源发生故障时，应自动地切换至应急电源</w:t>
      </w:r>
      <w:r>
        <w:rPr>
          <w:rFonts w:hint="eastAsia" w:ascii="宋体" w:hAnsi="宋体" w:eastAsia="宋体" w:cs="宋体"/>
          <w:color w:val="auto"/>
          <w:highlight w:val="none"/>
        </w:rPr>
        <w:t>。</w:t>
      </w:r>
    </w:p>
    <w:p w14:paraId="786CA923">
      <w:pPr>
        <w:pStyle w:val="260"/>
        <w:outlineLvl w:val="1"/>
        <w:rPr>
          <w:rFonts w:hint="default" w:ascii="Times New Roman" w:hAnsi="Times New Roman" w:cs="Times New Roman"/>
          <w:color w:val="auto"/>
          <w:highlight w:val="none"/>
        </w:rPr>
      </w:pPr>
      <w:bookmarkStart w:id="2014" w:name="_Toc13175"/>
      <w:bookmarkStart w:id="2015" w:name="_Toc183727757"/>
      <w:bookmarkStart w:id="2016" w:name="_Toc26609"/>
      <w:bookmarkStart w:id="2017" w:name="_Toc8370"/>
      <w:bookmarkStart w:id="2018" w:name="_Toc6543"/>
      <w:bookmarkStart w:id="2019" w:name="_Toc17703"/>
      <w:bookmarkStart w:id="2020" w:name="_Toc22128"/>
      <w:bookmarkStart w:id="2021" w:name="_Toc8290"/>
      <w:bookmarkStart w:id="2022" w:name="_Toc30841"/>
      <w:bookmarkStart w:id="2023" w:name="_Toc27371"/>
      <w:bookmarkStart w:id="2024" w:name="_Toc1355"/>
      <w:r>
        <w:rPr>
          <w:rFonts w:hint="default" w:ascii="Times New Roman" w:hAnsi="Times New Roman" w:cs="Times New Roman"/>
          <w:color w:val="auto"/>
          <w:highlight w:val="none"/>
        </w:rPr>
        <w:t>危险区内的设备要求</w:t>
      </w:r>
      <w:bookmarkEnd w:id="2014"/>
      <w:bookmarkEnd w:id="2015"/>
      <w:bookmarkEnd w:id="2016"/>
      <w:bookmarkEnd w:id="2017"/>
      <w:bookmarkEnd w:id="2018"/>
      <w:bookmarkEnd w:id="2019"/>
      <w:bookmarkEnd w:id="2020"/>
      <w:bookmarkEnd w:id="2021"/>
      <w:bookmarkEnd w:id="2022"/>
      <w:bookmarkEnd w:id="2023"/>
    </w:p>
    <w:p w14:paraId="29EB647A">
      <w:pPr>
        <w:ind w:firstLine="420" w:firstLineChars="200"/>
        <w:rPr>
          <w:rFonts w:hint="default" w:ascii="Times New Roman" w:hAnsi="Times New Roman" w:cs="Times New Roman"/>
          <w:color w:val="auto"/>
          <w:highlight w:val="none"/>
        </w:rPr>
      </w:pPr>
      <w:bookmarkStart w:id="2025" w:name="_Toc7054"/>
      <w:r>
        <w:rPr>
          <w:rFonts w:hint="default" w:ascii="Times New Roman" w:hAnsi="Times New Roman" w:cs="Times New Roman"/>
          <w:color w:val="auto"/>
          <w:highlight w:val="none"/>
        </w:rPr>
        <w:t>安装在危险区内的助航标识灯、雾笛、电池等以及控制装置应</w:t>
      </w:r>
      <w:r>
        <w:rPr>
          <w:rFonts w:hint="eastAsia" w:cs="Times New Roman"/>
          <w:color w:val="auto"/>
          <w:highlight w:val="none"/>
          <w:lang w:val="en-US" w:eastAsia="zh-CN"/>
        </w:rPr>
        <w:t>具有</w:t>
      </w:r>
      <w:r>
        <w:rPr>
          <w:rFonts w:hint="default" w:ascii="Times New Roman" w:hAnsi="Times New Roman" w:cs="Times New Roman"/>
          <w:color w:val="auto"/>
          <w:highlight w:val="none"/>
        </w:rPr>
        <w:t>防爆</w:t>
      </w:r>
      <w:r>
        <w:rPr>
          <w:rFonts w:hint="eastAsia" w:cs="Times New Roman"/>
          <w:color w:val="auto"/>
          <w:highlight w:val="none"/>
          <w:lang w:val="en-US" w:eastAsia="zh-CN"/>
        </w:rPr>
        <w:t>能力</w:t>
      </w:r>
      <w:r>
        <w:rPr>
          <w:rFonts w:hint="default" w:ascii="Times New Roman" w:hAnsi="Times New Roman" w:cs="Times New Roman"/>
          <w:color w:val="auto"/>
          <w:highlight w:val="none"/>
        </w:rPr>
        <w:t>，并符合所在处所防爆等级的要求。</w:t>
      </w:r>
      <w:bookmarkEnd w:id="2024"/>
      <w:bookmarkEnd w:id="2025"/>
    </w:p>
    <w:p w14:paraId="07B85957">
      <w:pPr>
        <w:pStyle w:val="259"/>
        <w:outlineLvl w:val="0"/>
        <w:rPr>
          <w:rFonts w:hint="default" w:ascii="Times New Roman" w:hAnsi="Times New Roman" w:cs="Times New Roman"/>
          <w:color w:val="auto"/>
          <w:highlight w:val="none"/>
        </w:rPr>
      </w:pPr>
      <w:bookmarkStart w:id="2026" w:name="_Toc15982"/>
      <w:bookmarkStart w:id="2027" w:name="_Toc183727758"/>
      <w:bookmarkStart w:id="2028" w:name="_Toc9661"/>
      <w:bookmarkStart w:id="2029" w:name="_Toc17446"/>
      <w:bookmarkStart w:id="2030" w:name="_Toc25137"/>
      <w:bookmarkStart w:id="2031" w:name="_Toc16762"/>
      <w:bookmarkStart w:id="2032" w:name="_Toc31567"/>
      <w:bookmarkStart w:id="2033" w:name="_Toc14169"/>
      <w:bookmarkStart w:id="2034" w:name="_Toc25094"/>
      <w:bookmarkStart w:id="2035" w:name="_Toc32396"/>
      <w:r>
        <w:rPr>
          <w:rFonts w:hint="default" w:ascii="Times New Roman" w:hAnsi="Times New Roman" w:cs="Times New Roman"/>
          <w:color w:val="auto"/>
          <w:highlight w:val="none"/>
        </w:rPr>
        <w:t>通信</w:t>
      </w:r>
      <w:bookmarkEnd w:id="2026"/>
      <w:bookmarkEnd w:id="2027"/>
      <w:bookmarkEnd w:id="2028"/>
      <w:bookmarkEnd w:id="2029"/>
      <w:bookmarkEnd w:id="2030"/>
      <w:bookmarkEnd w:id="2031"/>
      <w:bookmarkEnd w:id="2032"/>
      <w:bookmarkEnd w:id="2033"/>
      <w:bookmarkEnd w:id="2034"/>
      <w:bookmarkEnd w:id="2035"/>
    </w:p>
    <w:p w14:paraId="090A490D">
      <w:pPr>
        <w:pStyle w:val="260"/>
        <w:outlineLvl w:val="1"/>
        <w:rPr>
          <w:rFonts w:hint="default" w:ascii="Times New Roman" w:hAnsi="Times New Roman" w:cs="Times New Roman"/>
          <w:color w:val="auto"/>
          <w:highlight w:val="none"/>
        </w:rPr>
      </w:pPr>
      <w:bookmarkStart w:id="2036" w:name="_Toc30866"/>
      <w:bookmarkStart w:id="2037" w:name="_Toc183727760"/>
      <w:bookmarkStart w:id="2038" w:name="_Toc1050"/>
      <w:bookmarkStart w:id="2039" w:name="_Toc3566"/>
      <w:bookmarkStart w:id="2040" w:name="_Toc26552"/>
      <w:bookmarkStart w:id="2041" w:name="_Toc16319"/>
      <w:bookmarkStart w:id="2042" w:name="_Toc21256"/>
      <w:bookmarkStart w:id="2043" w:name="_Toc14502"/>
      <w:bookmarkStart w:id="2044" w:name="_Toc23458"/>
      <w:bookmarkStart w:id="2045" w:name="_Toc960"/>
      <w:r>
        <w:rPr>
          <w:rFonts w:hint="default" w:ascii="Times New Roman" w:hAnsi="Times New Roman" w:cs="Times New Roman"/>
          <w:color w:val="auto"/>
          <w:highlight w:val="none"/>
        </w:rPr>
        <w:t>通信设备</w:t>
      </w:r>
      <w:bookmarkEnd w:id="2036"/>
      <w:bookmarkEnd w:id="2037"/>
      <w:bookmarkEnd w:id="2038"/>
      <w:bookmarkEnd w:id="2039"/>
      <w:bookmarkEnd w:id="2040"/>
      <w:bookmarkEnd w:id="2041"/>
      <w:bookmarkEnd w:id="2042"/>
      <w:bookmarkEnd w:id="2043"/>
      <w:bookmarkEnd w:id="2044"/>
      <w:bookmarkEnd w:id="2045"/>
    </w:p>
    <w:p w14:paraId="1ED239BC">
      <w:pPr>
        <w:pStyle w:val="261"/>
        <w:spacing w:before="156" w:after="156"/>
        <w:outlineLvl w:val="2"/>
        <w:rPr>
          <w:rFonts w:hint="default" w:ascii="Times New Roman" w:hAnsi="Times New Roman" w:cs="Times New Roman"/>
          <w:color w:val="auto"/>
          <w:highlight w:val="none"/>
        </w:rPr>
      </w:pPr>
      <w:bookmarkStart w:id="2046" w:name="_Toc29793"/>
      <w:bookmarkStart w:id="2047" w:name="_Toc26830"/>
      <w:bookmarkStart w:id="2048" w:name="_Toc19978"/>
      <w:bookmarkStart w:id="2049" w:name="_Toc6642"/>
      <w:bookmarkStart w:id="2050" w:name="_Toc28496"/>
      <w:bookmarkStart w:id="2051" w:name="_Toc882"/>
      <w:bookmarkStart w:id="2052" w:name="_Toc31353"/>
      <w:bookmarkStart w:id="2053" w:name="_Toc19630"/>
      <w:bookmarkStart w:id="2054" w:name="_Toc6959"/>
      <w:bookmarkStart w:id="2055" w:name="_Toc10278"/>
      <w:r>
        <w:rPr>
          <w:rFonts w:hint="default" w:ascii="Times New Roman" w:hAnsi="Times New Roman" w:cs="Times New Roman"/>
          <w:color w:val="auto"/>
          <w:highlight w:val="none"/>
        </w:rPr>
        <w:t>外部通信设备</w:t>
      </w:r>
      <w:bookmarkEnd w:id="2046"/>
      <w:bookmarkEnd w:id="2047"/>
      <w:bookmarkEnd w:id="2048"/>
      <w:bookmarkEnd w:id="2049"/>
      <w:bookmarkEnd w:id="2050"/>
      <w:bookmarkEnd w:id="2051"/>
      <w:bookmarkEnd w:id="2052"/>
      <w:bookmarkEnd w:id="2053"/>
      <w:bookmarkEnd w:id="2054"/>
      <w:bookmarkEnd w:id="2055"/>
    </w:p>
    <w:p w14:paraId="6B76B299">
      <w:pPr>
        <w:pStyle w:val="290"/>
        <w:spacing w:before="0" w:beforeLines="0" w:after="0" w:afterLines="0"/>
        <w:outlineLvl w:val="9"/>
        <w:rPr>
          <w:rFonts w:hint="eastAsia" w:ascii="宋体" w:hAnsi="宋体" w:eastAsia="宋体" w:cs="宋体"/>
          <w:color w:val="auto"/>
          <w:highlight w:val="none"/>
        </w:rPr>
      </w:pPr>
      <w:bookmarkStart w:id="2056" w:name="_Toc28070"/>
      <w:bookmarkStart w:id="2057" w:name="_Toc15428"/>
      <w:bookmarkStart w:id="2058" w:name="_Toc18942"/>
      <w:bookmarkStart w:id="2059" w:name="_Toc7389"/>
      <w:bookmarkStart w:id="2060" w:name="_Toc27394"/>
      <w:bookmarkStart w:id="2061" w:name="_Toc21294"/>
      <w:bookmarkStart w:id="2062" w:name="_Toc20091"/>
      <w:bookmarkStart w:id="2063" w:name="_Toc16612"/>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的外部通信设备</w:t>
      </w:r>
      <w:r>
        <w:rPr>
          <w:rFonts w:hint="eastAsia" w:ascii="宋体" w:hAnsi="宋体" w:eastAsia="宋体" w:cs="宋体"/>
          <w:color w:val="auto"/>
          <w:highlight w:val="none"/>
          <w:lang w:val="en-US" w:eastAsia="zh-CN"/>
        </w:rPr>
        <w:t>配备</w:t>
      </w:r>
      <w:r>
        <w:rPr>
          <w:rFonts w:hint="eastAsia" w:ascii="宋体" w:hAnsi="宋体" w:eastAsia="宋体" w:cs="宋体"/>
          <w:color w:val="auto"/>
          <w:highlight w:val="none"/>
        </w:rPr>
        <w:t>应</w:t>
      </w:r>
      <w:r>
        <w:rPr>
          <w:rFonts w:hint="eastAsia" w:ascii="宋体" w:hAnsi="宋体" w:eastAsia="宋体" w:cs="宋体"/>
          <w:color w:val="auto"/>
          <w:highlight w:val="none"/>
          <w:lang w:val="en-US" w:eastAsia="zh-CN"/>
        </w:rPr>
        <w:t>满足</w:t>
      </w:r>
      <w:r>
        <w:rPr>
          <w:rFonts w:hint="eastAsia" w:ascii="宋体" w:hAnsi="宋体" w:eastAsia="宋体" w:cs="宋体"/>
          <w:color w:val="auto"/>
          <w:highlight w:val="none"/>
        </w:rPr>
        <w:t>表</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的要求。</w:t>
      </w:r>
    </w:p>
    <w:p w14:paraId="5C6876DC">
      <w:pPr>
        <w:pStyle w:val="301"/>
        <w:rPr>
          <w:rFonts w:hint="default" w:ascii="Times New Roman" w:hAnsi="Times New Roman" w:cs="Times New Roman"/>
          <w:color w:val="auto"/>
          <w:highlight w:val="none"/>
        </w:rPr>
      </w:pPr>
      <w:r>
        <w:rPr>
          <w:rFonts w:hint="default" w:ascii="Times New Roman" w:hAnsi="Times New Roman" w:cs="Times New Roman"/>
          <w:color w:val="auto"/>
          <w:highlight w:val="none"/>
        </w:rPr>
        <w:t>外部通信设备的配备</w:t>
      </w:r>
    </w:p>
    <w:tbl>
      <w:tblPr>
        <w:tblStyle w:val="88"/>
        <w:tblW w:w="0" w:type="auto"/>
        <w:tblInd w:w="5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5"/>
        <w:gridCol w:w="2791"/>
        <w:gridCol w:w="895"/>
        <w:gridCol w:w="920"/>
        <w:gridCol w:w="974"/>
        <w:gridCol w:w="1242"/>
      </w:tblGrid>
      <w:tr w14:paraId="1A7AC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4746" w:type="dxa"/>
            <w:gridSpan w:val="2"/>
            <w:vMerge w:val="restart"/>
            <w:vAlign w:val="center"/>
          </w:tcPr>
          <w:p w14:paraId="0C6F7FBE">
            <w:pPr>
              <w:pStyle w:val="517"/>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无线电设备</w:t>
            </w:r>
          </w:p>
        </w:tc>
        <w:tc>
          <w:tcPr>
            <w:tcW w:w="4031" w:type="dxa"/>
            <w:gridSpan w:val="4"/>
            <w:vAlign w:val="center"/>
          </w:tcPr>
          <w:p w14:paraId="4CAD70E0">
            <w:pPr>
              <w:pStyle w:val="517"/>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无线电通信设备的配备</w:t>
            </w:r>
          </w:p>
        </w:tc>
      </w:tr>
      <w:tr w14:paraId="7349D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4746" w:type="dxa"/>
            <w:gridSpan w:val="2"/>
            <w:vMerge w:val="continue"/>
            <w:vAlign w:val="center"/>
          </w:tcPr>
          <w:p w14:paraId="32D9EF87">
            <w:pPr>
              <w:pStyle w:val="517"/>
              <w:jc w:val="center"/>
              <w:rPr>
                <w:rFonts w:hint="eastAsia" w:ascii="宋体" w:hAnsi="宋体" w:eastAsia="宋体" w:cs="宋体"/>
                <w:color w:val="auto"/>
                <w:highlight w:val="none"/>
              </w:rPr>
            </w:pPr>
          </w:p>
        </w:tc>
        <w:tc>
          <w:tcPr>
            <w:tcW w:w="895" w:type="dxa"/>
            <w:vAlign w:val="center"/>
          </w:tcPr>
          <w:p w14:paraId="11FC7743">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A1</w:t>
            </w:r>
          </w:p>
        </w:tc>
        <w:tc>
          <w:tcPr>
            <w:tcW w:w="920" w:type="dxa"/>
            <w:vAlign w:val="center"/>
          </w:tcPr>
          <w:p w14:paraId="63EE6163">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A2</w:t>
            </w:r>
          </w:p>
        </w:tc>
        <w:tc>
          <w:tcPr>
            <w:tcW w:w="974" w:type="dxa"/>
            <w:vAlign w:val="center"/>
          </w:tcPr>
          <w:p w14:paraId="3E6CAACE">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A3</w:t>
            </w:r>
          </w:p>
        </w:tc>
        <w:tc>
          <w:tcPr>
            <w:tcW w:w="1242" w:type="dxa"/>
            <w:vAlign w:val="center"/>
          </w:tcPr>
          <w:p w14:paraId="2A831F9E">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A4</w:t>
            </w:r>
          </w:p>
        </w:tc>
      </w:tr>
      <w:tr w14:paraId="4E47F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955" w:type="dxa"/>
            <w:vMerge w:val="restart"/>
            <w:vAlign w:val="center"/>
          </w:tcPr>
          <w:p w14:paraId="5FDE4EC3">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主设备</w:t>
            </w:r>
          </w:p>
        </w:tc>
        <w:tc>
          <w:tcPr>
            <w:tcW w:w="2791" w:type="dxa"/>
            <w:vAlign w:val="center"/>
          </w:tcPr>
          <w:p w14:paraId="1FDB3D23">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VHF 无线电装置（具备DSC）</w:t>
            </w:r>
          </w:p>
        </w:tc>
        <w:tc>
          <w:tcPr>
            <w:tcW w:w="895" w:type="dxa"/>
            <w:vAlign w:val="center"/>
          </w:tcPr>
          <w:p w14:paraId="66D0B5EC">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920" w:type="dxa"/>
            <w:vAlign w:val="center"/>
          </w:tcPr>
          <w:p w14:paraId="6EA457E4">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974" w:type="dxa"/>
            <w:vAlign w:val="center"/>
          </w:tcPr>
          <w:p w14:paraId="217B829B">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42" w:type="dxa"/>
            <w:vAlign w:val="center"/>
          </w:tcPr>
          <w:p w14:paraId="78B0A3B5">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247F5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955" w:type="dxa"/>
            <w:vMerge w:val="continue"/>
            <w:tcBorders>
              <w:top w:val="nil"/>
            </w:tcBorders>
            <w:vAlign w:val="center"/>
          </w:tcPr>
          <w:p w14:paraId="078D320D">
            <w:pPr>
              <w:pStyle w:val="517"/>
              <w:jc w:val="center"/>
              <w:rPr>
                <w:rFonts w:hint="eastAsia" w:ascii="宋体" w:hAnsi="宋体" w:eastAsia="宋体" w:cs="宋体"/>
                <w:color w:val="auto"/>
                <w:highlight w:val="none"/>
              </w:rPr>
            </w:pPr>
          </w:p>
        </w:tc>
        <w:tc>
          <w:tcPr>
            <w:tcW w:w="2791" w:type="dxa"/>
            <w:vAlign w:val="center"/>
          </w:tcPr>
          <w:p w14:paraId="2A410418">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MF 无线电装置（具备DSC）</w:t>
            </w:r>
          </w:p>
        </w:tc>
        <w:tc>
          <w:tcPr>
            <w:tcW w:w="895" w:type="dxa"/>
            <w:vAlign w:val="center"/>
          </w:tcPr>
          <w:p w14:paraId="35A587DE">
            <w:pPr>
              <w:pStyle w:val="517"/>
              <w:jc w:val="center"/>
              <w:rPr>
                <w:rFonts w:hint="eastAsia" w:ascii="宋体" w:hAnsi="宋体" w:eastAsia="宋体" w:cs="宋体"/>
                <w:color w:val="auto"/>
                <w:highlight w:val="none"/>
              </w:rPr>
            </w:pPr>
          </w:p>
        </w:tc>
        <w:tc>
          <w:tcPr>
            <w:tcW w:w="920" w:type="dxa"/>
            <w:vAlign w:val="center"/>
          </w:tcPr>
          <w:p w14:paraId="038D6037">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974" w:type="dxa"/>
            <w:vAlign w:val="center"/>
          </w:tcPr>
          <w:p w14:paraId="268F5FBE">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42" w:type="dxa"/>
            <w:vAlign w:val="center"/>
          </w:tcPr>
          <w:p w14:paraId="1ED14CCE">
            <w:pPr>
              <w:pStyle w:val="517"/>
              <w:jc w:val="center"/>
              <w:rPr>
                <w:rFonts w:hint="eastAsia" w:ascii="宋体" w:hAnsi="宋体" w:eastAsia="宋体" w:cs="宋体"/>
                <w:color w:val="auto"/>
                <w:highlight w:val="none"/>
              </w:rPr>
            </w:pPr>
          </w:p>
        </w:tc>
      </w:tr>
      <w:tr w14:paraId="7DEF2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955" w:type="dxa"/>
            <w:vMerge w:val="continue"/>
            <w:tcBorders>
              <w:top w:val="nil"/>
            </w:tcBorders>
            <w:vAlign w:val="center"/>
          </w:tcPr>
          <w:p w14:paraId="685A11FF">
            <w:pPr>
              <w:pStyle w:val="517"/>
              <w:jc w:val="center"/>
              <w:rPr>
                <w:rFonts w:hint="eastAsia" w:ascii="宋体" w:hAnsi="宋体" w:eastAsia="宋体" w:cs="宋体"/>
                <w:color w:val="auto"/>
                <w:highlight w:val="none"/>
              </w:rPr>
            </w:pPr>
          </w:p>
        </w:tc>
        <w:tc>
          <w:tcPr>
            <w:tcW w:w="2791" w:type="dxa"/>
            <w:vAlign w:val="center"/>
          </w:tcPr>
          <w:p w14:paraId="53333E53">
            <w:pPr>
              <w:pStyle w:val="517"/>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M</w:t>
            </w:r>
            <w:r>
              <w:rPr>
                <w:rFonts w:hint="eastAsia" w:ascii="宋体" w:hAnsi="宋体" w:cs="宋体"/>
                <w:color w:val="auto"/>
                <w:highlight w:val="none"/>
                <w:lang w:val="en-US" w:eastAsia="zh-CN"/>
              </w:rPr>
              <w:t>F</w:t>
            </w:r>
            <w:r>
              <w:rPr>
                <w:rFonts w:hint="eastAsia" w:ascii="宋体" w:hAnsi="宋体" w:eastAsia="宋体" w:cs="宋体"/>
                <w:color w:val="auto"/>
                <w:highlight w:val="none"/>
              </w:rPr>
              <w:t>/HF 无线电装置</w:t>
            </w:r>
          </w:p>
        </w:tc>
        <w:tc>
          <w:tcPr>
            <w:tcW w:w="895" w:type="dxa"/>
            <w:vAlign w:val="center"/>
          </w:tcPr>
          <w:p w14:paraId="010789DF">
            <w:pPr>
              <w:pStyle w:val="517"/>
              <w:jc w:val="center"/>
              <w:rPr>
                <w:rFonts w:hint="eastAsia" w:ascii="宋体" w:hAnsi="宋体" w:eastAsia="宋体" w:cs="宋体"/>
                <w:color w:val="auto"/>
                <w:highlight w:val="none"/>
              </w:rPr>
            </w:pPr>
          </w:p>
        </w:tc>
        <w:tc>
          <w:tcPr>
            <w:tcW w:w="920" w:type="dxa"/>
            <w:vAlign w:val="center"/>
          </w:tcPr>
          <w:p w14:paraId="6E18DA37">
            <w:pPr>
              <w:pStyle w:val="517"/>
              <w:jc w:val="center"/>
              <w:rPr>
                <w:rFonts w:hint="eastAsia" w:ascii="宋体" w:hAnsi="宋体" w:eastAsia="宋体" w:cs="宋体"/>
                <w:color w:val="auto"/>
                <w:highlight w:val="none"/>
              </w:rPr>
            </w:pPr>
          </w:p>
        </w:tc>
        <w:tc>
          <w:tcPr>
            <w:tcW w:w="974" w:type="dxa"/>
            <w:vAlign w:val="center"/>
          </w:tcPr>
          <w:p w14:paraId="4AC7D131">
            <w:pPr>
              <w:pStyle w:val="517"/>
              <w:jc w:val="center"/>
              <w:rPr>
                <w:rFonts w:hint="eastAsia" w:ascii="宋体" w:hAnsi="宋体" w:eastAsia="宋体" w:cs="宋体"/>
                <w:color w:val="auto"/>
                <w:highlight w:val="none"/>
              </w:rPr>
            </w:pPr>
          </w:p>
        </w:tc>
        <w:tc>
          <w:tcPr>
            <w:tcW w:w="1242" w:type="dxa"/>
            <w:vAlign w:val="center"/>
          </w:tcPr>
          <w:p w14:paraId="727A1062">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5406E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1955" w:type="dxa"/>
            <w:vMerge w:val="continue"/>
            <w:tcBorders>
              <w:top w:val="nil"/>
            </w:tcBorders>
            <w:vAlign w:val="center"/>
          </w:tcPr>
          <w:p w14:paraId="644BC334">
            <w:pPr>
              <w:pStyle w:val="517"/>
              <w:jc w:val="center"/>
              <w:rPr>
                <w:rFonts w:hint="eastAsia" w:ascii="宋体" w:hAnsi="宋体" w:eastAsia="宋体" w:cs="宋体"/>
                <w:color w:val="auto"/>
                <w:highlight w:val="none"/>
              </w:rPr>
            </w:pPr>
          </w:p>
        </w:tc>
        <w:tc>
          <w:tcPr>
            <w:tcW w:w="2791" w:type="dxa"/>
            <w:vAlign w:val="center"/>
          </w:tcPr>
          <w:p w14:paraId="59AE9109">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提供 RMSS的</w:t>
            </w:r>
            <w:r>
              <w:rPr>
                <w:rFonts w:hint="default" w:ascii="宋体" w:hAnsi="宋体" w:eastAsia="宋体" w:cs="宋体"/>
                <w:color w:val="auto"/>
                <w:highlight w:val="none"/>
              </w:rPr>
              <w:t>船舶地面站</w:t>
            </w:r>
          </w:p>
        </w:tc>
        <w:tc>
          <w:tcPr>
            <w:tcW w:w="895" w:type="dxa"/>
            <w:vAlign w:val="center"/>
          </w:tcPr>
          <w:p w14:paraId="44D38FDB">
            <w:pPr>
              <w:pStyle w:val="517"/>
              <w:jc w:val="center"/>
              <w:rPr>
                <w:rFonts w:hint="eastAsia" w:ascii="宋体" w:hAnsi="宋体" w:eastAsia="宋体" w:cs="宋体"/>
                <w:color w:val="auto"/>
                <w:highlight w:val="none"/>
              </w:rPr>
            </w:pPr>
          </w:p>
        </w:tc>
        <w:tc>
          <w:tcPr>
            <w:tcW w:w="920" w:type="dxa"/>
            <w:vAlign w:val="center"/>
          </w:tcPr>
          <w:p w14:paraId="12FA0EE6">
            <w:pPr>
              <w:pStyle w:val="517"/>
              <w:jc w:val="center"/>
              <w:rPr>
                <w:rFonts w:hint="eastAsia" w:ascii="宋体" w:hAnsi="宋体" w:eastAsia="宋体" w:cs="宋体"/>
                <w:color w:val="auto"/>
                <w:highlight w:val="none"/>
              </w:rPr>
            </w:pPr>
          </w:p>
        </w:tc>
        <w:tc>
          <w:tcPr>
            <w:tcW w:w="974" w:type="dxa"/>
            <w:vAlign w:val="center"/>
          </w:tcPr>
          <w:p w14:paraId="52CEF593">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42" w:type="dxa"/>
            <w:vAlign w:val="center"/>
          </w:tcPr>
          <w:p w14:paraId="4CE99FE3">
            <w:pPr>
              <w:pStyle w:val="517"/>
              <w:jc w:val="center"/>
              <w:rPr>
                <w:rFonts w:hint="eastAsia" w:ascii="宋体" w:hAnsi="宋体" w:eastAsia="宋体" w:cs="宋体"/>
                <w:color w:val="auto"/>
                <w:highlight w:val="none"/>
              </w:rPr>
            </w:pPr>
          </w:p>
        </w:tc>
      </w:tr>
      <w:tr w14:paraId="2CB7C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955" w:type="dxa"/>
            <w:tcBorders>
              <w:top w:val="nil"/>
            </w:tcBorders>
            <w:vAlign w:val="center"/>
          </w:tcPr>
          <w:p w14:paraId="590CAA85">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接收机</w:t>
            </w:r>
          </w:p>
        </w:tc>
        <w:tc>
          <w:tcPr>
            <w:tcW w:w="2791" w:type="dxa"/>
            <w:vAlign w:val="center"/>
          </w:tcPr>
          <w:p w14:paraId="79EA3BE7">
            <w:pPr>
              <w:pStyle w:val="517"/>
              <w:jc w:val="center"/>
              <w:rPr>
                <w:rFonts w:hint="eastAsia" w:ascii="宋体" w:hAnsi="宋体" w:eastAsia="宋体" w:cs="宋体"/>
                <w:color w:val="auto"/>
                <w:highlight w:val="none"/>
              </w:rPr>
            </w:pPr>
            <w:r>
              <w:rPr>
                <w:rFonts w:hint="eastAsia" w:ascii="宋体" w:hAnsi="宋体" w:cs="宋体"/>
                <w:color w:val="auto"/>
                <w:highlight w:val="none"/>
                <w:lang w:val="en-US" w:eastAsia="zh-CN"/>
              </w:rPr>
              <w:t>海上安全信息（</w:t>
            </w:r>
            <w:r>
              <w:rPr>
                <w:rFonts w:hint="eastAsia" w:ascii="宋体" w:hAnsi="宋体" w:eastAsia="宋体" w:cs="宋体"/>
                <w:color w:val="auto"/>
                <w:highlight w:val="none"/>
              </w:rPr>
              <w:t>MSI</w:t>
            </w:r>
            <w:r>
              <w:rPr>
                <w:rFonts w:hint="eastAsia" w:ascii="宋体" w:hAnsi="宋体" w:cs="宋体"/>
                <w:color w:val="auto"/>
                <w:highlight w:val="none"/>
                <w:lang w:val="en-US" w:eastAsia="zh-CN"/>
              </w:rPr>
              <w:t>）</w:t>
            </w:r>
            <w:r>
              <w:rPr>
                <w:rFonts w:hint="eastAsia" w:ascii="宋体" w:hAnsi="宋体" w:eastAsia="宋体" w:cs="宋体"/>
                <w:color w:val="auto"/>
                <w:highlight w:val="none"/>
              </w:rPr>
              <w:t>和搜索和援救</w:t>
            </w:r>
            <w:r>
              <w:rPr>
                <w:rFonts w:hint="eastAsia" w:ascii="宋体" w:hAnsi="宋体" w:cs="宋体"/>
                <w:color w:val="auto"/>
                <w:highlight w:val="none"/>
                <w:lang w:eastAsia="zh-CN"/>
              </w:rPr>
              <w:t>（</w:t>
            </w:r>
            <w:r>
              <w:rPr>
                <w:rFonts w:hint="eastAsia" w:ascii="宋体" w:hAnsi="宋体" w:eastAsia="宋体" w:cs="宋体"/>
                <w:color w:val="auto"/>
                <w:highlight w:val="none"/>
              </w:rPr>
              <w:t>SAR</w:t>
            </w:r>
            <w:r>
              <w:rPr>
                <w:rFonts w:hint="eastAsia" w:ascii="宋体" w:hAnsi="宋体" w:cs="宋体"/>
                <w:color w:val="auto"/>
                <w:highlight w:val="none"/>
                <w:lang w:eastAsia="zh-CN"/>
              </w:rPr>
              <w:t>）</w:t>
            </w:r>
            <w:r>
              <w:rPr>
                <w:rFonts w:hint="eastAsia" w:ascii="宋体" w:hAnsi="宋体" w:eastAsia="宋体" w:cs="宋体"/>
                <w:color w:val="auto"/>
                <w:highlight w:val="none"/>
              </w:rPr>
              <w:t>接收机2</w:t>
            </w:r>
          </w:p>
        </w:tc>
        <w:tc>
          <w:tcPr>
            <w:tcW w:w="895" w:type="dxa"/>
            <w:vAlign w:val="center"/>
          </w:tcPr>
          <w:p w14:paraId="1E609AB2">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920" w:type="dxa"/>
            <w:vAlign w:val="center"/>
          </w:tcPr>
          <w:p w14:paraId="24934771">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974" w:type="dxa"/>
            <w:vAlign w:val="center"/>
          </w:tcPr>
          <w:p w14:paraId="2C1D702B">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42" w:type="dxa"/>
            <w:vAlign w:val="center"/>
          </w:tcPr>
          <w:p w14:paraId="65E200CD">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05F6D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955" w:type="dxa"/>
            <w:tcBorders>
              <w:bottom w:val="single" w:color="auto" w:sz="4" w:space="0"/>
            </w:tcBorders>
            <w:vAlign w:val="center"/>
          </w:tcPr>
          <w:p w14:paraId="66BFACE9">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示位标</w:t>
            </w:r>
          </w:p>
        </w:tc>
        <w:tc>
          <w:tcPr>
            <w:tcW w:w="2791" w:type="dxa"/>
            <w:tcBorders>
              <w:bottom w:val="single" w:color="auto" w:sz="4" w:space="0"/>
            </w:tcBorders>
            <w:vAlign w:val="center"/>
          </w:tcPr>
          <w:p w14:paraId="5CFBA25E">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卫星示位标</w:t>
            </w:r>
            <w:r>
              <w:rPr>
                <w:rFonts w:hint="eastAsia" w:ascii="宋体" w:hAnsi="宋体" w:cs="宋体"/>
                <w:color w:val="auto"/>
                <w:highlight w:val="none"/>
                <w:lang w:val="en-US" w:eastAsia="zh-CN"/>
              </w:rPr>
              <w:t xml:space="preserve"> </w:t>
            </w:r>
            <w:r>
              <w:rPr>
                <w:rFonts w:hint="eastAsia" w:ascii="宋体" w:hAnsi="宋体" w:eastAsia="宋体" w:cs="宋体"/>
                <w:color w:val="auto"/>
                <w:highlight w:val="none"/>
              </w:rPr>
              <w:t>EPIRB</w:t>
            </w:r>
          </w:p>
        </w:tc>
        <w:tc>
          <w:tcPr>
            <w:tcW w:w="895" w:type="dxa"/>
            <w:vAlign w:val="center"/>
          </w:tcPr>
          <w:p w14:paraId="55855F2C">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920" w:type="dxa"/>
            <w:vAlign w:val="center"/>
          </w:tcPr>
          <w:p w14:paraId="3723BB49">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974" w:type="dxa"/>
            <w:vAlign w:val="center"/>
          </w:tcPr>
          <w:p w14:paraId="52ABBA59">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1242" w:type="dxa"/>
            <w:vAlign w:val="center"/>
          </w:tcPr>
          <w:p w14:paraId="02DDE039">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r>
      <w:tr w14:paraId="65DE7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955" w:type="dxa"/>
            <w:vMerge w:val="restart"/>
            <w:tcBorders>
              <w:top w:val="single" w:color="auto" w:sz="4" w:space="0"/>
              <w:left w:val="single" w:color="auto" w:sz="4" w:space="0"/>
            </w:tcBorders>
            <w:vAlign w:val="center"/>
          </w:tcPr>
          <w:p w14:paraId="3A257A89">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救生无线电</w:t>
            </w:r>
          </w:p>
        </w:tc>
        <w:tc>
          <w:tcPr>
            <w:tcW w:w="2791" w:type="dxa"/>
            <w:tcBorders>
              <w:top w:val="single" w:color="auto" w:sz="4" w:space="0"/>
              <w:right w:val="single" w:color="auto" w:sz="4" w:space="0"/>
            </w:tcBorders>
            <w:vAlign w:val="center"/>
          </w:tcPr>
          <w:p w14:paraId="1387A93B">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雷达 SART 或</w:t>
            </w:r>
            <w:r>
              <w:rPr>
                <w:color w:val="auto"/>
                <w:highlight w:val="none"/>
              </w:rPr>
              <w:t>船舶自动识别系统</w:t>
            </w:r>
            <w:r>
              <w:rPr>
                <w:rFonts w:hint="eastAsia"/>
                <w:color w:val="auto"/>
                <w:highlight w:val="none"/>
                <w:lang w:val="en-US" w:eastAsia="zh-CN"/>
              </w:rPr>
              <w:t>搜救应答器</w:t>
            </w:r>
            <w:r>
              <w:rPr>
                <w:rFonts w:hint="eastAsia"/>
                <w:color w:val="auto"/>
                <w:highlight w:val="none"/>
                <w:lang w:eastAsia="zh-CN"/>
              </w:rPr>
              <w:t>（</w:t>
            </w:r>
            <w:r>
              <w:rPr>
                <w:rFonts w:hint="eastAsia" w:ascii="宋体" w:hAnsi="宋体" w:eastAsia="宋体" w:cs="宋体"/>
                <w:color w:val="auto"/>
                <w:highlight w:val="none"/>
              </w:rPr>
              <w:t>AIS</w:t>
            </w:r>
            <w:r>
              <w:rPr>
                <w:rFonts w:hint="eastAsia"/>
                <w:color w:val="auto"/>
                <w:highlight w:val="none"/>
                <w:lang w:eastAsia="zh-CN"/>
              </w:rPr>
              <w:t>）</w:t>
            </w:r>
            <w:r>
              <w:rPr>
                <w:rFonts w:hint="eastAsia" w:ascii="宋体" w:hAnsi="宋体" w:eastAsia="宋体" w:cs="宋体"/>
                <w:color w:val="auto"/>
                <w:highlight w:val="none"/>
              </w:rPr>
              <w:t xml:space="preserve"> SART</w:t>
            </w:r>
          </w:p>
        </w:tc>
        <w:tc>
          <w:tcPr>
            <w:tcW w:w="895" w:type="dxa"/>
            <w:tcBorders>
              <w:left w:val="single" w:color="auto" w:sz="4" w:space="0"/>
            </w:tcBorders>
            <w:vAlign w:val="center"/>
          </w:tcPr>
          <w:p w14:paraId="6D330083">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920" w:type="dxa"/>
            <w:vAlign w:val="center"/>
          </w:tcPr>
          <w:p w14:paraId="62679C10">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974" w:type="dxa"/>
            <w:vAlign w:val="center"/>
          </w:tcPr>
          <w:p w14:paraId="4EB5635B">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1242" w:type="dxa"/>
            <w:vAlign w:val="center"/>
          </w:tcPr>
          <w:p w14:paraId="27DF5272">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r>
      <w:tr w14:paraId="601F52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955" w:type="dxa"/>
            <w:vMerge w:val="continue"/>
            <w:tcBorders>
              <w:top w:val="nil"/>
              <w:left w:val="single" w:color="auto" w:sz="4" w:space="0"/>
              <w:bottom w:val="single" w:color="auto" w:sz="4" w:space="0"/>
            </w:tcBorders>
            <w:vAlign w:val="center"/>
          </w:tcPr>
          <w:p w14:paraId="5A460654">
            <w:pPr>
              <w:pStyle w:val="517"/>
              <w:jc w:val="center"/>
              <w:rPr>
                <w:rFonts w:hint="eastAsia" w:ascii="宋体" w:hAnsi="宋体" w:eastAsia="宋体" w:cs="宋体"/>
                <w:color w:val="auto"/>
                <w:highlight w:val="none"/>
              </w:rPr>
            </w:pPr>
          </w:p>
        </w:tc>
        <w:tc>
          <w:tcPr>
            <w:tcW w:w="2791" w:type="dxa"/>
            <w:tcBorders>
              <w:bottom w:val="single" w:color="auto" w:sz="4" w:space="0"/>
              <w:right w:val="single" w:color="auto" w:sz="4" w:space="0"/>
            </w:tcBorders>
            <w:vAlign w:val="center"/>
          </w:tcPr>
          <w:p w14:paraId="0948EF07">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救生艇筏双向无线电话</w:t>
            </w:r>
          </w:p>
        </w:tc>
        <w:tc>
          <w:tcPr>
            <w:tcW w:w="895" w:type="dxa"/>
            <w:tcBorders>
              <w:left w:val="single" w:color="auto" w:sz="4" w:space="0"/>
            </w:tcBorders>
            <w:vAlign w:val="center"/>
          </w:tcPr>
          <w:p w14:paraId="35E0D63D">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920" w:type="dxa"/>
            <w:vAlign w:val="center"/>
          </w:tcPr>
          <w:p w14:paraId="143BC21A">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974" w:type="dxa"/>
            <w:vAlign w:val="center"/>
          </w:tcPr>
          <w:p w14:paraId="1A8DAFA0">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1242" w:type="dxa"/>
            <w:vAlign w:val="center"/>
          </w:tcPr>
          <w:p w14:paraId="4AA08A69">
            <w:pPr>
              <w:pStyle w:val="517"/>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r>
      <w:tr w14:paraId="2E3BA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777" w:type="dxa"/>
            <w:gridSpan w:val="6"/>
            <w:tcBorders>
              <w:top w:val="single" w:color="auto" w:sz="4" w:space="0"/>
            </w:tcBorders>
            <w:vAlign w:val="center"/>
          </w:tcPr>
          <w:p w14:paraId="7E9150BC">
            <w:pPr>
              <w:keepNext w:val="0"/>
              <w:keepLines w:val="0"/>
              <w:pageBreakBefore w:val="0"/>
              <w:widowControl/>
              <w:kinsoku/>
              <w:wordWrap/>
              <w:overflowPunct/>
              <w:topLinePunct w:val="0"/>
              <w:autoSpaceDE/>
              <w:autoSpaceDN/>
              <w:bidi w:val="0"/>
              <w:adjustRightInd w:val="0"/>
              <w:snapToGrid w:val="0"/>
              <w:textAlignment w:val="auto"/>
              <w:rPr>
                <w:rFonts w:hint="eastAsia" w:ascii="黑体" w:hAnsi="黑体" w:eastAsia="黑体" w:cs="黑体"/>
                <w:color w:val="auto"/>
                <w:kern w:val="0"/>
                <w:sz w:val="15"/>
                <w:szCs w:val="15"/>
                <w:highlight w:val="none"/>
                <w:lang w:bidi="ar"/>
              </w:rPr>
            </w:pPr>
            <w:r>
              <w:rPr>
                <w:rFonts w:hint="eastAsia" w:ascii="黑体" w:hAnsi="黑体" w:eastAsia="黑体" w:cs="黑体"/>
                <w:color w:val="auto"/>
                <w:kern w:val="0"/>
                <w:sz w:val="18"/>
                <w:szCs w:val="18"/>
                <w:highlight w:val="none"/>
                <w:lang w:bidi="ar"/>
              </w:rPr>
              <w:t>注1</w:t>
            </w:r>
            <w:r>
              <w:rPr>
                <w:rFonts w:hint="eastAsia" w:ascii="黑体" w:hAnsi="黑体" w:eastAsia="黑体" w:cs="黑体"/>
                <w:color w:val="auto"/>
                <w:kern w:val="0"/>
                <w:sz w:val="18"/>
                <w:szCs w:val="18"/>
                <w:highlight w:val="none"/>
                <w:lang w:eastAsia="zh-CN" w:bidi="ar"/>
              </w:rPr>
              <w:t>：</w:t>
            </w:r>
            <w:r>
              <w:rPr>
                <w:rFonts w:hint="eastAsia" w:ascii="宋体" w:hAnsi="宋体" w:eastAsia="宋体" w:cs="宋体"/>
                <w:color w:val="auto"/>
                <w:kern w:val="0"/>
                <w:sz w:val="18"/>
                <w:szCs w:val="18"/>
                <w:highlight w:val="none"/>
                <w:lang w:bidi="ar"/>
              </w:rPr>
              <w:t>MF/HF无线电装置可替代MF无线电装置。</w:t>
            </w:r>
          </w:p>
          <w:p w14:paraId="5211EB1C">
            <w:pPr>
              <w:pStyle w:val="517"/>
              <w:keepNext w:val="0"/>
              <w:keepLines w:val="0"/>
              <w:pageBreakBefore w:val="0"/>
              <w:widowControl/>
              <w:kinsoku/>
              <w:wordWrap/>
              <w:overflowPunct/>
              <w:topLinePunct w:val="0"/>
              <w:autoSpaceDE/>
              <w:autoSpaceDN/>
              <w:bidi w:val="0"/>
              <w:adjustRightInd w:val="0"/>
              <w:snapToGrid w:val="0"/>
              <w:jc w:val="both"/>
              <w:textAlignment w:val="auto"/>
              <w:rPr>
                <w:rFonts w:hint="eastAsia" w:ascii="黑体" w:hAnsi="黑体" w:eastAsia="黑体" w:cs="黑体"/>
                <w:color w:val="auto"/>
                <w:kern w:val="0"/>
                <w:sz w:val="15"/>
                <w:szCs w:val="15"/>
                <w:highlight w:val="none"/>
                <w:lang w:bidi="ar"/>
              </w:rPr>
            </w:pPr>
            <w:r>
              <w:rPr>
                <w:rFonts w:hint="eastAsia" w:ascii="黑体" w:hAnsi="黑体" w:eastAsia="黑体" w:cs="黑体"/>
                <w:color w:val="auto"/>
                <w:kern w:val="0"/>
                <w:sz w:val="18"/>
                <w:szCs w:val="18"/>
                <w:highlight w:val="none"/>
                <w:lang w:val="en-US" w:eastAsia="zh-CN" w:bidi="ar"/>
              </w:rPr>
              <w:t>注2：</w:t>
            </w:r>
            <w:r>
              <w:rPr>
                <w:rFonts w:hint="eastAsia" w:ascii="宋体" w:hAnsi="宋体" w:eastAsia="宋体" w:cs="宋体"/>
                <w:color w:val="auto"/>
                <w:kern w:val="0"/>
                <w:sz w:val="18"/>
                <w:szCs w:val="18"/>
                <w:highlight w:val="none"/>
                <w:lang w:bidi="ar"/>
              </w:rPr>
              <w:t>可以是结合使用船舶地面站和EGC</w:t>
            </w:r>
            <w:r>
              <w:rPr>
                <w:rFonts w:hint="eastAsia" w:ascii="宋体" w:hAnsi="宋体" w:eastAsia="宋体" w:cs="宋体"/>
                <w:color w:val="auto"/>
                <w:kern w:val="0"/>
                <w:sz w:val="18"/>
                <w:szCs w:val="18"/>
                <w:highlight w:val="none"/>
                <w:lang w:val="en-US" w:eastAsia="zh-CN" w:bidi="ar"/>
              </w:rPr>
              <w:t>接收机</w:t>
            </w:r>
            <w:r>
              <w:rPr>
                <w:rFonts w:hint="eastAsia" w:ascii="宋体" w:hAnsi="宋体" w:eastAsia="宋体" w:cs="宋体"/>
                <w:color w:val="auto"/>
                <w:kern w:val="0"/>
                <w:sz w:val="18"/>
                <w:szCs w:val="18"/>
                <w:highlight w:val="none"/>
                <w:lang w:bidi="ar"/>
              </w:rPr>
              <w:t>或设备的单独部件。</w:t>
            </w:r>
            <w:r>
              <w:rPr>
                <w:rFonts w:hint="eastAsia" w:ascii="宋体" w:hAnsi="宋体" w:eastAsia="宋体" w:cs="宋体"/>
                <w:color w:val="auto"/>
                <w:kern w:val="0"/>
                <w:sz w:val="18"/>
                <w:szCs w:val="18"/>
                <w:highlight w:val="none"/>
                <w:lang w:val="en-US" w:eastAsia="zh-CN" w:bidi="ar"/>
              </w:rPr>
              <w:t>当</w:t>
            </w:r>
            <w:r>
              <w:rPr>
                <w:rFonts w:hint="eastAsia" w:ascii="宋体" w:hAnsi="宋体" w:eastAsia="宋体" w:cs="宋体"/>
                <w:color w:val="auto"/>
                <w:kern w:val="0"/>
                <w:sz w:val="18"/>
                <w:szCs w:val="18"/>
                <w:highlight w:val="none"/>
                <w:lang w:bidi="ar"/>
              </w:rPr>
              <w:t>船舶没有配备其他适合设备，NAVTEX接收机可以被允许继续使用以接收MSI。</w:t>
            </w:r>
          </w:p>
          <w:p w14:paraId="1F089EAF">
            <w:pPr>
              <w:pStyle w:val="517"/>
              <w:keepNext w:val="0"/>
              <w:keepLines w:val="0"/>
              <w:pageBreakBefore w:val="0"/>
              <w:widowControl/>
              <w:kinsoku/>
              <w:wordWrap/>
              <w:overflowPunct/>
              <w:topLinePunct w:val="0"/>
              <w:autoSpaceDE/>
              <w:autoSpaceDN/>
              <w:bidi w:val="0"/>
              <w:adjustRightInd w:val="0"/>
              <w:snapToGrid w:val="0"/>
              <w:jc w:val="both"/>
              <w:textAlignment w:val="auto"/>
              <w:rPr>
                <w:rFonts w:hint="eastAsia" w:ascii="宋体" w:hAnsi="宋体" w:eastAsia="宋体" w:cs="宋体"/>
                <w:color w:val="auto"/>
                <w:kern w:val="0"/>
                <w:sz w:val="15"/>
                <w:szCs w:val="15"/>
                <w:highlight w:val="none"/>
                <w:lang w:bidi="ar"/>
              </w:rPr>
            </w:pPr>
            <w:r>
              <w:rPr>
                <w:rFonts w:hint="eastAsia" w:ascii="黑体" w:hAnsi="黑体" w:eastAsia="黑体" w:cs="黑体"/>
                <w:color w:val="auto"/>
                <w:kern w:val="0"/>
                <w:sz w:val="18"/>
                <w:szCs w:val="18"/>
                <w:highlight w:val="none"/>
                <w:lang w:val="en-US" w:eastAsia="zh-CN" w:bidi="ar"/>
              </w:rPr>
              <w:t>注3：</w:t>
            </w:r>
            <w:r>
              <w:rPr>
                <w:rFonts w:hint="eastAsia" w:ascii="宋体" w:hAnsi="宋体" w:eastAsia="宋体" w:cs="宋体"/>
                <w:color w:val="auto"/>
                <w:kern w:val="0"/>
                <w:sz w:val="18"/>
                <w:szCs w:val="18"/>
                <w:highlight w:val="none"/>
                <w:lang w:bidi="ar"/>
              </w:rPr>
              <w:t>海区划分详见</w:t>
            </w:r>
            <w:r>
              <w:rPr>
                <w:rFonts w:hint="eastAsia" w:ascii="宋体" w:hAnsi="宋体" w:eastAsia="宋体" w:cs="宋体"/>
                <w:color w:val="auto"/>
                <w:kern w:val="0"/>
                <w:sz w:val="18"/>
                <w:szCs w:val="18"/>
                <w:highlight w:val="none"/>
                <w:lang w:val="en-US" w:eastAsia="zh-CN" w:bidi="ar"/>
              </w:rPr>
              <w:t>SOLAS</w:t>
            </w:r>
            <w:r>
              <w:rPr>
                <w:rFonts w:hint="eastAsia" w:ascii="宋体" w:hAnsi="宋体" w:eastAsia="宋体" w:cs="宋体"/>
                <w:color w:val="auto"/>
                <w:kern w:val="0"/>
                <w:sz w:val="18"/>
                <w:szCs w:val="18"/>
                <w:highlight w:val="none"/>
                <w:lang w:bidi="ar"/>
              </w:rPr>
              <w:t>（中国海区参见“海事局公告-关于发布我国沿海A1、A2海区覆盖范围的公告”）。</w:t>
            </w:r>
          </w:p>
        </w:tc>
      </w:tr>
    </w:tbl>
    <w:p w14:paraId="3A0698A0">
      <w:pPr>
        <w:pStyle w:val="327"/>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无线电通信</w:t>
      </w:r>
      <w:r>
        <w:rPr>
          <w:rFonts w:hint="eastAsia" w:ascii="宋体" w:hAnsi="宋体" w:eastAsia="宋体" w:cs="宋体"/>
          <w:color w:val="auto"/>
          <w:highlight w:val="none"/>
        </w:rPr>
        <w:t>设备的值班</w:t>
      </w:r>
      <w:r>
        <w:rPr>
          <w:rFonts w:hint="eastAsia" w:ascii="宋体" w:hAnsi="宋体" w:eastAsia="宋体" w:cs="宋体"/>
          <w:color w:val="auto"/>
          <w:highlight w:val="none"/>
          <w:lang w:val="en-US" w:eastAsia="zh-CN"/>
        </w:rPr>
        <w:t>应满足以下</w:t>
      </w:r>
      <w:r>
        <w:rPr>
          <w:rFonts w:hint="eastAsia" w:ascii="宋体" w:hAnsi="宋体" w:eastAsia="宋体" w:cs="宋体"/>
          <w:color w:val="auto"/>
          <w:highlight w:val="none"/>
        </w:rPr>
        <w:t>要求</w:t>
      </w:r>
      <w:r>
        <w:rPr>
          <w:rFonts w:hint="eastAsia" w:ascii="宋体" w:hAnsi="宋体" w:eastAsia="宋体" w:cs="宋体"/>
          <w:color w:val="auto"/>
          <w:highlight w:val="none"/>
          <w:lang w:eastAsia="zh-CN"/>
        </w:rPr>
        <w:t>：</w:t>
      </w:r>
    </w:p>
    <w:p w14:paraId="32316B18">
      <w:pPr>
        <w:pStyle w:val="305"/>
        <w:numPr>
          <w:ilvl w:val="0"/>
          <w:numId w:val="10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配备MF/HF无线电装置的FPSO在DSC遇险与安全频率2187.5 kHz上保持连续值守；</w:t>
      </w:r>
    </w:p>
    <w:p w14:paraId="1BAC2382">
      <w:pPr>
        <w:pStyle w:val="305"/>
        <w:numPr>
          <w:ilvl w:val="0"/>
          <w:numId w:val="10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配备VHF无线电装置的FPSO在DSC遇险与安全频道CH70（156.525MHz）上保持连续值守；</w:t>
      </w:r>
    </w:p>
    <w:p w14:paraId="1D9BA6AB">
      <w:pPr>
        <w:pStyle w:val="305"/>
        <w:numPr>
          <w:ilvl w:val="0"/>
          <w:numId w:val="10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国际海事卫星（Inmarsat）或铱星（Iridium）船舶地面站应保持连续有效值守；</w:t>
      </w:r>
    </w:p>
    <w:p w14:paraId="13E71C88">
      <w:pPr>
        <w:pStyle w:val="305"/>
        <w:numPr>
          <w:ilvl w:val="0"/>
          <w:numId w:val="109"/>
        </w:numPr>
        <w:ind w:left="839" w:leftChars="0" w:hanging="419"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highlight w:val="none"/>
          <w:lang w:val="en-US" w:eastAsia="zh-CN"/>
        </w:rPr>
        <w:t>MSI接收机（奈伏泰斯（NAVTEX）或增强群呼接收机应连续值守以接收海上安全信息（MSI）</w:t>
      </w:r>
      <w:r>
        <w:rPr>
          <w:rFonts w:hint="eastAsia" w:ascii="宋体" w:hAnsi="宋体" w:eastAsia="宋体" w:cs="宋体"/>
          <w:color w:val="auto"/>
          <w:sz w:val="21"/>
          <w:szCs w:val="21"/>
          <w:highlight w:val="none"/>
          <w:lang w:val="en-US" w:eastAsia="zh-CN"/>
        </w:rPr>
        <w:t>。</w:t>
      </w:r>
    </w:p>
    <w:p w14:paraId="2299EC2B">
      <w:pPr>
        <w:pStyle w:val="327"/>
        <w:ind w:left="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有直升机运输服务的</w:t>
      </w:r>
      <w:r>
        <w:rPr>
          <w:rFonts w:hint="eastAsia" w:asciiTheme="majorEastAsia" w:hAnsiTheme="majorEastAsia" w:eastAsiaTheme="majorEastAsia" w:cstheme="majorEastAsia"/>
          <w:color w:val="auto"/>
          <w:highlight w:val="none"/>
          <w:lang w:eastAsia="zh-CN"/>
        </w:rPr>
        <w:t>FPSO</w:t>
      </w:r>
      <w:r>
        <w:rPr>
          <w:rFonts w:hint="eastAsia" w:asciiTheme="majorEastAsia" w:hAnsiTheme="majorEastAsia" w:eastAsiaTheme="majorEastAsia" w:cstheme="majorEastAsia"/>
          <w:color w:val="auto"/>
          <w:highlight w:val="none"/>
          <w:lang w:val="en-US" w:eastAsia="zh-CN"/>
        </w:rPr>
        <w:t>的通信配置应满足GB 46766的要求</w:t>
      </w:r>
      <w:r>
        <w:rPr>
          <w:rFonts w:hint="eastAsia" w:asciiTheme="majorEastAsia" w:hAnsiTheme="majorEastAsia" w:eastAsiaTheme="majorEastAsia" w:cstheme="majorEastAsia"/>
          <w:color w:val="auto"/>
          <w:highlight w:val="none"/>
        </w:rPr>
        <w:t>。</w:t>
      </w:r>
    </w:p>
    <w:p w14:paraId="5494F6BF">
      <w:pPr>
        <w:pStyle w:val="261"/>
        <w:spacing w:before="156" w:after="156"/>
        <w:outlineLvl w:val="2"/>
        <w:rPr>
          <w:rFonts w:hint="default" w:ascii="Times New Roman" w:hAnsi="Times New Roman" w:cs="Times New Roman"/>
          <w:color w:val="auto"/>
          <w:highlight w:val="none"/>
        </w:rPr>
      </w:pPr>
      <w:bookmarkStart w:id="2064" w:name="_Toc531"/>
      <w:bookmarkStart w:id="2065" w:name="_Toc29161"/>
      <w:bookmarkStart w:id="2066" w:name="_Toc23637"/>
      <w:bookmarkStart w:id="2067" w:name="_Toc3421"/>
      <w:bookmarkStart w:id="2068" w:name="_Toc17956"/>
      <w:bookmarkStart w:id="2069" w:name="_Toc17608"/>
      <w:bookmarkStart w:id="2070" w:name="_Toc11866"/>
      <w:r>
        <w:rPr>
          <w:rFonts w:hint="default" w:ascii="Times New Roman" w:hAnsi="Times New Roman" w:cs="Times New Roman"/>
          <w:color w:val="auto"/>
          <w:highlight w:val="none"/>
        </w:rPr>
        <w:t>内部通信设备</w:t>
      </w:r>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14:paraId="2018F11C">
      <w:pPr>
        <w:pStyle w:val="290"/>
        <w:numPr>
          <w:ilvl w:val="3"/>
          <w:numId w:val="0"/>
        </w:numPr>
        <w:spacing w:before="0" w:beforeLines="0" w:after="0" w:afterLines="0"/>
        <w:ind w:firstLine="420" w:firstLineChars="200"/>
        <w:outlineLvl w:val="9"/>
        <w:rPr>
          <w:rFonts w:hint="default" w:ascii="Times New Roman" w:hAnsi="Times New Roman" w:eastAsia="宋体" w:cs="Times New Roman"/>
          <w:color w:val="auto"/>
          <w:highlight w:val="none"/>
        </w:rPr>
      </w:pPr>
      <w:r>
        <w:rPr>
          <w:rFonts w:hint="default" w:ascii="Times New Roman" w:hAnsi="Times New Roman" w:cs="Times New Roman" w:eastAsiaTheme="minorEastAsia"/>
          <w:color w:val="auto"/>
          <w:highlight w:val="none"/>
          <w:lang w:val="en-US" w:eastAsia="zh-CN"/>
        </w:rPr>
        <w:t>内部通信设备的配置应</w:t>
      </w:r>
      <w:r>
        <w:rPr>
          <w:rFonts w:hint="eastAsia" w:ascii="Times New Roman" w:hAnsi="Times New Roman" w:cs="Times New Roman" w:eastAsiaTheme="minorEastAsia"/>
          <w:color w:val="auto"/>
          <w:highlight w:val="none"/>
          <w:lang w:val="en-US" w:eastAsia="zh-CN"/>
        </w:rPr>
        <w:t>满足</w:t>
      </w:r>
      <w:r>
        <w:rPr>
          <w:rFonts w:hint="eastAsia" w:ascii="宋体" w:hAnsi="宋体" w:eastAsia="宋体" w:cs="宋体"/>
          <w:color w:val="auto"/>
          <w:highlight w:val="none"/>
          <w:lang w:val="en-US" w:eastAsia="zh-CN"/>
        </w:rPr>
        <w:t xml:space="preserve">GB </w:t>
      </w:r>
      <w:r>
        <w:rPr>
          <w:rFonts w:hint="eastAsia" w:ascii="宋体" w:hAnsi="宋体" w:cs="宋体"/>
          <w:color w:val="auto"/>
          <w:highlight w:val="none"/>
          <w:lang w:val="en-US" w:eastAsia="zh-CN"/>
        </w:rPr>
        <w:t>46766</w:t>
      </w:r>
      <w:r>
        <w:rPr>
          <w:rFonts w:hint="eastAsia" w:ascii="宋体" w:hAnsi="宋体" w:eastAsia="宋体" w:cs="宋体"/>
          <w:color w:val="auto"/>
          <w:highlight w:val="none"/>
          <w:lang w:val="en-US" w:eastAsia="zh-CN"/>
        </w:rPr>
        <w:t>的要求</w:t>
      </w:r>
      <w:r>
        <w:rPr>
          <w:rFonts w:hint="default" w:ascii="Times New Roman" w:hAnsi="Times New Roman" w:cs="Times New Roman" w:eastAsiaTheme="minorEastAsia"/>
          <w:color w:val="auto"/>
          <w:highlight w:val="none"/>
          <w:lang w:val="en-US" w:eastAsia="zh-CN"/>
        </w:rPr>
        <w:t>。</w:t>
      </w:r>
    </w:p>
    <w:p w14:paraId="4895E814">
      <w:pPr>
        <w:pStyle w:val="260"/>
        <w:outlineLvl w:val="1"/>
        <w:rPr>
          <w:rFonts w:hint="default" w:ascii="Times New Roman" w:hAnsi="Times New Roman" w:cs="Times New Roman"/>
          <w:color w:val="auto"/>
          <w:highlight w:val="none"/>
        </w:rPr>
      </w:pPr>
      <w:bookmarkStart w:id="2071" w:name="_Toc24187"/>
      <w:bookmarkStart w:id="2072" w:name="_Toc26982"/>
      <w:bookmarkStart w:id="2073" w:name="_Toc29281"/>
      <w:bookmarkStart w:id="2074" w:name="_Toc5914"/>
      <w:bookmarkStart w:id="2075" w:name="_Toc31276"/>
      <w:bookmarkStart w:id="2076" w:name="_Toc4147"/>
      <w:bookmarkStart w:id="2077" w:name="_Toc16586"/>
      <w:bookmarkStart w:id="2078" w:name="_Toc17414"/>
      <w:bookmarkStart w:id="2079" w:name="_Toc28874"/>
      <w:bookmarkStart w:id="2080" w:name="_Toc28498"/>
      <w:bookmarkStart w:id="2081" w:name="_Toc183727761"/>
      <w:bookmarkStart w:id="2082" w:name="_Toc4914"/>
      <w:r>
        <w:rPr>
          <w:rFonts w:hint="default" w:ascii="Times New Roman" w:hAnsi="Times New Roman" w:cs="Times New Roman"/>
          <w:color w:val="auto"/>
          <w:highlight w:val="none"/>
        </w:rPr>
        <w:t>安全技术要求</w:t>
      </w:r>
      <w:bookmarkEnd w:id="2071"/>
      <w:bookmarkEnd w:id="2072"/>
      <w:bookmarkEnd w:id="2073"/>
      <w:bookmarkEnd w:id="2074"/>
      <w:bookmarkEnd w:id="2075"/>
      <w:bookmarkEnd w:id="2076"/>
      <w:bookmarkEnd w:id="2077"/>
      <w:bookmarkEnd w:id="2078"/>
    </w:p>
    <w:p w14:paraId="3BC69AEC">
      <w:pPr>
        <w:ind w:firstLine="420" w:firstLineChars="200"/>
        <w:rPr>
          <w:rFonts w:hint="default" w:ascii="Times New Roman" w:hAnsi="Times New Roman" w:eastAsia="宋体" w:cs="Times New Roman"/>
          <w:color w:val="auto"/>
          <w:w w:val="95"/>
          <w:sz w:val="21"/>
          <w:highlight w:val="none"/>
        </w:rPr>
      </w:pPr>
      <w:r>
        <w:rPr>
          <w:rFonts w:hint="default" w:ascii="Times New Roman" w:hAnsi="Times New Roman" w:cs="Times New Roman" w:eastAsiaTheme="minorEastAsia"/>
          <w:color w:val="auto"/>
          <w:kern w:val="0"/>
          <w:sz w:val="21"/>
          <w:szCs w:val="21"/>
          <w:highlight w:val="none"/>
          <w:lang w:val="en-US" w:eastAsia="zh-CN" w:bidi="ar-SA"/>
        </w:rPr>
        <w:t>通信设备的安装与选型、无线电室的布置与安装、危险区的无线电通信设备</w:t>
      </w:r>
      <w:r>
        <w:rPr>
          <w:rFonts w:hint="eastAsia" w:ascii="Times New Roman" w:hAnsi="Times New Roman" w:cs="Times New Roman" w:eastAsiaTheme="minorEastAsia"/>
          <w:color w:val="auto"/>
          <w:kern w:val="0"/>
          <w:sz w:val="21"/>
          <w:szCs w:val="21"/>
          <w:highlight w:val="none"/>
          <w:lang w:val="en-US" w:eastAsia="zh-CN" w:bidi="ar-SA"/>
        </w:rPr>
        <w:t>应</w:t>
      </w:r>
      <w:r>
        <w:rPr>
          <w:rFonts w:hint="default" w:ascii="Times New Roman" w:hAnsi="Times New Roman" w:cs="Times New Roman" w:eastAsiaTheme="minorEastAsia"/>
          <w:color w:val="auto"/>
          <w:kern w:val="0"/>
          <w:sz w:val="21"/>
          <w:szCs w:val="21"/>
          <w:highlight w:val="none"/>
          <w:lang w:val="en-US" w:eastAsia="zh-CN" w:bidi="ar-SA"/>
        </w:rPr>
        <w:t>满足</w:t>
      </w:r>
      <w:r>
        <w:rPr>
          <w:rFonts w:hint="eastAsia" w:ascii="Times New Roman" w:hAnsi="Times New Roman" w:cs="Times New Roman" w:eastAsiaTheme="minorEastAsia"/>
          <w:color w:val="auto"/>
          <w:kern w:val="0"/>
          <w:sz w:val="21"/>
          <w:szCs w:val="21"/>
          <w:highlight w:val="none"/>
          <w:lang w:val="en-US" w:eastAsia="zh-CN" w:bidi="ar-SA"/>
        </w:rPr>
        <w:t>GB 46766的要求。</w:t>
      </w:r>
    </w:p>
    <w:bookmarkEnd w:id="2079"/>
    <w:bookmarkEnd w:id="2080"/>
    <w:bookmarkEnd w:id="2081"/>
    <w:bookmarkEnd w:id="2082"/>
    <w:p w14:paraId="65DE7F91">
      <w:pPr>
        <w:pStyle w:val="260"/>
        <w:outlineLvl w:val="1"/>
        <w:rPr>
          <w:rFonts w:hint="default" w:ascii="Times New Roman" w:hAnsi="Times New Roman" w:cs="Times New Roman"/>
          <w:color w:val="auto"/>
          <w:highlight w:val="none"/>
        </w:rPr>
      </w:pPr>
      <w:bookmarkStart w:id="2083" w:name="_Toc5853"/>
      <w:bookmarkStart w:id="2084" w:name="_Toc15740"/>
      <w:bookmarkStart w:id="2085" w:name="_Toc19676"/>
      <w:bookmarkStart w:id="2086" w:name="_Toc30501"/>
      <w:bookmarkStart w:id="2087" w:name="_Toc7535"/>
      <w:bookmarkStart w:id="2088" w:name="_Toc15089"/>
      <w:bookmarkStart w:id="2089" w:name="_Toc183727764"/>
      <w:bookmarkStart w:id="2090" w:name="_Toc8723"/>
      <w:bookmarkStart w:id="2091" w:name="_Toc24810"/>
      <w:bookmarkStart w:id="2092" w:name="_Toc28339"/>
      <w:bookmarkStart w:id="2093" w:name="_Toc31269"/>
      <w:bookmarkStart w:id="2094" w:name="_Toc28462"/>
      <w:bookmarkStart w:id="2095" w:name="_Toc27879"/>
      <w:bookmarkStart w:id="2096" w:name="_Toc14725"/>
      <w:bookmarkStart w:id="2097" w:name="_Toc15180"/>
      <w:r>
        <w:rPr>
          <w:rFonts w:hint="default" w:ascii="Times New Roman" w:hAnsi="Times New Roman" w:cs="Times New Roman"/>
          <w:color w:val="auto"/>
          <w:highlight w:val="none"/>
        </w:rPr>
        <w:t>危险区的无线电通信设备</w:t>
      </w:r>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p>
    <w:p w14:paraId="382194DE">
      <w:pPr>
        <w:pStyle w:val="326"/>
        <w:rPr>
          <w:rFonts w:hint="default" w:ascii="Times New Roman" w:hAnsi="Times New Roman" w:cs="Times New Roman" w:eastAsiaTheme="minorEastAsia"/>
          <w:color w:val="auto"/>
          <w:highlight w:val="none"/>
        </w:rPr>
      </w:pPr>
      <w:r>
        <w:rPr>
          <w:rFonts w:hint="eastAsia" w:ascii="Times New Roman" w:cs="Times New Roman" w:eastAsiaTheme="minorEastAsia"/>
          <w:color w:val="auto"/>
          <w:highlight w:val="none"/>
          <w:lang w:val="en-US" w:eastAsia="zh-CN"/>
        </w:rPr>
        <w:t>不应</w:t>
      </w:r>
      <w:r>
        <w:rPr>
          <w:rFonts w:hint="default" w:ascii="Times New Roman" w:hAnsi="Times New Roman" w:cs="Times New Roman" w:eastAsiaTheme="minorEastAsia"/>
          <w:color w:val="auto"/>
          <w:highlight w:val="none"/>
        </w:rPr>
        <w:t>在危险区内架设中频、高频发信天线。</w:t>
      </w:r>
    </w:p>
    <w:p w14:paraId="324C031D">
      <w:pPr>
        <w:pStyle w:val="32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用于危险区内的无线电对讲机</w:t>
      </w:r>
      <w:r>
        <w:rPr>
          <w:rFonts w:hint="eastAsia" w:ascii="Times New Roman" w:cs="Times New Roman" w:eastAsiaTheme="minorEastAsia"/>
          <w:color w:val="auto"/>
          <w:highlight w:val="none"/>
          <w:lang w:val="en-US" w:eastAsia="zh-CN"/>
        </w:rPr>
        <w:t>应满足</w:t>
      </w:r>
      <w:r>
        <w:rPr>
          <w:rFonts w:hint="default" w:ascii="Times New Roman" w:hAnsi="Times New Roman" w:cs="Times New Roman" w:eastAsiaTheme="minorEastAsia"/>
          <w:color w:val="auto"/>
          <w:highlight w:val="none"/>
        </w:rPr>
        <w:t>该危险区的防爆要求。本质安全型对讲机的电池充电应在</w:t>
      </w:r>
      <w:r>
        <w:rPr>
          <w:rFonts w:hint="eastAsia" w:ascii="Times New Roman" w:cs="Times New Roman" w:eastAsiaTheme="minorEastAsia"/>
          <w:color w:val="auto"/>
          <w:highlight w:val="none"/>
          <w:lang w:eastAsia="zh-CN"/>
        </w:rPr>
        <w:t>非危险区</w:t>
      </w:r>
      <w:r>
        <w:rPr>
          <w:rFonts w:hint="default" w:ascii="Times New Roman" w:hAnsi="Times New Roman" w:cs="Times New Roman" w:eastAsiaTheme="minorEastAsia"/>
          <w:color w:val="auto"/>
          <w:highlight w:val="none"/>
        </w:rPr>
        <w:t>内进行，</w:t>
      </w:r>
      <w:r>
        <w:rPr>
          <w:rFonts w:hint="default" w:ascii="Times New Roman"/>
          <w:color w:val="auto"/>
          <w:highlight w:val="none"/>
          <w:lang w:val="en-US" w:eastAsia="zh-CN"/>
        </w:rPr>
        <w:t>其替换</w:t>
      </w:r>
      <w:r>
        <w:rPr>
          <w:rFonts w:ascii="Times New Roman"/>
          <w:color w:val="auto"/>
          <w:highlight w:val="none"/>
        </w:rPr>
        <w:t>电池</w:t>
      </w:r>
      <w:r>
        <w:rPr>
          <w:rFonts w:hint="default" w:ascii="Times New Roman"/>
          <w:color w:val="auto"/>
          <w:highlight w:val="none"/>
          <w:lang w:val="en-US" w:eastAsia="zh-CN"/>
        </w:rPr>
        <w:t>应为</w:t>
      </w:r>
      <w:r>
        <w:rPr>
          <w:rFonts w:ascii="Times New Roman"/>
          <w:color w:val="auto"/>
          <w:highlight w:val="none"/>
        </w:rPr>
        <w:t>本质安全型</w:t>
      </w:r>
      <w:r>
        <w:rPr>
          <w:rFonts w:hint="default" w:ascii="Times New Roman" w:hAnsi="Times New Roman" w:cs="Times New Roman" w:eastAsiaTheme="minorEastAsia"/>
          <w:color w:val="auto"/>
          <w:highlight w:val="none"/>
        </w:rPr>
        <w:t>。</w:t>
      </w:r>
    </w:p>
    <w:p w14:paraId="5B440714">
      <w:pPr>
        <w:pStyle w:val="326"/>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安装于危险区内的电话和广播设施应</w:t>
      </w:r>
      <w:r>
        <w:rPr>
          <w:rFonts w:hint="eastAsia" w:ascii="Times New Roman" w:cs="Times New Roman" w:eastAsiaTheme="minorEastAsia"/>
          <w:color w:val="auto"/>
          <w:highlight w:val="none"/>
          <w:lang w:val="en-US" w:eastAsia="zh-CN"/>
        </w:rPr>
        <w:t>满足</w:t>
      </w:r>
      <w:r>
        <w:rPr>
          <w:rFonts w:hint="default" w:ascii="Times New Roman" w:hAnsi="Times New Roman" w:cs="Times New Roman" w:eastAsiaTheme="minorEastAsia"/>
          <w:color w:val="auto"/>
          <w:highlight w:val="none"/>
        </w:rPr>
        <w:t>该危险区的防爆要求。</w:t>
      </w:r>
    </w:p>
    <w:p w14:paraId="2B7EF681">
      <w:pPr>
        <w:pStyle w:val="259"/>
        <w:outlineLvl w:val="0"/>
        <w:rPr>
          <w:rFonts w:hint="default" w:ascii="Times New Roman" w:hAnsi="Times New Roman" w:cs="Times New Roman"/>
          <w:color w:val="auto"/>
          <w:highlight w:val="none"/>
        </w:rPr>
      </w:pPr>
      <w:bookmarkStart w:id="2098" w:name="_Toc1426"/>
      <w:bookmarkStart w:id="2099" w:name="_Toc2552"/>
      <w:bookmarkStart w:id="2100" w:name="_Toc657"/>
      <w:bookmarkStart w:id="2101" w:name="_Toc20400"/>
      <w:bookmarkStart w:id="2102" w:name="_Toc7696"/>
      <w:bookmarkStart w:id="2103" w:name="_Toc31820"/>
      <w:bookmarkStart w:id="2104" w:name="_Toc183727773"/>
      <w:bookmarkStart w:id="2105" w:name="_Toc31055"/>
      <w:bookmarkStart w:id="2106" w:name="_Toc24294"/>
      <w:bookmarkStart w:id="2107" w:name="_Toc21642"/>
      <w:bookmarkStart w:id="2108" w:name="_Toc15773"/>
      <w:r>
        <w:rPr>
          <w:rFonts w:hint="default" w:ascii="Times New Roman" w:hAnsi="Times New Roman" w:cs="Times New Roman"/>
          <w:color w:val="auto"/>
          <w:highlight w:val="none"/>
        </w:rPr>
        <w:t>操作安全要求</w:t>
      </w:r>
      <w:bookmarkEnd w:id="2098"/>
      <w:bookmarkEnd w:id="2099"/>
      <w:bookmarkEnd w:id="2100"/>
      <w:bookmarkEnd w:id="2101"/>
      <w:bookmarkEnd w:id="2102"/>
      <w:bookmarkEnd w:id="2103"/>
      <w:bookmarkEnd w:id="2104"/>
      <w:bookmarkEnd w:id="2105"/>
      <w:bookmarkEnd w:id="2106"/>
      <w:bookmarkEnd w:id="2107"/>
      <w:bookmarkEnd w:id="2108"/>
    </w:p>
    <w:p w14:paraId="283A24E9">
      <w:pPr>
        <w:pStyle w:val="260"/>
        <w:jc w:val="both"/>
        <w:outlineLvl w:val="1"/>
        <w:rPr>
          <w:rFonts w:hint="default" w:ascii="Times New Roman" w:hAnsi="Times New Roman" w:cs="Times New Roman"/>
          <w:color w:val="auto"/>
          <w:highlight w:val="none"/>
        </w:rPr>
      </w:pPr>
      <w:bookmarkStart w:id="2109" w:name="_Toc10784"/>
      <w:bookmarkStart w:id="2110" w:name="_Toc10"/>
      <w:r>
        <w:rPr>
          <w:rFonts w:hint="eastAsia" w:ascii="Times New Roman" w:cs="Times New Roman"/>
          <w:color w:val="auto"/>
          <w:highlight w:val="none"/>
          <w:lang w:val="en-US" w:eastAsia="zh-CN"/>
        </w:rPr>
        <w:t>一般要求</w:t>
      </w:r>
      <w:bookmarkEnd w:id="2109"/>
      <w:bookmarkEnd w:id="2110"/>
    </w:p>
    <w:p w14:paraId="0D0FAFCA">
      <w:pPr>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为保障海洋石油作业中的人员生命及财产安全</w:t>
      </w:r>
      <w:r>
        <w:rPr>
          <w:rFonts w:hint="eastAsia" w:cs="Times New Roman"/>
          <w:color w:val="auto"/>
          <w:highlight w:val="none"/>
          <w:lang w:eastAsia="zh-CN"/>
        </w:rPr>
        <w:t>，</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lang w:val="en-US" w:eastAsia="zh-CN"/>
        </w:rPr>
        <w:t>生产</w:t>
      </w:r>
      <w:r>
        <w:rPr>
          <w:rFonts w:hint="eastAsia" w:ascii="宋体" w:hAnsi="宋体" w:cs="宋体"/>
          <w:color w:val="auto"/>
          <w:highlight w:val="none"/>
          <w:lang w:val="en-US" w:eastAsia="zh-CN"/>
        </w:rPr>
        <w:t>操作</w:t>
      </w:r>
      <w:r>
        <w:rPr>
          <w:rFonts w:hint="eastAsia" w:ascii="宋体" w:hAnsi="宋体" w:eastAsia="宋体" w:cs="宋体"/>
          <w:color w:val="auto"/>
          <w:highlight w:val="none"/>
          <w:lang w:val="en-US" w:eastAsia="zh-CN"/>
        </w:rPr>
        <w:t>除应满足GB 40554.1和</w:t>
      </w:r>
      <w:r>
        <w:rPr>
          <w:rFonts w:hint="eastAsia" w:ascii="宋体" w:hAnsi="宋体" w:eastAsia="宋体" w:cs="宋体"/>
          <w:color w:val="auto"/>
          <w:highlight w:val="none"/>
        </w:rPr>
        <w:t>GB</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40554.2</w:t>
      </w:r>
      <w:r>
        <w:rPr>
          <w:rFonts w:hint="eastAsia" w:ascii="宋体" w:hAnsi="宋体" w:eastAsia="宋体" w:cs="宋体"/>
          <w:color w:val="auto"/>
          <w:highlight w:val="none"/>
          <w:lang w:val="en-US" w:eastAsia="zh-CN"/>
        </w:rPr>
        <w:t>的作业安全要求</w:t>
      </w:r>
      <w:r>
        <w:rPr>
          <w:rFonts w:hint="eastAsia" w:ascii="宋体" w:hAnsi="宋体" w:cs="宋体"/>
          <w:color w:val="auto"/>
          <w:highlight w:val="none"/>
          <w:lang w:val="en-US" w:eastAsia="zh-CN"/>
        </w:rPr>
        <w:t>外</w:t>
      </w:r>
      <w:r>
        <w:rPr>
          <w:rFonts w:hint="eastAsia" w:ascii="宋体" w:hAnsi="宋体" w:eastAsia="宋体" w:cs="宋体"/>
          <w:color w:val="auto"/>
          <w:highlight w:val="none"/>
          <w:lang w:val="en-US" w:eastAsia="zh-CN"/>
        </w:rPr>
        <w:t>，还</w:t>
      </w:r>
      <w:r>
        <w:rPr>
          <w:rFonts w:hint="eastAsia" w:ascii="宋体" w:hAnsi="宋体" w:cs="宋体"/>
          <w:color w:val="auto"/>
          <w:highlight w:val="none"/>
          <w:lang w:val="en-US" w:eastAsia="zh-CN"/>
        </w:rPr>
        <w:t>应</w:t>
      </w:r>
      <w:r>
        <w:rPr>
          <w:rFonts w:hint="eastAsia" w:ascii="宋体" w:hAnsi="宋体" w:eastAsia="宋体" w:cs="宋体"/>
          <w:color w:val="auto"/>
          <w:highlight w:val="none"/>
          <w:lang w:val="en-US" w:eastAsia="zh-CN"/>
        </w:rPr>
        <w:t>遵循</w:t>
      </w:r>
      <w:r>
        <w:rPr>
          <w:rFonts w:hint="eastAsia" w:ascii="宋体" w:hAnsi="宋体" w:eastAsia="宋体" w:cs="宋体"/>
          <w:color w:val="auto"/>
          <w:highlight w:val="none"/>
        </w:rPr>
        <w:t>本章</w:t>
      </w:r>
      <w:r>
        <w:rPr>
          <w:rFonts w:hint="eastAsia" w:ascii="宋体" w:hAnsi="宋体" w:eastAsia="宋体" w:cs="宋体"/>
          <w:color w:val="auto"/>
          <w:highlight w:val="none"/>
          <w:lang w:val="en-US" w:eastAsia="zh-CN"/>
        </w:rPr>
        <w:t>的</w:t>
      </w:r>
      <w:r>
        <w:rPr>
          <w:rFonts w:hint="eastAsia" w:ascii="宋体" w:hAnsi="宋体" w:eastAsia="宋体" w:cs="宋体"/>
          <w:color w:val="auto"/>
          <w:highlight w:val="none"/>
        </w:rPr>
        <w:t>规定</w:t>
      </w:r>
      <w:r>
        <w:rPr>
          <w:rFonts w:hint="eastAsia" w:ascii="宋体" w:hAnsi="宋体" w:eastAsia="宋体" w:cs="宋体"/>
          <w:color w:val="auto"/>
          <w:highlight w:val="none"/>
          <w:lang w:eastAsia="zh-CN"/>
        </w:rPr>
        <w:t>。</w:t>
      </w:r>
    </w:p>
    <w:p w14:paraId="0035EBD1">
      <w:pPr>
        <w:pStyle w:val="260"/>
        <w:jc w:val="both"/>
        <w:outlineLvl w:val="1"/>
        <w:rPr>
          <w:rFonts w:hint="default" w:ascii="Times New Roman" w:hAnsi="Times New Roman" w:cs="Times New Roman"/>
          <w:color w:val="auto"/>
          <w:highlight w:val="none"/>
        </w:rPr>
      </w:pPr>
      <w:bookmarkStart w:id="2111" w:name="_Toc4317"/>
      <w:bookmarkStart w:id="2112" w:name="_Toc183727775"/>
      <w:bookmarkStart w:id="2113" w:name="_Toc3236"/>
      <w:bookmarkStart w:id="2114" w:name="_Toc12331"/>
      <w:bookmarkStart w:id="2115" w:name="_Toc6210"/>
      <w:bookmarkStart w:id="2116" w:name="_Toc10450"/>
      <w:bookmarkStart w:id="2117" w:name="_Toc20599"/>
      <w:bookmarkStart w:id="2118" w:name="_Toc22559"/>
      <w:bookmarkStart w:id="2119" w:name="_Toc4360"/>
      <w:bookmarkStart w:id="2120" w:name="_Toc27534"/>
      <w:bookmarkStart w:id="2121" w:name="_Toc13588"/>
      <w:r>
        <w:rPr>
          <w:rFonts w:hint="default" w:ascii="Times New Roman" w:hAnsi="Times New Roman" w:cs="Times New Roman"/>
          <w:color w:val="auto"/>
          <w:highlight w:val="none"/>
        </w:rPr>
        <w:t>操作手册</w:t>
      </w:r>
      <w:bookmarkEnd w:id="2111"/>
      <w:bookmarkEnd w:id="2112"/>
      <w:bookmarkEnd w:id="2113"/>
      <w:bookmarkEnd w:id="2114"/>
      <w:bookmarkEnd w:id="2115"/>
      <w:bookmarkEnd w:id="2116"/>
      <w:bookmarkEnd w:id="2117"/>
      <w:bookmarkEnd w:id="2118"/>
      <w:bookmarkEnd w:id="2119"/>
      <w:bookmarkEnd w:id="2120"/>
      <w:bookmarkEnd w:id="2121"/>
    </w:p>
    <w:p w14:paraId="364159B0">
      <w:pPr>
        <w:pStyle w:val="290"/>
        <w:spacing w:before="0" w:beforeLines="0" w:after="0" w:afterLines="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上应备有供所有人员随时使用的操作手册</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手册应简明扼要易懂。</w:t>
      </w:r>
      <w:r>
        <w:rPr>
          <w:rFonts w:hint="eastAsia" w:ascii="宋体" w:hAnsi="宋体" w:eastAsia="宋体" w:cs="宋体"/>
          <w:strike w:val="0"/>
          <w:dstrike w:val="0"/>
          <w:color w:val="auto"/>
          <w:highlight w:val="none"/>
          <w:lang w:val="en-US" w:eastAsia="zh-CN"/>
        </w:rPr>
        <w:t>操作手册应包括如下内容</w:t>
      </w:r>
      <w:r>
        <w:rPr>
          <w:rFonts w:hint="eastAsia" w:ascii="宋体" w:hAnsi="宋体" w:eastAsia="宋体" w:cs="宋体"/>
          <w:color w:val="auto"/>
          <w:highlight w:val="none"/>
        </w:rPr>
        <w:t>：</w:t>
      </w:r>
    </w:p>
    <w:p w14:paraId="4EC23851">
      <w:pPr>
        <w:pStyle w:val="305"/>
        <w:numPr>
          <w:ilvl w:val="0"/>
          <w:numId w:val="110"/>
        </w:numPr>
        <w:ind w:left="839" w:leftChars="0" w:hanging="419"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总则</w:t>
      </w:r>
      <w:r>
        <w:rPr>
          <w:rFonts w:hint="eastAsia" w:ascii="宋体" w:hAnsi="宋体" w:eastAsia="宋体" w:cs="宋体"/>
          <w:color w:val="auto"/>
          <w:sz w:val="21"/>
          <w:szCs w:val="21"/>
          <w:highlight w:val="none"/>
          <w:lang w:eastAsia="zh-CN"/>
        </w:rPr>
        <w:t>；</w:t>
      </w:r>
    </w:p>
    <w:p w14:paraId="4AFFFD67">
      <w:pPr>
        <w:pStyle w:val="305"/>
        <w:numPr>
          <w:ilvl w:val="0"/>
          <w:numId w:val="110"/>
        </w:numPr>
        <w:ind w:left="839" w:leftChars="0" w:hanging="419"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原油储运系统概述；</w:t>
      </w:r>
    </w:p>
    <w:p w14:paraId="3CD556C1">
      <w:pPr>
        <w:pStyle w:val="305"/>
        <w:numPr>
          <w:ilvl w:val="0"/>
          <w:numId w:val="110"/>
        </w:numPr>
        <w:ind w:left="839" w:leftChars="0" w:hanging="419"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原油生产辅助系统和公用系统；</w:t>
      </w:r>
    </w:p>
    <w:p w14:paraId="5AA377C7">
      <w:pPr>
        <w:pStyle w:val="305"/>
        <w:numPr>
          <w:ilvl w:val="0"/>
          <w:numId w:val="110"/>
        </w:numPr>
        <w:ind w:left="839" w:leftChars="0" w:hanging="419"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消防</w:t>
      </w:r>
      <w:r>
        <w:rPr>
          <w:rFonts w:hint="eastAsia" w:hAnsi="宋体" w:cs="宋体"/>
          <w:color w:val="auto"/>
          <w:sz w:val="21"/>
          <w:szCs w:val="21"/>
          <w:highlight w:val="none"/>
          <w:lang w:val="en-US" w:eastAsia="zh-CN"/>
        </w:rPr>
        <w:t>系统；</w:t>
      </w:r>
    </w:p>
    <w:p w14:paraId="078960F2">
      <w:pPr>
        <w:pStyle w:val="305"/>
        <w:numPr>
          <w:ilvl w:val="0"/>
          <w:numId w:val="110"/>
        </w:numPr>
        <w:ind w:left="839" w:leftChars="0" w:hanging="419"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救逃生系统；</w:t>
      </w:r>
    </w:p>
    <w:p w14:paraId="2E6AAED6">
      <w:pPr>
        <w:pStyle w:val="305"/>
        <w:numPr>
          <w:ilvl w:val="0"/>
          <w:numId w:val="110"/>
        </w:numPr>
        <w:ind w:left="839" w:leftChars="0" w:hanging="419"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电气系统；</w:t>
      </w:r>
    </w:p>
    <w:p w14:paraId="5F51D05D">
      <w:pPr>
        <w:pStyle w:val="305"/>
        <w:numPr>
          <w:ilvl w:val="0"/>
          <w:numId w:val="110"/>
        </w:numPr>
        <w:ind w:left="839" w:leftChars="0" w:hanging="419"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主要设备（包括应急发电机组、空压机及辅助设备、甲板起重机和其他起重设备、消防水泵等）；</w:t>
      </w:r>
    </w:p>
    <w:p w14:paraId="35AB4E0C">
      <w:pPr>
        <w:pStyle w:val="305"/>
        <w:numPr>
          <w:ilvl w:val="0"/>
          <w:numId w:val="110"/>
        </w:numPr>
        <w:ind w:left="839" w:leftChars="0" w:hanging="419"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通讯设备；</w:t>
      </w:r>
    </w:p>
    <w:p w14:paraId="0FD42B75">
      <w:pPr>
        <w:pStyle w:val="305"/>
        <w:numPr>
          <w:ilvl w:val="0"/>
          <w:numId w:val="110"/>
        </w:numPr>
        <w:ind w:left="839" w:leftChars="0" w:hanging="419"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中控系统</w:t>
      </w:r>
      <w:r>
        <w:rPr>
          <w:rFonts w:hint="eastAsia" w:hAnsi="宋体" w:cs="宋体"/>
          <w:color w:val="auto"/>
          <w:sz w:val="21"/>
          <w:szCs w:val="21"/>
          <w:highlight w:val="none"/>
          <w:lang w:val="en-US" w:eastAsia="zh-CN"/>
        </w:rPr>
        <w:t>；</w:t>
      </w:r>
    </w:p>
    <w:p w14:paraId="731632F3">
      <w:pPr>
        <w:pStyle w:val="305"/>
        <w:numPr>
          <w:ilvl w:val="0"/>
          <w:numId w:val="110"/>
        </w:numPr>
        <w:ind w:left="839" w:leftChars="0" w:hanging="419"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装载计算；</w:t>
      </w:r>
    </w:p>
    <w:p w14:paraId="32F297D9">
      <w:pPr>
        <w:pStyle w:val="305"/>
        <w:numPr>
          <w:ilvl w:val="0"/>
          <w:numId w:val="110"/>
        </w:numPr>
        <w:ind w:left="839" w:leftChars="0" w:hanging="419"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舱容表、总布置图、危险区域划分图等主要文件；</w:t>
      </w:r>
    </w:p>
    <w:p w14:paraId="6D0CBA47">
      <w:pPr>
        <w:pStyle w:val="305"/>
        <w:numPr>
          <w:ilvl w:val="0"/>
          <w:numId w:val="110"/>
        </w:numPr>
        <w:ind w:left="839" w:leftChars="0" w:hanging="419"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倾斜试验报告；</w:t>
      </w:r>
    </w:p>
    <w:p w14:paraId="52733E7B">
      <w:pPr>
        <w:pStyle w:val="305"/>
        <w:numPr>
          <w:ilvl w:val="0"/>
          <w:numId w:val="110"/>
        </w:numPr>
        <w:ind w:left="839" w:leftChars="0" w:hanging="419"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 w:val="21"/>
          <w:highlight w:val="none"/>
        </w:rPr>
        <w:t>系泊缆的维护和检测要求</w:t>
      </w:r>
      <w:r>
        <w:rPr>
          <w:rFonts w:hint="eastAsia" w:ascii="宋体" w:hAnsi="宋体" w:eastAsia="宋体" w:cs="宋体"/>
          <w:color w:val="auto"/>
          <w:sz w:val="21"/>
          <w:highlight w:val="none"/>
          <w:lang w:eastAsia="zh-CN"/>
        </w:rPr>
        <w:t>。</w:t>
      </w:r>
    </w:p>
    <w:p w14:paraId="139D19DD">
      <w:pPr>
        <w:pStyle w:val="260"/>
        <w:jc w:val="both"/>
        <w:outlineLvl w:val="1"/>
        <w:rPr>
          <w:rFonts w:hint="default" w:ascii="Times New Roman" w:hAnsi="Times New Roman" w:cs="Times New Roman"/>
          <w:color w:val="auto"/>
          <w:highlight w:val="none"/>
        </w:rPr>
      </w:pPr>
      <w:bookmarkStart w:id="2122" w:name="_Toc23943"/>
      <w:bookmarkStart w:id="2123" w:name="_Toc11478"/>
      <w:bookmarkStart w:id="2124" w:name="_Toc3175"/>
      <w:bookmarkStart w:id="2125" w:name="_Toc30496"/>
      <w:bookmarkStart w:id="2126" w:name="_Toc9738"/>
      <w:bookmarkStart w:id="2127" w:name="_Toc4228"/>
      <w:bookmarkStart w:id="2128" w:name="_Toc12356"/>
      <w:bookmarkStart w:id="2129" w:name="_Toc22582"/>
      <w:bookmarkStart w:id="2130" w:name="_Toc21576"/>
      <w:bookmarkStart w:id="2131" w:name="_Toc22656"/>
      <w:bookmarkStart w:id="2132" w:name="_Toc183727780"/>
      <w:r>
        <w:rPr>
          <w:rFonts w:hint="default" w:ascii="Times New Roman" w:hAnsi="Times New Roman" w:cs="Times New Roman"/>
          <w:color w:val="auto"/>
          <w:highlight w:val="none"/>
        </w:rPr>
        <w:t>装载手册</w:t>
      </w:r>
      <w:bookmarkEnd w:id="2122"/>
      <w:bookmarkEnd w:id="2123"/>
      <w:bookmarkEnd w:id="2124"/>
      <w:bookmarkEnd w:id="2125"/>
      <w:bookmarkEnd w:id="2126"/>
      <w:bookmarkEnd w:id="2127"/>
      <w:bookmarkEnd w:id="2128"/>
      <w:bookmarkEnd w:id="2129"/>
      <w:bookmarkEnd w:id="2130"/>
      <w:bookmarkEnd w:id="2131"/>
      <w:bookmarkEnd w:id="2132"/>
    </w:p>
    <w:p w14:paraId="06FD99CD">
      <w:pPr>
        <w:pStyle w:val="326"/>
        <w:rPr>
          <w:rFonts w:ascii="Times New Roman" w:eastAsia="宋体"/>
          <w:color w:val="auto"/>
          <w:highlight w:val="none"/>
        </w:rPr>
      </w:pPr>
      <w:bookmarkStart w:id="2133" w:name="_Toc16987"/>
      <w:bookmarkStart w:id="2134" w:name="_Toc19599"/>
      <w:r>
        <w:rPr>
          <w:rFonts w:hint="eastAsia" w:ascii="宋体" w:hAnsi="宋体" w:cs="宋体"/>
          <w:color w:val="auto"/>
          <w:highlight w:val="none"/>
        </w:rPr>
        <w:t>装载手册应包括以下内容：</w:t>
      </w:r>
    </w:p>
    <w:p w14:paraId="315996ED">
      <w:pPr>
        <w:pStyle w:val="305"/>
        <w:numPr>
          <w:ilvl w:val="0"/>
          <w:numId w:val="111"/>
        </w:num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船舶设计所依据的装载工况；</w:t>
      </w:r>
    </w:p>
    <w:p w14:paraId="05703CBF">
      <w:pPr>
        <w:pStyle w:val="305"/>
        <w:numPr>
          <w:ilvl w:val="0"/>
          <w:numId w:val="111"/>
        </w:num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各种装载情况下的静水弯矩和静水切力的计算值、完整稳性。</w:t>
      </w:r>
    </w:p>
    <w:p w14:paraId="2542571D">
      <w:pPr>
        <w:pStyle w:val="326"/>
        <w:ind w:left="0"/>
        <w:rPr>
          <w:rFonts w:hint="eastAsia" w:ascii="宋体" w:hAnsi="宋体" w:eastAsia="宋体" w:cs="宋体"/>
          <w:color w:val="auto"/>
          <w:highlight w:val="none"/>
        </w:rPr>
      </w:pPr>
      <w:r>
        <w:rPr>
          <w:rFonts w:hint="eastAsia" w:ascii="宋体" w:hAnsi="宋体" w:eastAsia="宋体" w:cs="宋体"/>
          <w:color w:val="auto"/>
          <w:highlight w:val="none"/>
        </w:rPr>
        <w:t>FPSO工作人员应按照装载手册的要求进行操作。</w:t>
      </w:r>
      <w:bookmarkEnd w:id="2133"/>
      <w:bookmarkEnd w:id="2134"/>
    </w:p>
    <w:p w14:paraId="1DCD340D">
      <w:pPr>
        <w:pStyle w:val="260"/>
        <w:jc w:val="both"/>
        <w:outlineLvl w:val="1"/>
        <w:rPr>
          <w:rFonts w:hint="default" w:ascii="Times New Roman" w:hAnsi="Times New Roman" w:cs="Times New Roman"/>
          <w:color w:val="auto"/>
          <w:highlight w:val="none"/>
        </w:rPr>
      </w:pPr>
      <w:bookmarkStart w:id="2135" w:name="_Toc15645"/>
      <w:bookmarkStart w:id="2136" w:name="_Toc3159"/>
      <w:bookmarkStart w:id="2137" w:name="_Toc17664"/>
      <w:bookmarkStart w:id="2138" w:name="_Toc22101"/>
      <w:bookmarkStart w:id="2139" w:name="_Toc11193"/>
      <w:bookmarkStart w:id="2140" w:name="_Toc3604"/>
      <w:bookmarkStart w:id="2141" w:name="_Toc15951"/>
      <w:bookmarkStart w:id="2142" w:name="_Toc22008"/>
      <w:bookmarkStart w:id="2143" w:name="_Toc26584"/>
      <w:bookmarkStart w:id="2144" w:name="_Toc9180"/>
      <w:r>
        <w:rPr>
          <w:rFonts w:hint="default" w:ascii="Times New Roman" w:hAnsi="Times New Roman" w:cs="Times New Roman"/>
          <w:color w:val="auto"/>
          <w:highlight w:val="none"/>
        </w:rPr>
        <w:t>外输作业</w:t>
      </w:r>
      <w:bookmarkEnd w:id="2135"/>
      <w:bookmarkEnd w:id="2136"/>
      <w:bookmarkEnd w:id="2137"/>
      <w:bookmarkEnd w:id="2138"/>
      <w:bookmarkEnd w:id="2139"/>
      <w:bookmarkEnd w:id="2140"/>
      <w:bookmarkEnd w:id="2141"/>
      <w:bookmarkEnd w:id="2142"/>
      <w:bookmarkEnd w:id="2143"/>
      <w:bookmarkEnd w:id="2144"/>
    </w:p>
    <w:p w14:paraId="67B19CCF">
      <w:pPr>
        <w:ind w:firstLine="420" w:firstLineChars="200"/>
        <w:rPr>
          <w:rFonts w:hint="default" w:eastAsia="宋体"/>
          <w:color w:val="auto"/>
          <w:highlight w:val="none"/>
          <w:lang w:val="en-US" w:eastAsia="zh-CN"/>
        </w:rPr>
      </w:pPr>
      <w:r>
        <w:rPr>
          <w:rFonts w:hint="eastAsia" w:cs="Times New Roman"/>
          <w:color w:val="auto"/>
          <w:highlight w:val="none"/>
          <w:lang w:val="en-US" w:eastAsia="zh-CN"/>
        </w:rPr>
        <w:t>外输作业满足以下要求：</w:t>
      </w:r>
    </w:p>
    <w:p w14:paraId="4CC18A97">
      <w:pPr>
        <w:pStyle w:val="305"/>
        <w:numPr>
          <w:ilvl w:val="0"/>
          <w:numId w:val="112"/>
        </w:numPr>
        <w:rPr>
          <w:rFonts w:hint="eastAsia" w:ascii="宋体" w:hAnsi="宋体" w:eastAsia="宋体" w:cs="宋体"/>
          <w:color w:val="auto"/>
          <w:highlight w:val="none"/>
        </w:rPr>
      </w:pPr>
      <w:bookmarkStart w:id="2145" w:name="_Toc183727783"/>
      <w:bookmarkStart w:id="2146" w:name="_Toc1029"/>
      <w:bookmarkStart w:id="2147" w:name="_Toc15221"/>
      <w:bookmarkStart w:id="2148" w:name="_Toc29710"/>
      <w:bookmarkStart w:id="2149" w:name="_Toc21881"/>
      <w:r>
        <w:rPr>
          <w:rFonts w:hint="eastAsia" w:ascii="宋体" w:hAnsi="宋体" w:eastAsia="宋体" w:cs="宋体"/>
          <w:color w:val="auto"/>
          <w:highlight w:val="none"/>
          <w:lang w:val="en-US" w:eastAsia="zh-CN"/>
        </w:rPr>
        <w:t>作业者</w:t>
      </w:r>
      <w:r>
        <w:rPr>
          <w:rFonts w:hint="eastAsia" w:ascii="宋体" w:hAnsi="宋体" w:eastAsia="宋体" w:cs="宋体"/>
          <w:color w:val="auto"/>
          <w:highlight w:val="none"/>
        </w:rPr>
        <w:t>应制定</w:t>
      </w:r>
      <w:r>
        <w:rPr>
          <w:rFonts w:hint="eastAsia" w:hAnsi="宋体" w:cs="宋体"/>
          <w:color w:val="auto"/>
          <w:highlight w:val="none"/>
          <w:lang w:val="en-US" w:eastAsia="zh-CN"/>
        </w:rPr>
        <w:t>并</w:t>
      </w:r>
      <w:r>
        <w:rPr>
          <w:rFonts w:hint="eastAsia" w:ascii="宋体" w:hAnsi="宋体" w:eastAsia="宋体" w:cs="宋体"/>
          <w:color w:val="auto"/>
          <w:highlight w:val="none"/>
        </w:rPr>
        <w:t>执行外输作业程序；</w:t>
      </w:r>
    </w:p>
    <w:p w14:paraId="0CAA336A">
      <w:pPr>
        <w:pStyle w:val="305"/>
        <w:numPr>
          <w:ilvl w:val="0"/>
          <w:numId w:val="112"/>
        </w:numPr>
        <w:rPr>
          <w:rFonts w:hint="eastAsia" w:ascii="宋体" w:hAnsi="宋体" w:eastAsia="宋体" w:cs="宋体"/>
          <w:color w:val="auto"/>
          <w:highlight w:val="none"/>
        </w:rPr>
      </w:pPr>
      <w:r>
        <w:rPr>
          <w:rFonts w:hint="eastAsia" w:ascii="宋体" w:hAnsi="宋体" w:eastAsia="宋体" w:cs="宋体"/>
          <w:color w:val="auto"/>
          <w:highlight w:val="none"/>
        </w:rPr>
        <w:t>应在</w:t>
      </w:r>
      <w:r>
        <w:rPr>
          <w:rFonts w:hint="eastAsia" w:ascii="宋体" w:hAnsi="宋体" w:eastAsia="宋体" w:cs="宋体"/>
          <w:color w:val="auto"/>
          <w:highlight w:val="none"/>
          <w:lang w:val="en-US" w:eastAsia="zh-CN"/>
        </w:rPr>
        <w:t>外输</w:t>
      </w:r>
      <w:r>
        <w:rPr>
          <w:rFonts w:hint="eastAsia" w:hAnsi="宋体" w:cs="宋体"/>
          <w:color w:val="auto"/>
          <w:highlight w:val="none"/>
          <w:lang w:val="en-US" w:eastAsia="zh-CN"/>
        </w:rPr>
        <w:t>作业程序</w:t>
      </w:r>
      <w:r>
        <w:rPr>
          <w:rFonts w:hint="eastAsia" w:ascii="宋体" w:hAnsi="宋体" w:eastAsia="宋体" w:cs="宋体"/>
          <w:color w:val="auto"/>
          <w:highlight w:val="none"/>
        </w:rPr>
        <w:t>中载明穿梭油轮与</w:t>
      </w:r>
      <w:r>
        <w:rPr>
          <w:rFonts w:hint="eastAsia" w:ascii="宋体" w:hAnsi="宋体" w:eastAsia="宋体" w:cs="宋体"/>
          <w:color w:val="auto"/>
          <w:highlight w:val="none"/>
          <w:lang w:eastAsia="zh-CN"/>
        </w:rPr>
        <w:t>FPSO</w:t>
      </w:r>
      <w:r>
        <w:rPr>
          <w:rFonts w:hint="eastAsia" w:ascii="宋体" w:hAnsi="宋体" w:eastAsia="宋体" w:cs="宋体"/>
          <w:color w:val="auto"/>
          <w:highlight w:val="none"/>
        </w:rPr>
        <w:t>连接和解脱的环境条件</w:t>
      </w:r>
      <w:r>
        <w:rPr>
          <w:rFonts w:hint="eastAsia" w:ascii="宋体" w:hAnsi="宋体" w:eastAsia="宋体" w:cs="宋体"/>
          <w:color w:val="auto"/>
          <w:highlight w:val="none"/>
          <w:lang w:eastAsia="zh-CN"/>
        </w:rPr>
        <w:t>；</w:t>
      </w:r>
    </w:p>
    <w:p w14:paraId="35EA6D29">
      <w:pPr>
        <w:pStyle w:val="305"/>
        <w:numPr>
          <w:ilvl w:val="0"/>
          <w:numId w:val="113"/>
        </w:numPr>
        <w:rPr>
          <w:rFonts w:hint="eastAsia" w:ascii="宋体" w:hAnsi="宋体" w:eastAsia="宋体" w:cs="宋体"/>
          <w:color w:val="auto"/>
          <w:highlight w:val="none"/>
        </w:rPr>
      </w:pPr>
      <w:r>
        <w:rPr>
          <w:rFonts w:hint="eastAsia" w:ascii="宋体" w:hAnsi="宋体" w:eastAsia="宋体" w:cs="宋体"/>
          <w:color w:val="auto"/>
          <w:highlight w:val="none"/>
        </w:rPr>
        <w:t>应对外输作业进行有效的风险识别和风险管控</w:t>
      </w:r>
      <w:r>
        <w:rPr>
          <w:rFonts w:hint="eastAsia" w:ascii="宋体" w:hAnsi="宋体" w:eastAsia="宋体" w:cs="宋体"/>
          <w:color w:val="auto"/>
          <w:highlight w:val="none"/>
          <w:lang w:eastAsia="zh-CN"/>
        </w:rPr>
        <w:t>；</w:t>
      </w:r>
    </w:p>
    <w:p w14:paraId="5FE4DE83">
      <w:pPr>
        <w:pStyle w:val="305"/>
        <w:numPr>
          <w:ilvl w:val="0"/>
          <w:numId w:val="113"/>
        </w:numPr>
        <w:rPr>
          <w:rFonts w:hint="eastAsia" w:ascii="宋体" w:hAnsi="宋体" w:eastAsia="宋体" w:cs="宋体"/>
          <w:color w:val="auto"/>
          <w:highlight w:val="none"/>
        </w:rPr>
      </w:pPr>
      <w:r>
        <w:rPr>
          <w:rFonts w:hint="eastAsia" w:ascii="宋体" w:hAnsi="宋体" w:eastAsia="宋体" w:cs="宋体"/>
          <w:color w:val="auto"/>
          <w:highlight w:val="none"/>
        </w:rPr>
        <w:t>应确保救生/消防等安全系统、系泊系统、外输系统、外输大缆和外输软管处于良好状态；</w:t>
      </w:r>
    </w:p>
    <w:p w14:paraId="1AFA04CE">
      <w:pPr>
        <w:pStyle w:val="305"/>
        <w:numPr>
          <w:ilvl w:val="0"/>
          <w:numId w:val="113"/>
        </w:numP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海上外输监督、外输助理和外输中控等技术人员应经稳性压载培训，并持有</w:t>
      </w:r>
      <w:r>
        <w:rPr>
          <w:rFonts w:hint="eastAsia" w:hAnsi="宋体" w:cs="宋体"/>
          <w:color w:val="auto"/>
          <w:highlight w:val="none"/>
          <w:lang w:val="en-US" w:eastAsia="zh-CN"/>
        </w:rPr>
        <w:t>稳性压载</w:t>
      </w:r>
      <w:r>
        <w:rPr>
          <w:rFonts w:hint="eastAsia" w:ascii="宋体" w:hAnsi="宋体" w:eastAsia="宋体" w:cs="宋体"/>
          <w:color w:val="auto"/>
          <w:highlight w:val="none"/>
          <w:lang w:val="en-US" w:eastAsia="zh-CN"/>
        </w:rPr>
        <w:t>证书；</w:t>
      </w:r>
    </w:p>
    <w:p w14:paraId="3567028B">
      <w:pPr>
        <w:pStyle w:val="305"/>
        <w:numPr>
          <w:ilvl w:val="0"/>
          <w:numId w:val="113"/>
        </w:numPr>
        <w:rPr>
          <w:rFonts w:hint="eastAsia" w:ascii="宋体" w:hAnsi="宋体" w:eastAsia="宋体" w:cs="宋体"/>
          <w:color w:val="auto"/>
          <w:highlight w:val="none"/>
        </w:rPr>
      </w:pPr>
      <w:r>
        <w:rPr>
          <w:rFonts w:hint="eastAsia" w:ascii="宋体" w:hAnsi="宋体" w:eastAsia="宋体" w:cs="宋体"/>
          <w:color w:val="auto"/>
          <w:highlight w:val="none"/>
        </w:rPr>
        <w:t>应建立应急预案，定期进行应急演习；</w:t>
      </w:r>
    </w:p>
    <w:p w14:paraId="5F846C3D">
      <w:pPr>
        <w:pStyle w:val="305"/>
        <w:numPr>
          <w:ilvl w:val="0"/>
          <w:numId w:val="113"/>
        </w:numPr>
        <w:rPr>
          <w:rFonts w:hint="eastAsia" w:ascii="宋体" w:hAnsi="宋体" w:eastAsia="宋体" w:cs="宋体"/>
          <w:color w:val="auto"/>
          <w:highlight w:val="none"/>
        </w:rPr>
      </w:pPr>
      <w:r>
        <w:rPr>
          <w:rFonts w:hint="eastAsia" w:ascii="宋体" w:hAnsi="宋体" w:eastAsia="宋体" w:cs="宋体"/>
          <w:color w:val="auto"/>
          <w:highlight w:val="none"/>
        </w:rPr>
        <w:t>外输软管应结合实际作业环境和工作情况等因素（例如海况、外输频率、外输量等）制定检测计划，并定期检测</w:t>
      </w:r>
      <w:r>
        <w:rPr>
          <w:rFonts w:hint="eastAsia" w:hAnsi="宋体" w:cs="宋体"/>
          <w:color w:val="auto"/>
          <w:highlight w:val="none"/>
          <w:lang w:eastAsia="zh-CN"/>
        </w:rPr>
        <w:t>；</w:t>
      </w:r>
      <w:r>
        <w:rPr>
          <w:rFonts w:hint="eastAsia" w:ascii="宋体" w:hAnsi="宋体" w:eastAsia="宋体" w:cs="宋体"/>
          <w:color w:val="auto"/>
          <w:highlight w:val="none"/>
        </w:rPr>
        <w:t>单/双层漂浮软管的检测周期</w:t>
      </w:r>
      <w:r>
        <w:rPr>
          <w:rFonts w:hint="eastAsia" w:hAnsi="宋体" w:cs="宋体"/>
          <w:color w:val="auto"/>
          <w:highlight w:val="none"/>
          <w:lang w:eastAsia="zh-CN"/>
        </w:rPr>
        <w:t>应不</w:t>
      </w:r>
      <w:r>
        <w:rPr>
          <w:rFonts w:hint="eastAsia" w:ascii="宋体" w:hAnsi="宋体" w:eastAsia="宋体" w:cs="宋体"/>
          <w:color w:val="auto"/>
          <w:highlight w:val="none"/>
        </w:rPr>
        <w:t>超过1年，浸没软管的检测周期</w:t>
      </w:r>
      <w:r>
        <w:rPr>
          <w:rFonts w:hint="eastAsia" w:hAnsi="宋体" w:cs="宋体"/>
          <w:color w:val="auto"/>
          <w:highlight w:val="none"/>
          <w:lang w:eastAsia="zh-CN"/>
        </w:rPr>
        <w:t>应不</w:t>
      </w:r>
      <w:r>
        <w:rPr>
          <w:rFonts w:hint="eastAsia" w:ascii="宋体" w:hAnsi="宋体" w:eastAsia="宋体" w:cs="宋体"/>
          <w:color w:val="auto"/>
          <w:highlight w:val="none"/>
        </w:rPr>
        <w:t>超过2年，如遇特殊情况，逾期</w:t>
      </w:r>
      <w:r>
        <w:rPr>
          <w:rFonts w:hint="eastAsia" w:hAnsi="宋体" w:cs="宋体"/>
          <w:color w:val="auto"/>
          <w:highlight w:val="none"/>
          <w:lang w:eastAsia="zh-CN"/>
        </w:rPr>
        <w:t>不应</w:t>
      </w:r>
      <w:r>
        <w:rPr>
          <w:rFonts w:hint="eastAsia" w:ascii="宋体" w:hAnsi="宋体" w:eastAsia="宋体" w:cs="宋体"/>
          <w:color w:val="auto"/>
          <w:highlight w:val="none"/>
        </w:rPr>
        <w:t>超过3个月；当软管实际所处的作业环境和工作情况等因素较差时</w:t>
      </w:r>
      <w:r>
        <w:rPr>
          <w:rFonts w:hint="eastAsia" w:ascii="宋体" w:hAnsi="宋体" w:eastAsia="宋体" w:cs="宋体"/>
          <w:color w:val="auto"/>
          <w:highlight w:val="none"/>
          <w:lang w:val="en-US" w:eastAsia="zh-CN"/>
        </w:rPr>
        <w:t>应评估</w:t>
      </w:r>
      <w:r>
        <w:rPr>
          <w:rFonts w:hint="eastAsia" w:ascii="宋体" w:hAnsi="宋体" w:eastAsia="宋体" w:cs="宋体"/>
          <w:color w:val="auto"/>
          <w:highlight w:val="none"/>
        </w:rPr>
        <w:t>缩短检测周期</w:t>
      </w:r>
      <w:r>
        <w:rPr>
          <w:rFonts w:hint="eastAsia" w:ascii="宋体" w:hAnsi="宋体" w:eastAsia="宋体" w:cs="宋体"/>
          <w:color w:val="auto"/>
          <w:highlight w:val="none"/>
          <w:lang w:val="en-US" w:eastAsia="zh-CN"/>
        </w:rPr>
        <w:t>的必要性</w:t>
      </w:r>
      <w:r>
        <w:rPr>
          <w:rFonts w:hint="eastAsia" w:ascii="宋体" w:hAnsi="宋体" w:eastAsia="宋体" w:cs="宋体"/>
          <w:color w:val="auto"/>
          <w:highlight w:val="none"/>
        </w:rPr>
        <w:t>。</w:t>
      </w:r>
    </w:p>
    <w:p w14:paraId="33BE2936">
      <w:pPr>
        <w:pStyle w:val="260"/>
        <w:jc w:val="both"/>
        <w:outlineLvl w:val="1"/>
        <w:rPr>
          <w:rFonts w:hint="default" w:ascii="Times New Roman" w:hAnsi="Times New Roman" w:cs="Times New Roman"/>
          <w:color w:val="auto"/>
          <w:highlight w:val="none"/>
        </w:rPr>
      </w:pPr>
      <w:bookmarkStart w:id="2150" w:name="_Toc32532"/>
      <w:bookmarkStart w:id="2151" w:name="_Toc19135"/>
      <w:bookmarkStart w:id="2152" w:name="_Toc10982"/>
      <w:bookmarkStart w:id="2153" w:name="_Toc688"/>
      <w:bookmarkStart w:id="2154" w:name="_Toc24146"/>
      <w:bookmarkStart w:id="2155" w:name="_Toc10674"/>
      <w:r>
        <w:rPr>
          <w:rFonts w:hint="default" w:ascii="Times New Roman" w:hAnsi="Times New Roman" w:cs="Times New Roman"/>
          <w:color w:val="auto"/>
          <w:highlight w:val="none"/>
        </w:rPr>
        <w:t>水下作业</w:t>
      </w:r>
      <w:bookmarkEnd w:id="2145"/>
      <w:bookmarkEnd w:id="2146"/>
      <w:bookmarkEnd w:id="2147"/>
      <w:bookmarkEnd w:id="2148"/>
      <w:bookmarkEnd w:id="2149"/>
      <w:bookmarkEnd w:id="2150"/>
      <w:bookmarkEnd w:id="2151"/>
      <w:bookmarkEnd w:id="2152"/>
      <w:bookmarkEnd w:id="2153"/>
      <w:bookmarkEnd w:id="2154"/>
      <w:bookmarkEnd w:id="2155"/>
    </w:p>
    <w:p w14:paraId="302D0911">
      <w:pPr>
        <w:pStyle w:val="261"/>
        <w:spacing w:before="156" w:after="156"/>
        <w:jc w:val="both"/>
        <w:outlineLvl w:val="2"/>
        <w:rPr>
          <w:rFonts w:hint="default" w:ascii="Times New Roman" w:hAnsi="Times New Roman" w:cs="Times New Roman"/>
          <w:color w:val="auto"/>
          <w:highlight w:val="none"/>
        </w:rPr>
      </w:pPr>
      <w:bookmarkStart w:id="2156" w:name="_Toc27744"/>
      <w:bookmarkStart w:id="2157" w:name="_Toc1233"/>
      <w:bookmarkStart w:id="2158" w:name="_Toc2360"/>
      <w:bookmarkStart w:id="2159" w:name="_Toc13551"/>
      <w:bookmarkStart w:id="2160" w:name="_Toc25268"/>
      <w:bookmarkStart w:id="2161" w:name="_Toc30084"/>
      <w:bookmarkStart w:id="2162" w:name="_Toc7748"/>
      <w:r>
        <w:rPr>
          <w:rFonts w:hint="default" w:ascii="Times New Roman" w:hAnsi="Times New Roman" w:cs="Times New Roman"/>
          <w:color w:val="auto"/>
          <w:highlight w:val="none"/>
        </w:rPr>
        <w:t>ROV作业</w:t>
      </w:r>
      <w:bookmarkEnd w:id="2156"/>
      <w:bookmarkEnd w:id="2157"/>
      <w:bookmarkEnd w:id="2158"/>
      <w:bookmarkEnd w:id="2159"/>
      <w:bookmarkEnd w:id="2160"/>
      <w:bookmarkEnd w:id="2161"/>
      <w:bookmarkEnd w:id="2162"/>
    </w:p>
    <w:p w14:paraId="6655BDB4">
      <w:pPr>
        <w:pStyle w:val="258"/>
        <w:rPr>
          <w:rFonts w:hint="default"/>
          <w:color w:val="auto"/>
          <w:highlight w:val="none"/>
        </w:rPr>
      </w:pPr>
      <w:r>
        <w:rPr>
          <w:rFonts w:hint="eastAsia" w:cs="Times New Roman"/>
          <w:color w:val="auto"/>
          <w:highlight w:val="none"/>
          <w:lang w:val="en-US" w:eastAsia="zh-CN"/>
        </w:rPr>
        <w:t>ROV作业满足以下要求：</w:t>
      </w:r>
    </w:p>
    <w:p w14:paraId="52A1C86E">
      <w:pPr>
        <w:pStyle w:val="305"/>
        <w:numPr>
          <w:ilvl w:val="0"/>
          <w:numId w:val="114"/>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rPr>
        <w:t>ROV作业应根据目标作业项目</w:t>
      </w:r>
      <w:r>
        <w:rPr>
          <w:rFonts w:hint="eastAsia" w:ascii="宋体" w:hAnsi="宋体" w:eastAsia="宋体" w:cs="宋体"/>
          <w:color w:val="auto"/>
          <w:highlight w:val="none"/>
          <w:lang w:val="en-US" w:eastAsia="zh-CN"/>
        </w:rPr>
        <w:t>需要</w:t>
      </w:r>
      <w:r>
        <w:rPr>
          <w:rFonts w:hint="eastAsia" w:ascii="宋体" w:hAnsi="宋体" w:eastAsia="宋体" w:cs="宋体"/>
          <w:color w:val="auto"/>
          <w:highlight w:val="none"/>
        </w:rPr>
        <w:t>选取ROV和</w:t>
      </w:r>
      <w:r>
        <w:rPr>
          <w:rFonts w:hint="eastAsia" w:ascii="宋体" w:hAnsi="宋体" w:eastAsia="宋体" w:cs="宋体"/>
          <w:color w:val="auto"/>
          <w:highlight w:val="none"/>
          <w:lang w:val="en-US" w:eastAsia="zh-CN"/>
        </w:rPr>
        <w:t>其他</w:t>
      </w:r>
      <w:r>
        <w:rPr>
          <w:rFonts w:hint="eastAsia" w:ascii="宋体" w:hAnsi="宋体" w:eastAsia="宋体" w:cs="宋体"/>
          <w:color w:val="auto"/>
          <w:highlight w:val="none"/>
        </w:rPr>
        <w:t>作业设备；</w:t>
      </w:r>
    </w:p>
    <w:p w14:paraId="6A77A94A">
      <w:pPr>
        <w:pStyle w:val="305"/>
        <w:numPr>
          <w:ilvl w:val="0"/>
          <w:numId w:val="114"/>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rPr>
        <w:t>ROV操作人员均应具备作业任务的</w:t>
      </w:r>
      <w:r>
        <w:rPr>
          <w:rFonts w:hint="eastAsia" w:ascii="宋体" w:hAnsi="宋体" w:eastAsia="宋体" w:cs="宋体"/>
          <w:color w:val="auto"/>
          <w:highlight w:val="none"/>
          <w:lang w:val="en-US" w:eastAsia="zh-CN"/>
        </w:rPr>
        <w:t>适配</w:t>
      </w:r>
      <w:r>
        <w:rPr>
          <w:rFonts w:hint="eastAsia" w:ascii="宋体" w:hAnsi="宋体" w:eastAsia="宋体" w:cs="宋体"/>
          <w:color w:val="auto"/>
          <w:highlight w:val="none"/>
        </w:rPr>
        <w:t>能力，遥控潜水器人员资格</w:t>
      </w:r>
      <w:r>
        <w:rPr>
          <w:rFonts w:hint="eastAsia" w:ascii="宋体" w:hAnsi="宋体" w:eastAsia="宋体" w:cs="宋体"/>
          <w:color w:val="auto"/>
          <w:highlight w:val="none"/>
          <w:lang w:val="en-US" w:eastAsia="zh-CN"/>
        </w:rPr>
        <w:t>应经</w:t>
      </w:r>
      <w:r>
        <w:rPr>
          <w:rFonts w:hint="eastAsia" w:ascii="宋体" w:hAnsi="宋体" w:eastAsia="宋体" w:cs="宋体"/>
          <w:color w:val="auto"/>
          <w:highlight w:val="none"/>
        </w:rPr>
        <w:t>从业单位的实际评估确定</w:t>
      </w:r>
      <w:r>
        <w:rPr>
          <w:rFonts w:hint="eastAsia" w:ascii="宋体" w:hAnsi="宋体" w:eastAsia="宋体" w:cs="宋体"/>
          <w:color w:val="auto"/>
          <w:highlight w:val="none"/>
          <w:lang w:eastAsia="zh-CN"/>
        </w:rPr>
        <w:t>；</w:t>
      </w:r>
    </w:p>
    <w:p w14:paraId="72EF3B86">
      <w:pPr>
        <w:pStyle w:val="305"/>
        <w:numPr>
          <w:ilvl w:val="0"/>
          <w:numId w:val="114"/>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rPr>
        <w:t>作业前应充分对作业安全、环境进行风险评估，并制定应急</w:t>
      </w:r>
      <w:r>
        <w:rPr>
          <w:rFonts w:hint="eastAsia" w:ascii="宋体" w:hAnsi="宋体" w:eastAsia="宋体" w:cs="宋体"/>
          <w:color w:val="auto"/>
          <w:highlight w:val="none"/>
          <w:lang w:val="en-US" w:eastAsia="zh-CN"/>
        </w:rPr>
        <w:t>计划</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作业人员应熟知停止的作业工况，并在紧急情况发生时能</w:t>
      </w:r>
      <w:r>
        <w:rPr>
          <w:rFonts w:hint="eastAsia" w:ascii="宋体" w:hAnsi="宋体" w:eastAsia="宋体" w:cs="宋体"/>
          <w:color w:val="auto"/>
          <w:highlight w:val="none"/>
          <w:lang w:val="en-US" w:eastAsia="zh-CN"/>
        </w:rPr>
        <w:t>正确响应</w:t>
      </w:r>
      <w:r>
        <w:rPr>
          <w:rFonts w:hint="eastAsia" w:ascii="宋体" w:hAnsi="宋体" w:eastAsia="宋体" w:cs="宋体"/>
          <w:color w:val="auto"/>
          <w:highlight w:val="none"/>
          <w:lang w:eastAsia="zh-CN"/>
        </w:rPr>
        <w:t>；</w:t>
      </w:r>
    </w:p>
    <w:p w14:paraId="148BBEAE">
      <w:pPr>
        <w:pStyle w:val="305"/>
        <w:numPr>
          <w:ilvl w:val="0"/>
          <w:numId w:val="114"/>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rPr>
        <w:t>在确认作业环境因素后，应取得作业许可方能入水作业，下水前应对设备进行检查；所有操作应</w:t>
      </w:r>
      <w:r>
        <w:rPr>
          <w:rFonts w:hint="eastAsia" w:ascii="宋体" w:hAnsi="宋体" w:eastAsia="宋体" w:cs="宋体"/>
          <w:color w:val="auto"/>
          <w:highlight w:val="none"/>
          <w:lang w:val="en-US" w:eastAsia="zh-CN"/>
        </w:rPr>
        <w:t>遵循</w:t>
      </w:r>
      <w:r>
        <w:rPr>
          <w:rFonts w:hint="eastAsia" w:ascii="宋体" w:hAnsi="宋体" w:eastAsia="宋体" w:cs="宋体"/>
          <w:color w:val="auto"/>
          <w:highlight w:val="none"/>
        </w:rPr>
        <w:t>操作规程。</w:t>
      </w:r>
    </w:p>
    <w:p w14:paraId="23A2CECD">
      <w:pPr>
        <w:pStyle w:val="261"/>
        <w:spacing w:before="156" w:after="156"/>
        <w:jc w:val="both"/>
        <w:outlineLvl w:val="2"/>
        <w:rPr>
          <w:rFonts w:hint="default" w:ascii="Times New Roman" w:hAnsi="Times New Roman" w:cs="Times New Roman"/>
          <w:color w:val="auto"/>
          <w:highlight w:val="none"/>
        </w:rPr>
      </w:pPr>
      <w:bookmarkStart w:id="2163" w:name="_Toc3394"/>
      <w:bookmarkStart w:id="2164" w:name="_Toc18654"/>
      <w:bookmarkStart w:id="2165" w:name="_Toc19529"/>
      <w:bookmarkStart w:id="2166" w:name="_Toc24318"/>
      <w:bookmarkStart w:id="2167" w:name="_Toc20524"/>
      <w:bookmarkStart w:id="2168" w:name="_Toc10751"/>
      <w:bookmarkStart w:id="2169" w:name="_Toc25625"/>
      <w:r>
        <w:rPr>
          <w:rFonts w:hint="default" w:ascii="Times New Roman" w:hAnsi="Times New Roman" w:cs="Times New Roman"/>
          <w:color w:val="auto"/>
          <w:highlight w:val="none"/>
        </w:rPr>
        <w:t>潜水作业</w:t>
      </w:r>
      <w:bookmarkEnd w:id="2163"/>
      <w:bookmarkEnd w:id="2164"/>
      <w:bookmarkEnd w:id="2165"/>
      <w:bookmarkEnd w:id="2166"/>
      <w:bookmarkEnd w:id="2167"/>
      <w:bookmarkEnd w:id="2168"/>
      <w:bookmarkEnd w:id="2169"/>
    </w:p>
    <w:p w14:paraId="4CA60980">
      <w:pPr>
        <w:pStyle w:val="258"/>
        <w:rPr>
          <w:rFonts w:hint="default"/>
          <w:color w:val="auto"/>
          <w:highlight w:val="none"/>
        </w:rPr>
      </w:pPr>
      <w:r>
        <w:rPr>
          <w:rFonts w:hint="eastAsia" w:cs="Times New Roman"/>
          <w:color w:val="auto"/>
          <w:highlight w:val="none"/>
          <w:lang w:val="en-US" w:eastAsia="zh-CN"/>
        </w:rPr>
        <w:t>潜水作业满足以下要求：</w:t>
      </w:r>
    </w:p>
    <w:p w14:paraId="5EA309C0">
      <w:pPr>
        <w:pStyle w:val="305"/>
        <w:numPr>
          <w:ilvl w:val="0"/>
          <w:numId w:val="115"/>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潜水作业应符合GB 26123</w:t>
      </w:r>
      <w:r>
        <w:rPr>
          <w:rFonts w:hint="eastAsia" w:ascii="宋体" w:hAnsi="宋体" w:eastAsia="宋体" w:cs="宋体"/>
          <w:color w:val="auto"/>
          <w:highlight w:val="none"/>
          <w:lang w:eastAsia="zh-CN"/>
        </w:rPr>
        <w:t>；</w:t>
      </w:r>
    </w:p>
    <w:p w14:paraId="1E8870FF">
      <w:pPr>
        <w:pStyle w:val="305"/>
        <w:numPr>
          <w:ilvl w:val="0"/>
          <w:numId w:val="115"/>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应严格按照ADCI《商业潜水与水下作业公认标准》要求实施；</w:t>
      </w:r>
    </w:p>
    <w:p w14:paraId="4E5B64CD">
      <w:pPr>
        <w:pStyle w:val="305"/>
        <w:numPr>
          <w:ilvl w:val="0"/>
          <w:numId w:val="115"/>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应根据作业任务制订潜水计划和程序并经批准；</w:t>
      </w:r>
    </w:p>
    <w:p w14:paraId="7A7309DA">
      <w:pPr>
        <w:pStyle w:val="305"/>
        <w:numPr>
          <w:ilvl w:val="0"/>
          <w:numId w:val="115"/>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参与项目的所有潜水员应持有与其工作岗位相匹配的潜水资质证书和有效期内的医学适潜证书或健康证明，潜水员身体状况应适合开展潜水作业；</w:t>
      </w:r>
    </w:p>
    <w:p w14:paraId="3AD7E939">
      <w:pPr>
        <w:pStyle w:val="305"/>
        <w:numPr>
          <w:ilvl w:val="0"/>
          <w:numId w:val="115"/>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应根据现场环境条件和可能出现的危险制订应急计划，并在作业前开展应急演练；</w:t>
      </w:r>
    </w:p>
    <w:p w14:paraId="170181DD">
      <w:pPr>
        <w:pStyle w:val="305"/>
        <w:numPr>
          <w:ilvl w:val="0"/>
          <w:numId w:val="115"/>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应建立用于应急医疗的联络清单；</w:t>
      </w:r>
    </w:p>
    <w:p w14:paraId="5D7A6898">
      <w:pPr>
        <w:pStyle w:val="305"/>
        <w:numPr>
          <w:ilvl w:val="0"/>
          <w:numId w:val="115"/>
        </w:numPr>
        <w:ind w:left="839" w:leftChars="0" w:hanging="419" w:firstLineChars="0"/>
        <w:rPr>
          <w:rFonts w:hint="eastAsia" w:ascii="宋体" w:hAnsi="宋体" w:eastAsia="宋体" w:cs="宋体"/>
          <w:color w:val="auto"/>
          <w:highlight w:val="none"/>
        </w:rPr>
      </w:pPr>
      <w:r>
        <w:rPr>
          <w:rFonts w:hint="eastAsia" w:ascii="宋体" w:hAnsi="宋体" w:eastAsia="宋体" w:cs="宋体"/>
          <w:color w:val="auto"/>
          <w:highlight w:val="none"/>
        </w:rPr>
        <w:t>涉及打开通海口的水下检验作业，应制定水下开口封堵方案，做到</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一孔一方案</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作业过程中</w:t>
      </w:r>
      <w:r>
        <w:rPr>
          <w:rFonts w:hint="eastAsia" w:ascii="宋体" w:hAnsi="宋体" w:eastAsia="宋体" w:cs="宋体"/>
          <w:color w:val="auto"/>
          <w:highlight w:val="none"/>
          <w:lang w:val="en-US" w:eastAsia="zh-CN"/>
        </w:rPr>
        <w:t>不应</w:t>
      </w:r>
      <w:r>
        <w:rPr>
          <w:rFonts w:hint="eastAsia" w:ascii="宋体" w:hAnsi="宋体" w:eastAsia="宋体" w:cs="宋体"/>
          <w:color w:val="auto"/>
          <w:highlight w:val="none"/>
        </w:rPr>
        <w:t>同时打开多个水下开口进行作业；</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首选专用的水下封堵工具进行封堵，</w:t>
      </w:r>
      <w:r>
        <w:rPr>
          <w:rFonts w:hint="eastAsia" w:ascii="宋体" w:hAnsi="宋体" w:eastAsia="宋体" w:cs="宋体"/>
          <w:color w:val="auto"/>
          <w:highlight w:val="none"/>
          <w:lang w:val="en-US" w:eastAsia="zh-CN"/>
        </w:rPr>
        <w:t>如使用单一木塞进行封堵，还应根据水深以及水下开口孔径评估因</w:t>
      </w:r>
      <w:r>
        <w:rPr>
          <w:rFonts w:hint="eastAsia" w:ascii="宋体" w:hAnsi="宋体" w:eastAsia="宋体" w:cs="宋体"/>
          <w:color w:val="auto"/>
          <w:highlight w:val="none"/>
        </w:rPr>
        <w:t>海水压力差而产生的吸力</w:t>
      </w:r>
      <w:r>
        <w:rPr>
          <w:rFonts w:hint="eastAsia" w:ascii="宋体" w:hAnsi="宋体" w:eastAsia="宋体" w:cs="宋体"/>
          <w:color w:val="auto"/>
          <w:highlight w:val="none"/>
          <w:lang w:eastAsia="zh-CN"/>
        </w:rPr>
        <w:t>。</w:t>
      </w:r>
    </w:p>
    <w:p w14:paraId="647A3F56">
      <w:pPr>
        <w:pStyle w:val="260"/>
        <w:jc w:val="both"/>
        <w:outlineLvl w:val="1"/>
        <w:rPr>
          <w:rFonts w:hint="default" w:ascii="Times New Roman" w:hAnsi="Times New Roman" w:cs="Times New Roman"/>
          <w:color w:val="auto"/>
          <w:highlight w:val="none"/>
        </w:rPr>
      </w:pPr>
      <w:bookmarkStart w:id="2170" w:name="_Toc30974"/>
      <w:bookmarkStart w:id="2171" w:name="_Toc183727784"/>
      <w:bookmarkStart w:id="2172" w:name="_Toc14447"/>
      <w:bookmarkStart w:id="2173" w:name="_Toc19314"/>
      <w:bookmarkStart w:id="2174" w:name="_Toc16764"/>
      <w:bookmarkStart w:id="2175" w:name="_Toc1211"/>
      <w:bookmarkStart w:id="2176" w:name="_Toc27806"/>
      <w:bookmarkStart w:id="2177" w:name="_Toc1156"/>
      <w:bookmarkStart w:id="2178" w:name="_Toc9452"/>
      <w:bookmarkStart w:id="2179" w:name="_Toc14816"/>
      <w:bookmarkStart w:id="2180" w:name="_Toc26245"/>
      <w:r>
        <w:rPr>
          <w:rFonts w:hint="default" w:ascii="Times New Roman" w:hAnsi="Times New Roman" w:cs="Times New Roman"/>
          <w:color w:val="auto"/>
          <w:highlight w:val="none"/>
        </w:rPr>
        <w:t>弃置/处置安全要求</w:t>
      </w:r>
      <w:bookmarkEnd w:id="2170"/>
      <w:bookmarkEnd w:id="2171"/>
      <w:bookmarkEnd w:id="2172"/>
      <w:bookmarkEnd w:id="2173"/>
      <w:bookmarkEnd w:id="2174"/>
      <w:bookmarkEnd w:id="2175"/>
      <w:bookmarkEnd w:id="2176"/>
      <w:bookmarkEnd w:id="2177"/>
      <w:bookmarkEnd w:id="2178"/>
      <w:bookmarkEnd w:id="2179"/>
      <w:bookmarkEnd w:id="2180"/>
    </w:p>
    <w:p w14:paraId="1DD4507A">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2181" w:name="_Toc7092"/>
      <w:bookmarkStart w:id="2182" w:name="_Toc13428"/>
      <w:bookmarkStart w:id="2183" w:name="_Toc28901"/>
      <w:bookmarkStart w:id="2184" w:name="_Toc25129"/>
      <w:bookmarkStart w:id="2185" w:name="_Toc4463"/>
      <w:bookmarkStart w:id="2186" w:name="_Toc1018"/>
      <w:bookmarkStart w:id="2187" w:name="_Toc24128"/>
      <w:r>
        <w:rPr>
          <w:rFonts w:hint="eastAsia" w:ascii="宋体" w:hAnsi="宋体" w:eastAsia="宋体" w:cs="宋体"/>
          <w:color w:val="auto"/>
          <w:highlight w:val="none"/>
        </w:rPr>
        <w:t>弃置前应保持FPSO设施的完整性</w:t>
      </w:r>
      <w:bookmarkEnd w:id="2181"/>
      <w:bookmarkEnd w:id="2182"/>
      <w:bookmarkEnd w:id="2183"/>
      <w:bookmarkEnd w:id="2184"/>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并满足以下要求：</w:t>
      </w:r>
      <w:bookmarkEnd w:id="2185"/>
      <w:bookmarkEnd w:id="2186"/>
      <w:bookmarkEnd w:id="2187"/>
    </w:p>
    <w:p w14:paraId="16522265">
      <w:pPr>
        <w:pStyle w:val="305"/>
        <w:numPr>
          <w:ilvl w:val="0"/>
          <w:numId w:val="116"/>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弃置处置开始实施后至少3个月内，FPSO船级证书应保持有效；</w:t>
      </w:r>
    </w:p>
    <w:p w14:paraId="78BC165E">
      <w:pPr>
        <w:pStyle w:val="305"/>
        <w:numPr>
          <w:ilvl w:val="0"/>
          <w:numId w:val="116"/>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消防、救生和逃生设备应满足FPSO弃置处置实施过程需要；</w:t>
      </w:r>
    </w:p>
    <w:p w14:paraId="0A50A9B5">
      <w:pPr>
        <w:pStyle w:val="305"/>
        <w:numPr>
          <w:ilvl w:val="0"/>
          <w:numId w:val="116"/>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外部通讯、内部通讯应满足FPSO拖航（自航）作业过程中的需要；</w:t>
      </w:r>
    </w:p>
    <w:p w14:paraId="00713983">
      <w:pPr>
        <w:pStyle w:val="305"/>
        <w:numPr>
          <w:ilvl w:val="0"/>
          <w:numId w:val="116"/>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至少保留1套完整的图纸资料、设备说明书以及变更管理文件等；</w:t>
      </w:r>
    </w:p>
    <w:p w14:paraId="07C7DF05">
      <w:pPr>
        <w:pStyle w:val="305"/>
        <w:numPr>
          <w:ilvl w:val="0"/>
          <w:numId w:val="116"/>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至少保留满足拖航（自航）设备运行3个月的易损备件、消耗材料及应急材料，以及相应的维护/维修工具。</w:t>
      </w:r>
    </w:p>
    <w:p w14:paraId="4C7133A6">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2188" w:name="_Toc7260"/>
      <w:bookmarkStart w:id="2189" w:name="_Toc8133"/>
      <w:bookmarkStart w:id="2190" w:name="_Toc4786"/>
      <w:bookmarkStart w:id="2191" w:name="_Toc16296"/>
      <w:r>
        <w:rPr>
          <w:rFonts w:hint="eastAsia" w:ascii="宋体" w:hAnsi="宋体" w:eastAsia="宋体" w:cs="宋体"/>
          <w:color w:val="auto"/>
          <w:highlight w:val="none"/>
        </w:rPr>
        <w:t>弃置</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处置方案应至少包括以下内容：</w:t>
      </w:r>
      <w:bookmarkEnd w:id="2188"/>
      <w:bookmarkEnd w:id="2189"/>
      <w:bookmarkEnd w:id="2190"/>
      <w:bookmarkEnd w:id="2191"/>
    </w:p>
    <w:p w14:paraId="3BCFBB5A">
      <w:pPr>
        <w:pStyle w:val="305"/>
        <w:numPr>
          <w:ilvl w:val="0"/>
          <w:numId w:val="117"/>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海上解脱、吊装及切割等高危险性作业的施工方案；</w:t>
      </w:r>
    </w:p>
    <w:p w14:paraId="3AF3F1E8">
      <w:pPr>
        <w:pStyle w:val="305"/>
        <w:numPr>
          <w:ilvl w:val="0"/>
          <w:numId w:val="117"/>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安全风险分析及防范措施；</w:t>
      </w:r>
    </w:p>
    <w:p w14:paraId="54775226">
      <w:pPr>
        <w:pStyle w:val="305"/>
        <w:numPr>
          <w:ilvl w:val="0"/>
          <w:numId w:val="117"/>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应急预案。</w:t>
      </w:r>
    </w:p>
    <w:p w14:paraId="7464B22E">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rPr>
      </w:pPr>
      <w:bookmarkStart w:id="2192" w:name="_Toc11526"/>
      <w:bookmarkStart w:id="2193" w:name="_Toc2504"/>
      <w:bookmarkStart w:id="2194" w:name="_Toc32578"/>
      <w:r>
        <w:rPr>
          <w:rFonts w:hint="eastAsia" w:ascii="宋体" w:hAnsi="宋体" w:eastAsia="宋体" w:cs="宋体"/>
          <w:color w:val="auto"/>
          <w:highlight w:val="none"/>
          <w:lang w:val="en-US" w:eastAsia="zh-CN"/>
        </w:rPr>
        <w:t>FPSO</w:t>
      </w:r>
      <w:r>
        <w:rPr>
          <w:rFonts w:hint="eastAsia" w:ascii="宋体" w:hAnsi="宋体" w:eastAsia="宋体" w:cs="宋体"/>
          <w:color w:val="auto"/>
          <w:highlight w:val="none"/>
        </w:rPr>
        <w:t>锚泊系统（或等效措施）、拖带点、拖航索具、号灯号型等关键设备，</w:t>
      </w:r>
      <w:r>
        <w:rPr>
          <w:rFonts w:hint="eastAsia" w:ascii="宋体" w:hAnsi="宋体" w:eastAsia="宋体" w:cs="宋体"/>
          <w:color w:val="auto"/>
          <w:highlight w:val="none"/>
          <w:lang w:val="en-US" w:eastAsia="zh-CN"/>
        </w:rPr>
        <w:t>应</w:t>
      </w:r>
      <w:r>
        <w:rPr>
          <w:rFonts w:hint="eastAsia" w:ascii="宋体" w:hAnsi="宋体" w:eastAsia="宋体" w:cs="宋体"/>
          <w:color w:val="auto"/>
          <w:highlight w:val="none"/>
        </w:rPr>
        <w:t>满足海事主管部门以及船级社的拖航检验规范要求，并取得检验证书</w:t>
      </w:r>
      <w:bookmarkEnd w:id="2192"/>
      <w:bookmarkEnd w:id="2193"/>
      <w:r>
        <w:rPr>
          <w:rFonts w:hint="eastAsia" w:ascii="宋体" w:hAnsi="宋体" w:eastAsia="宋体" w:cs="宋体"/>
          <w:color w:val="auto"/>
          <w:highlight w:val="none"/>
          <w:lang w:eastAsia="zh-CN"/>
        </w:rPr>
        <w:t>。</w:t>
      </w:r>
      <w:bookmarkEnd w:id="2194"/>
    </w:p>
    <w:p w14:paraId="45FFA7BB">
      <w:pPr>
        <w:pStyle w:val="261"/>
        <w:keepNext w:val="0"/>
        <w:keepLines w:val="0"/>
        <w:pageBreakBefore w:val="0"/>
        <w:widowControl/>
        <w:kinsoku/>
        <w:wordWrap/>
        <w:overflowPunct/>
        <w:topLinePunct w:val="0"/>
        <w:autoSpaceDE/>
        <w:autoSpaceDN/>
        <w:bidi w:val="0"/>
        <w:adjustRightInd/>
        <w:snapToGrid/>
        <w:spacing w:before="0" w:beforeLines="0" w:after="0" w:afterLines="0"/>
        <w:textAlignment w:val="auto"/>
        <w:outlineLvl w:val="9"/>
        <w:rPr>
          <w:rFonts w:hint="eastAsia" w:ascii="宋体" w:hAnsi="宋体" w:eastAsia="宋体" w:cs="宋体"/>
          <w:color w:val="auto"/>
          <w:highlight w:val="none"/>
          <w:lang w:val="en-US" w:eastAsia="zh-CN"/>
        </w:rPr>
      </w:pPr>
      <w:bookmarkStart w:id="2195" w:name="_Toc19781"/>
      <w:bookmarkStart w:id="2196" w:name="_Toc22733"/>
      <w:bookmarkStart w:id="2197" w:name="_Toc18511"/>
      <w:bookmarkStart w:id="2198" w:name="_Toc8489"/>
      <w:bookmarkStart w:id="2199" w:name="_Toc23929"/>
      <w:bookmarkStart w:id="2200" w:name="_Toc1674"/>
      <w:bookmarkStart w:id="2201" w:name="_Toc25404"/>
      <w:r>
        <w:rPr>
          <w:rFonts w:hint="eastAsia" w:ascii="宋体" w:hAnsi="宋体" w:eastAsia="宋体" w:cs="宋体"/>
          <w:color w:val="auto"/>
          <w:highlight w:val="none"/>
          <w:lang w:val="en-US" w:eastAsia="zh-CN"/>
        </w:rPr>
        <w:t>FPSO弃置/处置</w:t>
      </w:r>
      <w:bookmarkEnd w:id="2195"/>
      <w:bookmarkEnd w:id="2196"/>
      <w:bookmarkEnd w:id="2197"/>
      <w:bookmarkEnd w:id="2198"/>
      <w:r>
        <w:rPr>
          <w:rFonts w:hint="eastAsia" w:ascii="宋体" w:hAnsi="宋体" w:eastAsia="宋体" w:cs="宋体"/>
          <w:color w:val="auto"/>
          <w:highlight w:val="none"/>
          <w:lang w:val="en-US" w:eastAsia="zh-CN"/>
        </w:rPr>
        <w:t>满足以下要求：</w:t>
      </w:r>
      <w:bookmarkEnd w:id="2199"/>
      <w:bookmarkEnd w:id="2200"/>
      <w:bookmarkEnd w:id="2201"/>
    </w:p>
    <w:p w14:paraId="6320F5FF">
      <w:pPr>
        <w:pStyle w:val="305"/>
        <w:numPr>
          <w:ilvl w:val="0"/>
          <w:numId w:val="11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涉及FPSO弃置作业的单位及个人应具备作业资质；</w:t>
      </w:r>
    </w:p>
    <w:p w14:paraId="1B7DA0D8">
      <w:pPr>
        <w:pStyle w:val="305"/>
        <w:numPr>
          <w:ilvl w:val="0"/>
          <w:numId w:val="11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FPSO弃置作业中所使用的海洋石油专业设备应经检验合格；</w:t>
      </w:r>
    </w:p>
    <w:p w14:paraId="1FDE40AC">
      <w:pPr>
        <w:pStyle w:val="305"/>
        <w:numPr>
          <w:ilvl w:val="0"/>
          <w:numId w:val="11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弃置作业期间，应指派专职现场监督对弃置作业过程进行监督；</w:t>
      </w:r>
    </w:p>
    <w:p w14:paraId="2BE5FD6F">
      <w:pPr>
        <w:pStyle w:val="305"/>
        <w:numPr>
          <w:ilvl w:val="0"/>
          <w:numId w:val="118"/>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弃置作业期间，应配备守护船。</w:t>
      </w:r>
    </w:p>
    <w:p w14:paraId="0C66B048">
      <w:pPr>
        <w:pStyle w:val="259"/>
        <w:outlineLvl w:val="0"/>
        <w:rPr>
          <w:rFonts w:hint="eastAsia" w:ascii="Times New Roman"/>
          <w:color w:val="auto"/>
          <w:highlight w:val="none"/>
          <w:lang w:eastAsia="zh-CN"/>
        </w:rPr>
      </w:pPr>
      <w:bookmarkStart w:id="2202" w:name="_Toc21438"/>
      <w:bookmarkStart w:id="2203" w:name="_Toc19805"/>
      <w:bookmarkStart w:id="2204" w:name="_Toc20270"/>
      <w:bookmarkStart w:id="2205" w:name="_Toc27227"/>
      <w:bookmarkStart w:id="2206" w:name="_Toc14416"/>
      <w:bookmarkStart w:id="2207" w:name="_Toc8597"/>
      <w:bookmarkStart w:id="2208" w:name="_Toc13472"/>
      <w:bookmarkStart w:id="2209" w:name="_Toc15043"/>
      <w:bookmarkStart w:id="2210" w:name="_Toc23223"/>
      <w:r>
        <w:rPr>
          <w:rFonts w:hint="eastAsia" w:ascii="Times New Roman"/>
          <w:color w:val="auto"/>
          <w:highlight w:val="none"/>
          <w:lang w:val="en-US" w:eastAsia="zh-CN"/>
        </w:rPr>
        <w:t>设计文件的编写和审核</w:t>
      </w:r>
      <w:bookmarkEnd w:id="2202"/>
      <w:bookmarkEnd w:id="2203"/>
      <w:bookmarkEnd w:id="2204"/>
      <w:bookmarkEnd w:id="2205"/>
      <w:bookmarkEnd w:id="2206"/>
      <w:bookmarkEnd w:id="2207"/>
      <w:bookmarkEnd w:id="2208"/>
      <w:bookmarkEnd w:id="2209"/>
      <w:bookmarkEnd w:id="2210"/>
    </w:p>
    <w:p w14:paraId="093FAF5E">
      <w:pPr>
        <w:pStyle w:val="330"/>
        <w:bidi w:val="0"/>
        <w:rPr>
          <w:rFonts w:hint="eastAsia" w:ascii="Times New Roman"/>
          <w:color w:val="auto"/>
          <w:highlight w:val="none"/>
          <w:lang w:val="en-US" w:eastAsia="zh-CN"/>
        </w:rPr>
      </w:pPr>
      <w:r>
        <w:rPr>
          <w:rFonts w:hint="eastAsia" w:ascii="Times New Roman"/>
          <w:color w:val="auto"/>
          <w:highlight w:val="none"/>
          <w:lang w:val="en-US" w:eastAsia="zh-CN"/>
        </w:rPr>
        <w:t>以下设计工作应至少形成设计文件：</w:t>
      </w:r>
    </w:p>
    <w:p w14:paraId="52DF52E0">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总体布置；</w:t>
      </w:r>
    </w:p>
    <w:p w14:paraId="5E58B89B">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总体性能；</w:t>
      </w:r>
    </w:p>
    <w:p w14:paraId="2F617A33">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结构;</w:t>
      </w:r>
    </w:p>
    <w:p w14:paraId="2C95FE72">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防腐；</w:t>
      </w:r>
    </w:p>
    <w:p w14:paraId="7DC13327">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系泊；</w:t>
      </w:r>
    </w:p>
    <w:p w14:paraId="48A61DD6">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外舾装；</w:t>
      </w:r>
    </w:p>
    <w:p w14:paraId="501391D8">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轮机系统；</w:t>
      </w:r>
    </w:p>
    <w:p w14:paraId="36EA7999">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油气生产工艺和储运；</w:t>
      </w:r>
    </w:p>
    <w:p w14:paraId="4CA0D6A7">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通用机械设备和管系；</w:t>
      </w:r>
    </w:p>
    <w:p w14:paraId="40D9B9EF">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暖通；</w:t>
      </w:r>
    </w:p>
    <w:p w14:paraId="73D6B203">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电气；</w:t>
      </w:r>
    </w:p>
    <w:p w14:paraId="36D9301C">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仪表和控制系统；</w:t>
      </w:r>
    </w:p>
    <w:p w14:paraId="2CACA1BC">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防火安全；</w:t>
      </w:r>
    </w:p>
    <w:p w14:paraId="6B685A74">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救生和逃生；</w:t>
      </w:r>
    </w:p>
    <w:p w14:paraId="4CD6EDAB">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助航标志与信号；</w:t>
      </w:r>
    </w:p>
    <w:p w14:paraId="0B90C91A">
      <w:pPr>
        <w:pStyle w:val="305"/>
        <w:numPr>
          <w:ilvl w:val="0"/>
          <w:numId w:val="119"/>
        </w:numPr>
        <w:ind w:left="839" w:leftChars="0" w:hanging="419"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通信。</w:t>
      </w:r>
    </w:p>
    <w:p w14:paraId="74CFBA05">
      <w:pPr>
        <w:pStyle w:val="330"/>
        <w:bidi w:val="0"/>
        <w:rPr>
          <w:rFonts w:hint="eastAsia" w:ascii="Times New Roman"/>
          <w:color w:val="auto"/>
          <w:highlight w:val="none"/>
          <w:lang w:val="en-US" w:eastAsia="zh-CN"/>
        </w:rPr>
      </w:pPr>
      <w:r>
        <w:rPr>
          <w:rFonts w:hint="eastAsia" w:ascii="Times New Roman"/>
          <w:color w:val="auto"/>
          <w:highlight w:val="none"/>
          <w:lang w:val="en-US" w:eastAsia="zh-CN"/>
        </w:rPr>
        <w:t>设计文件应经过审核和批准。</w:t>
      </w:r>
    </w:p>
    <w:p w14:paraId="2FEC46CE">
      <w:pPr>
        <w:pStyle w:val="326"/>
        <w:numPr>
          <w:ilvl w:val="2"/>
          <w:numId w:val="0"/>
        </w:numPr>
        <w:jc w:val="both"/>
        <w:rPr>
          <w:rFonts w:hint="default" w:ascii="Times New Roman" w:hAnsi="Times New Roman" w:cs="Times New Roman"/>
          <w:color w:val="auto"/>
          <w:highlight w:val="none"/>
        </w:rPr>
      </w:pPr>
    </w:p>
    <w:p w14:paraId="15C409FE">
      <w:pPr>
        <w:pStyle w:val="326"/>
        <w:numPr>
          <w:ilvl w:val="2"/>
          <w:numId w:val="0"/>
        </w:numPr>
        <w:jc w:val="both"/>
        <w:rPr>
          <w:rFonts w:hint="default" w:ascii="Times New Roman" w:hAnsi="Times New Roman" w:cs="Times New Roman"/>
          <w:color w:val="auto"/>
          <w:highlight w:val="none"/>
        </w:rPr>
      </w:pPr>
    </w:p>
    <w:p w14:paraId="47CE1808">
      <w:pPr>
        <w:pStyle w:val="326"/>
        <w:numPr>
          <w:ilvl w:val="2"/>
          <w:numId w:val="0"/>
        </w:numPr>
        <w:jc w:val="both"/>
        <w:rPr>
          <w:rFonts w:hint="default" w:ascii="Times New Roman" w:hAnsi="Times New Roman" w:cs="Times New Roman"/>
          <w:color w:val="auto"/>
          <w:highlight w:val="none"/>
        </w:rPr>
      </w:pPr>
    </w:p>
    <w:p w14:paraId="794A1508">
      <w:pPr>
        <w:pStyle w:val="326"/>
        <w:numPr>
          <w:ilvl w:val="2"/>
          <w:numId w:val="0"/>
        </w:numPr>
        <w:jc w:val="both"/>
        <w:rPr>
          <w:rFonts w:hint="default" w:ascii="Times New Roman" w:hAnsi="Times New Roman" w:cs="Times New Roman"/>
          <w:color w:val="auto"/>
          <w:highlight w:val="none"/>
        </w:rPr>
      </w:pPr>
    </w:p>
    <w:p w14:paraId="1B35CA24">
      <w:pPr>
        <w:pStyle w:val="326"/>
        <w:numPr>
          <w:ilvl w:val="2"/>
          <w:numId w:val="0"/>
        </w:numPr>
        <w:jc w:val="both"/>
        <w:rPr>
          <w:rFonts w:hint="default" w:ascii="Times New Roman" w:hAnsi="Times New Roman" w:cs="Times New Roman"/>
          <w:color w:val="auto"/>
          <w:highlight w:val="none"/>
        </w:rPr>
      </w:pPr>
    </w:p>
    <w:p w14:paraId="41ED77D8">
      <w:pPr>
        <w:pStyle w:val="326"/>
        <w:numPr>
          <w:ilvl w:val="2"/>
          <w:numId w:val="0"/>
        </w:numPr>
        <w:jc w:val="both"/>
        <w:rPr>
          <w:rFonts w:hint="default" w:ascii="Times New Roman" w:hAnsi="Times New Roman" w:cs="Times New Roman"/>
          <w:color w:val="auto"/>
          <w:highlight w:val="none"/>
        </w:rPr>
      </w:pPr>
    </w:p>
    <w:p w14:paraId="39A7008B">
      <w:pPr>
        <w:pStyle w:val="326"/>
        <w:numPr>
          <w:ilvl w:val="2"/>
          <w:numId w:val="0"/>
        </w:numPr>
        <w:jc w:val="both"/>
        <w:rPr>
          <w:rFonts w:hint="default" w:ascii="Times New Roman" w:hAnsi="Times New Roman" w:cs="Times New Roman"/>
          <w:color w:val="auto"/>
          <w:highlight w:val="none"/>
        </w:rPr>
      </w:pPr>
    </w:p>
    <w:p w14:paraId="1749536E">
      <w:pPr>
        <w:pStyle w:val="326"/>
        <w:numPr>
          <w:ilvl w:val="2"/>
          <w:numId w:val="0"/>
        </w:numPr>
        <w:jc w:val="both"/>
        <w:rPr>
          <w:rFonts w:hint="default" w:ascii="Times New Roman" w:hAnsi="Times New Roman" w:cs="Times New Roman"/>
          <w:color w:val="auto"/>
          <w:highlight w:val="none"/>
        </w:rPr>
      </w:pPr>
    </w:p>
    <w:p w14:paraId="6ED9237D">
      <w:pPr>
        <w:pStyle w:val="326"/>
        <w:numPr>
          <w:ilvl w:val="2"/>
          <w:numId w:val="0"/>
        </w:numPr>
        <w:jc w:val="both"/>
        <w:rPr>
          <w:rFonts w:hint="default" w:ascii="Times New Roman" w:hAnsi="Times New Roman" w:cs="Times New Roman"/>
          <w:color w:val="auto"/>
          <w:highlight w:val="none"/>
        </w:rPr>
      </w:pPr>
    </w:p>
    <w:p w14:paraId="03729572">
      <w:pPr>
        <w:pStyle w:val="326"/>
        <w:numPr>
          <w:ilvl w:val="2"/>
          <w:numId w:val="0"/>
        </w:numPr>
        <w:jc w:val="both"/>
        <w:rPr>
          <w:rFonts w:hint="default" w:ascii="Times New Roman" w:hAnsi="Times New Roman" w:cs="Times New Roman"/>
          <w:color w:val="auto"/>
          <w:highlight w:val="none"/>
        </w:rPr>
      </w:pPr>
    </w:p>
    <w:p w14:paraId="658EF69A">
      <w:pPr>
        <w:pStyle w:val="326"/>
        <w:numPr>
          <w:ilvl w:val="2"/>
          <w:numId w:val="0"/>
        </w:numPr>
        <w:jc w:val="both"/>
        <w:rPr>
          <w:rFonts w:hint="default" w:ascii="Times New Roman" w:hAnsi="Times New Roman" w:cs="Times New Roman"/>
          <w:color w:val="auto"/>
          <w:highlight w:val="none"/>
        </w:rPr>
      </w:pPr>
    </w:p>
    <w:p w14:paraId="126F8DD5">
      <w:pPr>
        <w:pStyle w:val="326"/>
        <w:numPr>
          <w:ilvl w:val="2"/>
          <w:numId w:val="0"/>
        </w:numPr>
        <w:jc w:val="both"/>
        <w:rPr>
          <w:rFonts w:hint="default" w:ascii="Times New Roman" w:hAnsi="Times New Roman" w:cs="Times New Roman"/>
          <w:color w:val="auto"/>
          <w:highlight w:val="none"/>
        </w:rPr>
      </w:pPr>
    </w:p>
    <w:p w14:paraId="70C03968">
      <w:pPr>
        <w:pStyle w:val="326"/>
        <w:numPr>
          <w:ilvl w:val="2"/>
          <w:numId w:val="0"/>
        </w:numPr>
        <w:jc w:val="both"/>
        <w:rPr>
          <w:rFonts w:hint="default" w:ascii="Times New Roman" w:hAnsi="Times New Roman" w:cs="Times New Roman"/>
          <w:color w:val="auto"/>
          <w:highlight w:val="none"/>
        </w:rPr>
      </w:pPr>
    </w:p>
    <w:p w14:paraId="418D9ABF">
      <w:pPr>
        <w:pStyle w:val="326"/>
        <w:numPr>
          <w:ilvl w:val="2"/>
          <w:numId w:val="0"/>
        </w:numPr>
        <w:jc w:val="both"/>
        <w:rPr>
          <w:rFonts w:hint="default" w:ascii="Times New Roman" w:hAnsi="Times New Roman" w:cs="Times New Roman"/>
          <w:color w:val="auto"/>
          <w:highlight w:val="none"/>
        </w:rPr>
      </w:pPr>
    </w:p>
    <w:p w14:paraId="2134148E">
      <w:pPr>
        <w:pStyle w:val="326"/>
        <w:numPr>
          <w:ilvl w:val="2"/>
          <w:numId w:val="0"/>
        </w:numPr>
        <w:jc w:val="both"/>
        <w:rPr>
          <w:rFonts w:hint="default" w:ascii="Times New Roman" w:hAnsi="Times New Roman" w:cs="Times New Roman"/>
          <w:color w:val="auto"/>
          <w:highlight w:val="none"/>
        </w:rPr>
      </w:pPr>
    </w:p>
    <w:p w14:paraId="47E2E8D2">
      <w:pPr>
        <w:pStyle w:val="326"/>
        <w:numPr>
          <w:ilvl w:val="2"/>
          <w:numId w:val="0"/>
        </w:numPr>
        <w:jc w:val="both"/>
        <w:rPr>
          <w:rFonts w:hint="default" w:ascii="Times New Roman" w:hAnsi="Times New Roman" w:cs="Times New Roman"/>
          <w:color w:val="auto"/>
          <w:highlight w:val="none"/>
        </w:rPr>
      </w:pPr>
    </w:p>
    <w:p w14:paraId="5CB13F03">
      <w:pPr>
        <w:pStyle w:val="326"/>
        <w:numPr>
          <w:ilvl w:val="2"/>
          <w:numId w:val="0"/>
        </w:numPr>
        <w:jc w:val="both"/>
        <w:rPr>
          <w:rFonts w:hint="default" w:ascii="Times New Roman" w:hAnsi="Times New Roman" w:cs="Times New Roman"/>
          <w:color w:val="auto"/>
          <w:highlight w:val="none"/>
        </w:rPr>
      </w:pPr>
    </w:p>
    <w:p w14:paraId="20271267">
      <w:pPr>
        <w:pStyle w:val="326"/>
        <w:numPr>
          <w:ilvl w:val="2"/>
          <w:numId w:val="0"/>
        </w:numPr>
        <w:jc w:val="both"/>
        <w:rPr>
          <w:rFonts w:hint="default" w:ascii="Times New Roman" w:hAnsi="Times New Roman" w:cs="Times New Roman"/>
          <w:color w:val="auto"/>
          <w:highlight w:val="none"/>
        </w:rPr>
      </w:pPr>
    </w:p>
    <w:p w14:paraId="57717DEB">
      <w:pPr>
        <w:pStyle w:val="326"/>
        <w:numPr>
          <w:ilvl w:val="2"/>
          <w:numId w:val="0"/>
        </w:numPr>
        <w:jc w:val="both"/>
        <w:rPr>
          <w:rFonts w:hint="default" w:ascii="Times New Roman" w:hAnsi="Times New Roman" w:cs="Times New Roman"/>
          <w:color w:val="auto"/>
          <w:highlight w:val="none"/>
        </w:rPr>
      </w:pPr>
    </w:p>
    <w:p w14:paraId="4C98FEEF">
      <w:pPr>
        <w:pStyle w:val="326"/>
        <w:numPr>
          <w:ilvl w:val="2"/>
          <w:numId w:val="0"/>
        </w:numPr>
        <w:jc w:val="both"/>
        <w:rPr>
          <w:rFonts w:hint="default" w:ascii="Times New Roman" w:hAnsi="Times New Roman" w:cs="Times New Roman"/>
          <w:color w:val="auto"/>
          <w:highlight w:val="none"/>
        </w:rPr>
      </w:pPr>
    </w:p>
    <w:p w14:paraId="5F89B3C3">
      <w:pPr>
        <w:pStyle w:val="326"/>
        <w:numPr>
          <w:ilvl w:val="2"/>
          <w:numId w:val="0"/>
        </w:numPr>
        <w:jc w:val="both"/>
        <w:rPr>
          <w:rFonts w:hint="default" w:ascii="Times New Roman" w:hAnsi="Times New Roman" w:cs="Times New Roman"/>
          <w:color w:val="auto"/>
          <w:highlight w:val="none"/>
        </w:rPr>
      </w:pPr>
    </w:p>
    <w:p w14:paraId="0889D275">
      <w:pPr>
        <w:pStyle w:val="326"/>
        <w:numPr>
          <w:ilvl w:val="2"/>
          <w:numId w:val="0"/>
        </w:numPr>
        <w:jc w:val="both"/>
        <w:rPr>
          <w:rFonts w:hint="default" w:ascii="Times New Roman" w:hAnsi="Times New Roman" w:cs="Times New Roman"/>
          <w:color w:val="auto"/>
          <w:highlight w:val="none"/>
        </w:rPr>
      </w:pPr>
    </w:p>
    <w:p w14:paraId="7B974160">
      <w:pPr>
        <w:pStyle w:val="326"/>
        <w:numPr>
          <w:ilvl w:val="2"/>
          <w:numId w:val="0"/>
        </w:numPr>
        <w:jc w:val="both"/>
        <w:rPr>
          <w:rFonts w:hint="default" w:ascii="Times New Roman" w:hAnsi="Times New Roman" w:cs="Times New Roman"/>
          <w:color w:val="auto"/>
          <w:highlight w:val="none"/>
        </w:rPr>
      </w:pPr>
    </w:p>
    <w:p w14:paraId="681F5CC9">
      <w:pPr>
        <w:pStyle w:val="326"/>
        <w:numPr>
          <w:ilvl w:val="2"/>
          <w:numId w:val="0"/>
        </w:numPr>
        <w:jc w:val="both"/>
        <w:rPr>
          <w:rFonts w:hint="default" w:ascii="Times New Roman" w:hAnsi="Times New Roman" w:cs="Times New Roman"/>
          <w:color w:val="auto"/>
          <w:highlight w:val="none"/>
        </w:rPr>
      </w:pPr>
    </w:p>
    <w:p w14:paraId="5D5C93B1">
      <w:pPr>
        <w:pStyle w:val="326"/>
        <w:numPr>
          <w:ilvl w:val="2"/>
          <w:numId w:val="0"/>
        </w:numPr>
        <w:jc w:val="both"/>
        <w:rPr>
          <w:rFonts w:hint="default" w:ascii="Times New Roman" w:hAnsi="Times New Roman" w:cs="Times New Roman"/>
          <w:color w:val="auto"/>
          <w:highlight w:val="none"/>
        </w:rPr>
      </w:pPr>
    </w:p>
    <w:p w14:paraId="7C4D248B">
      <w:pPr>
        <w:pStyle w:val="326"/>
        <w:numPr>
          <w:ilvl w:val="2"/>
          <w:numId w:val="0"/>
        </w:numPr>
        <w:jc w:val="both"/>
        <w:rPr>
          <w:rFonts w:hint="default" w:ascii="Times New Roman" w:hAnsi="Times New Roman" w:cs="Times New Roman"/>
          <w:color w:val="auto"/>
          <w:highlight w:val="none"/>
        </w:rPr>
      </w:pPr>
    </w:p>
    <w:p w14:paraId="6939EF33">
      <w:pPr>
        <w:pStyle w:val="326"/>
        <w:numPr>
          <w:ilvl w:val="2"/>
          <w:numId w:val="0"/>
        </w:numPr>
        <w:jc w:val="both"/>
        <w:rPr>
          <w:rFonts w:hint="default" w:ascii="Times New Roman" w:hAnsi="Times New Roman" w:cs="Times New Roman"/>
          <w:color w:val="auto"/>
          <w:highlight w:val="none"/>
        </w:rPr>
      </w:pPr>
    </w:p>
    <w:p w14:paraId="34487ED5">
      <w:pPr>
        <w:pStyle w:val="326"/>
        <w:numPr>
          <w:ilvl w:val="2"/>
          <w:numId w:val="0"/>
        </w:numPr>
        <w:jc w:val="both"/>
        <w:rPr>
          <w:rFonts w:hint="default" w:ascii="Times New Roman" w:hAnsi="Times New Roman" w:cs="Times New Roman"/>
          <w:color w:val="auto"/>
          <w:highlight w:val="none"/>
        </w:rPr>
      </w:pPr>
    </w:p>
    <w:p w14:paraId="14E5FF35">
      <w:pPr>
        <w:pStyle w:val="326"/>
        <w:numPr>
          <w:ilvl w:val="2"/>
          <w:numId w:val="0"/>
        </w:numPr>
        <w:jc w:val="both"/>
        <w:rPr>
          <w:rFonts w:hint="default" w:ascii="Times New Roman" w:hAnsi="Times New Roman" w:cs="Times New Roman"/>
          <w:color w:val="auto"/>
          <w:highlight w:val="none"/>
        </w:rPr>
      </w:pPr>
    </w:p>
    <w:p w14:paraId="0D4F7FFA">
      <w:pPr>
        <w:pStyle w:val="326"/>
        <w:numPr>
          <w:ilvl w:val="2"/>
          <w:numId w:val="0"/>
        </w:numPr>
        <w:jc w:val="both"/>
        <w:rPr>
          <w:rFonts w:hint="default" w:ascii="Times New Roman" w:hAnsi="Times New Roman" w:cs="Times New Roman"/>
          <w:color w:val="auto"/>
          <w:highlight w:val="none"/>
        </w:rPr>
      </w:pPr>
    </w:p>
    <w:p w14:paraId="066D5292">
      <w:pPr>
        <w:pStyle w:val="326"/>
        <w:numPr>
          <w:ilvl w:val="2"/>
          <w:numId w:val="0"/>
        </w:numPr>
        <w:jc w:val="both"/>
        <w:rPr>
          <w:rFonts w:hint="default" w:ascii="Times New Roman" w:hAnsi="Times New Roman" w:cs="Times New Roman"/>
          <w:color w:val="auto"/>
          <w:highlight w:val="none"/>
        </w:rPr>
      </w:pPr>
    </w:p>
    <w:p w14:paraId="7B6B6EE9">
      <w:pPr>
        <w:pStyle w:val="326"/>
        <w:numPr>
          <w:ilvl w:val="2"/>
          <w:numId w:val="0"/>
        </w:numPr>
        <w:jc w:val="both"/>
        <w:rPr>
          <w:rFonts w:hint="default" w:ascii="Times New Roman" w:hAnsi="Times New Roman" w:cs="Times New Roman"/>
          <w:color w:val="auto"/>
          <w:highlight w:val="none"/>
        </w:rPr>
      </w:pPr>
    </w:p>
    <w:p w14:paraId="7C62C05B">
      <w:pPr>
        <w:pStyle w:val="326"/>
        <w:numPr>
          <w:ilvl w:val="2"/>
          <w:numId w:val="0"/>
        </w:numPr>
        <w:jc w:val="both"/>
        <w:rPr>
          <w:rFonts w:hint="default" w:ascii="Times New Roman" w:hAnsi="Times New Roman" w:cs="Times New Roman"/>
          <w:color w:val="auto"/>
          <w:highlight w:val="none"/>
        </w:rPr>
      </w:pPr>
    </w:p>
    <w:p w14:paraId="6D5A25F7">
      <w:pPr>
        <w:pStyle w:val="326"/>
        <w:numPr>
          <w:ilvl w:val="2"/>
          <w:numId w:val="0"/>
        </w:numPr>
        <w:jc w:val="both"/>
        <w:rPr>
          <w:rFonts w:hint="default" w:ascii="Times New Roman" w:hAnsi="Times New Roman" w:cs="Times New Roman"/>
          <w:color w:val="auto"/>
          <w:highlight w:val="none"/>
        </w:rPr>
      </w:pPr>
    </w:p>
    <w:p w14:paraId="6E3C1AFA">
      <w:pPr>
        <w:pStyle w:val="2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Chars="0"/>
        <w:jc w:val="center"/>
        <w:textAlignment w:val="auto"/>
        <w:outlineLvl w:val="0"/>
        <w:rPr>
          <w:rFonts w:hint="default" w:ascii="Times New Roman" w:hAnsi="Times New Roman" w:cs="Times New Roman"/>
          <w:color w:val="auto"/>
          <w:highlight w:val="none"/>
          <w:lang w:val="en-US" w:eastAsia="zh-CN"/>
        </w:rPr>
      </w:pPr>
      <w:bookmarkStart w:id="2211" w:name="_Toc18370"/>
      <w:bookmarkStart w:id="2212" w:name="_Toc31581"/>
      <w:bookmarkStart w:id="2213" w:name="_Toc25542"/>
      <w:bookmarkStart w:id="2214" w:name="_Toc10687"/>
      <w:bookmarkStart w:id="2215" w:name="_Toc23548"/>
      <w:bookmarkStart w:id="2216" w:name="_Toc17853"/>
      <w:bookmarkStart w:id="2217" w:name="_Toc22432"/>
      <w:r>
        <w:rPr>
          <w:rFonts w:hint="eastAsia" w:ascii="Times New Roman" w:hAnsi="Times New Roman" w:cs="Times New Roman"/>
          <w:color w:val="auto"/>
          <w:highlight w:val="none"/>
          <w:lang w:val="en-US" w:eastAsia="zh-CN"/>
        </w:rPr>
        <w:t>附录A</w:t>
      </w:r>
      <w:bookmarkEnd w:id="2211"/>
      <w:bookmarkEnd w:id="2212"/>
      <w:bookmarkEnd w:id="2213"/>
      <w:bookmarkEnd w:id="2214"/>
      <w:bookmarkEnd w:id="2215"/>
      <w:bookmarkEnd w:id="2216"/>
      <w:bookmarkEnd w:id="2217"/>
    </w:p>
    <w:p w14:paraId="6D6BA34D">
      <w:pPr>
        <w:pStyle w:val="2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Chars="0"/>
        <w:jc w:val="center"/>
        <w:textAlignment w:val="auto"/>
        <w:outlineLvl w:val="0"/>
        <w:rPr>
          <w:rFonts w:hint="eastAsia" w:ascii="Times New Roman" w:hAnsi="Times New Roman" w:cs="Times New Roman"/>
          <w:color w:val="auto"/>
          <w:highlight w:val="none"/>
          <w:lang w:val="en-US" w:eastAsia="zh-CN"/>
        </w:rPr>
      </w:pPr>
      <w:bookmarkStart w:id="2218" w:name="_Toc15105"/>
      <w:bookmarkStart w:id="2219" w:name="_Toc2964"/>
      <w:bookmarkStart w:id="2220" w:name="_Toc4070"/>
      <w:bookmarkStart w:id="2221" w:name="_Toc32701"/>
      <w:bookmarkStart w:id="2222" w:name="_Toc24101"/>
      <w:bookmarkStart w:id="2223" w:name="_Toc2823"/>
      <w:bookmarkStart w:id="2224" w:name="_Toc31466"/>
      <w:bookmarkStart w:id="2225" w:name="_Toc6180"/>
      <w:bookmarkStart w:id="2226" w:name="_Toc16908"/>
      <w:r>
        <w:rPr>
          <w:rFonts w:hint="eastAsia" w:ascii="Times New Roman" w:hAnsi="Times New Roman" w:cs="Times New Roman"/>
          <w:color w:val="auto"/>
          <w:highlight w:val="none"/>
          <w:lang w:val="en-US" w:eastAsia="zh-CN"/>
        </w:rPr>
        <w:t>（规范性）</w:t>
      </w:r>
      <w:bookmarkEnd w:id="2218"/>
      <w:bookmarkEnd w:id="2219"/>
      <w:bookmarkEnd w:id="2220"/>
      <w:bookmarkEnd w:id="2221"/>
      <w:bookmarkEnd w:id="2222"/>
      <w:bookmarkEnd w:id="2223"/>
      <w:bookmarkEnd w:id="2224"/>
      <w:bookmarkEnd w:id="2225"/>
      <w:bookmarkEnd w:id="2226"/>
    </w:p>
    <w:p w14:paraId="56952E06">
      <w:pPr>
        <w:pStyle w:val="259"/>
        <w:keepNext w:val="0"/>
        <w:keepLines w:val="0"/>
        <w:pageBreakBefore w:val="0"/>
        <w:widowControl/>
        <w:numPr>
          <w:ilvl w:val="0"/>
          <w:numId w:val="0"/>
        </w:numPr>
        <w:kinsoku/>
        <w:wordWrap/>
        <w:overflowPunct/>
        <w:topLinePunct w:val="0"/>
        <w:autoSpaceDE/>
        <w:autoSpaceDN/>
        <w:bidi w:val="0"/>
        <w:adjustRightInd/>
        <w:snapToGrid/>
        <w:spacing w:before="0" w:beforeLines="0" w:after="0" w:afterLines="0"/>
        <w:ind w:leftChars="0"/>
        <w:jc w:val="center"/>
        <w:textAlignment w:val="auto"/>
        <w:outlineLvl w:val="0"/>
        <w:rPr>
          <w:rFonts w:hint="eastAsia" w:ascii="Times New Roman" w:hAnsi="Times New Roman" w:cs="Times New Roman"/>
          <w:color w:val="auto"/>
          <w:highlight w:val="none"/>
          <w:lang w:val="en-US" w:eastAsia="zh-CN"/>
        </w:rPr>
      </w:pPr>
      <w:bookmarkStart w:id="2227" w:name="_Toc22205"/>
      <w:bookmarkStart w:id="2228" w:name="_Toc29467"/>
      <w:bookmarkStart w:id="2229" w:name="_Toc11612"/>
      <w:bookmarkStart w:id="2230" w:name="_Toc6777"/>
      <w:bookmarkStart w:id="2231" w:name="_Toc8587"/>
      <w:bookmarkStart w:id="2232" w:name="_Toc14693"/>
      <w:bookmarkStart w:id="2233" w:name="_Toc18933"/>
      <w:r>
        <w:rPr>
          <w:rFonts w:hint="eastAsia" w:ascii="Times New Roman" w:hAnsi="Times New Roman" w:cs="Times New Roman"/>
          <w:color w:val="auto"/>
          <w:highlight w:val="none"/>
          <w:lang w:val="en-US" w:eastAsia="zh-CN"/>
        </w:rPr>
        <w:t>分隔相邻处所的隔壁和甲板的耐火完整性等级</w:t>
      </w:r>
      <w:bookmarkEnd w:id="2227"/>
      <w:bookmarkEnd w:id="2228"/>
      <w:bookmarkEnd w:id="2229"/>
      <w:bookmarkEnd w:id="2230"/>
      <w:bookmarkEnd w:id="2231"/>
      <w:bookmarkEnd w:id="2232"/>
      <w:bookmarkEnd w:id="2233"/>
    </w:p>
    <w:p w14:paraId="73EF3B56">
      <w:pPr>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分隔相邻处所隔壁的耐火完整性等级应符合表A.1的要求；分隔相邻处所甲板的耐火完整性等级应符合表A.</w:t>
      </w:r>
      <w:r>
        <w:rPr>
          <w:rFonts w:hint="eastAsia" w:ascii="宋体" w:hAnsi="宋体" w:cs="宋体"/>
          <w:color w:val="auto"/>
          <w:highlight w:val="none"/>
          <w:lang w:val="en-US" w:eastAsia="zh-CN"/>
        </w:rPr>
        <w:t>2</w:t>
      </w:r>
      <w:r>
        <w:rPr>
          <w:rFonts w:hint="eastAsia" w:ascii="宋体" w:hAnsi="宋体" w:eastAsia="宋体" w:cs="宋体"/>
          <w:color w:val="auto"/>
          <w:highlight w:val="none"/>
          <w:lang w:val="en-US" w:eastAsia="zh-CN"/>
        </w:rPr>
        <w:t>的要求</w:t>
      </w:r>
      <w:r>
        <w:rPr>
          <w:rFonts w:hint="eastAsia" w:ascii="宋体" w:hAnsi="宋体" w:eastAsia="宋体" w:cs="宋体"/>
          <w:color w:val="auto"/>
          <w:highlight w:val="none"/>
        </w:rPr>
        <w:t>。</w:t>
      </w:r>
    </w:p>
    <w:p w14:paraId="5048CB83">
      <w:pPr>
        <w:pStyle w:val="274"/>
        <w:keepNext w:val="0"/>
        <w:keepLines w:val="0"/>
        <w:pageBreakBefore w:val="0"/>
        <w:widowControl/>
        <w:numPr>
          <w:ilvl w:val="0"/>
          <w:numId w:val="0"/>
        </w:numPr>
        <w:kinsoku/>
        <w:wordWrap/>
        <w:overflowPunct/>
        <w:topLinePunct w:val="0"/>
        <w:autoSpaceDE/>
        <w:autoSpaceDN/>
        <w:bidi w:val="0"/>
        <w:adjustRightInd/>
        <w:snapToGrid/>
        <w:spacing w:before="0" w:after="0"/>
        <w:textAlignment w:val="auto"/>
        <w:rPr>
          <w:rFonts w:hint="eastAsia" w:ascii="Times New Roman" w:hAnsi="Times New Roman" w:cs="Times New Roman"/>
          <w:color w:val="auto"/>
          <w:sz w:val="21"/>
          <w:highlight w:val="none"/>
        </w:rPr>
      </w:pPr>
      <w:bookmarkStart w:id="2234" w:name="_Toc29975"/>
      <w:bookmarkStart w:id="2235" w:name="_Toc21947"/>
      <w:bookmarkStart w:id="2236" w:name="_Toc18443"/>
      <w:bookmarkStart w:id="2237" w:name="_Toc18408"/>
      <w:bookmarkStart w:id="2238" w:name="_Toc11434"/>
      <w:bookmarkStart w:id="2239" w:name="_Toc990"/>
      <w:r>
        <w:rPr>
          <w:rFonts w:hint="eastAsia" w:ascii="黑体" w:hAnsi="黑体" w:eastAsia="黑体" w:cs="黑体"/>
          <w:color w:val="auto"/>
          <w:sz w:val="21"/>
          <w:highlight w:val="none"/>
          <w:lang w:val="en-US" w:eastAsia="zh-CN"/>
        </w:rPr>
        <w:t>表</w:t>
      </w:r>
      <w:r>
        <w:rPr>
          <w:rFonts w:hint="eastAsia" w:ascii="黑体" w:hAnsi="黑体" w:eastAsia="黑体" w:cs="黑体"/>
          <w:color w:val="auto"/>
          <w:sz w:val="21"/>
          <w:highlight w:val="none"/>
        </w:rPr>
        <w:t xml:space="preserve">A.1 </w:t>
      </w:r>
      <w:r>
        <w:rPr>
          <w:rFonts w:hint="eastAsia" w:ascii="黑体" w:hAnsi="黑体" w:eastAsia="黑体" w:cs="黑体"/>
          <w:color w:val="auto"/>
          <w:sz w:val="21"/>
          <w:highlight w:val="none"/>
          <w:lang w:val="en-US" w:eastAsia="zh-CN"/>
        </w:rPr>
        <w:t>分隔相邻处所隔壁的耐火完整性等级</w:t>
      </w:r>
      <w:bookmarkEnd w:id="2234"/>
      <w:bookmarkEnd w:id="2235"/>
      <w:bookmarkEnd w:id="2236"/>
      <w:bookmarkEnd w:id="2237"/>
      <w:bookmarkEnd w:id="2238"/>
      <w:bookmarkEnd w:id="2239"/>
    </w:p>
    <w:tbl>
      <w:tblPr>
        <w:tblStyle w:val="88"/>
        <w:tblpPr w:leftFromText="180" w:rightFromText="180" w:vertAnchor="text" w:horzAnchor="page" w:tblpX="1689" w:tblpY="297"/>
        <w:tblOverlap w:val="never"/>
        <w:tblW w:w="88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6"/>
        <w:gridCol w:w="665"/>
        <w:gridCol w:w="624"/>
        <w:gridCol w:w="765"/>
        <w:gridCol w:w="679"/>
        <w:gridCol w:w="837"/>
        <w:gridCol w:w="545"/>
        <w:gridCol w:w="718"/>
        <w:gridCol w:w="656"/>
        <w:gridCol w:w="829"/>
        <w:gridCol w:w="655"/>
      </w:tblGrid>
      <w:tr w14:paraId="131A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56" w:type="dxa"/>
            <w:vAlign w:val="center"/>
          </w:tcPr>
          <w:p w14:paraId="00137649">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bookmarkStart w:id="2240" w:name="_Toc24801"/>
            <w:bookmarkStart w:id="2241" w:name="_Toc21113"/>
            <w:bookmarkStart w:id="2242" w:name="_Toc18791"/>
            <w:bookmarkStart w:id="2243" w:name="_Toc3392"/>
            <w:bookmarkStart w:id="2244" w:name="_Toc10486"/>
            <w:bookmarkStart w:id="2245" w:name="_Toc24683"/>
            <w:bookmarkStart w:id="2246" w:name="_Toc1360"/>
            <w:r>
              <w:rPr>
                <w:rFonts w:hint="eastAsia" w:ascii="宋体" w:hAnsi="宋体" w:cs="宋体"/>
                <w:color w:val="auto"/>
                <w:sz w:val="13"/>
                <w:szCs w:val="13"/>
                <w:highlight w:val="none"/>
              </w:rPr>
              <w:t>处 所</w:t>
            </w:r>
          </w:p>
        </w:tc>
        <w:tc>
          <w:tcPr>
            <w:tcW w:w="665" w:type="dxa"/>
            <w:vAlign w:val="center"/>
          </w:tcPr>
          <w:p w14:paraId="5EB5A4AC">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控制站</w:t>
            </w:r>
            <w:r>
              <w:rPr>
                <w:rFonts w:hint="eastAsia" w:ascii="宋体" w:hAnsi="宋体" w:eastAsia="宋体" w:cs="宋体"/>
                <w:color w:val="auto"/>
                <w:sz w:val="21"/>
                <w:szCs w:val="13"/>
                <w:highlight w:val="none"/>
                <w:vertAlign w:val="superscript"/>
                <w:lang w:val="en-US" w:eastAsia="zh-CN"/>
              </w:rPr>
              <w:t>a</w:t>
            </w:r>
          </w:p>
        </w:tc>
        <w:tc>
          <w:tcPr>
            <w:tcW w:w="624" w:type="dxa"/>
            <w:vAlign w:val="center"/>
          </w:tcPr>
          <w:p w14:paraId="72A0C089">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走廊</w:t>
            </w:r>
            <w:r>
              <w:rPr>
                <w:rFonts w:hint="eastAsia" w:ascii="宋体" w:hAnsi="宋体" w:eastAsia="宋体" w:cs="宋体"/>
                <w:color w:val="auto"/>
                <w:sz w:val="21"/>
                <w:szCs w:val="13"/>
                <w:highlight w:val="none"/>
                <w:vertAlign w:val="superscript"/>
                <w:lang w:val="en-US" w:eastAsia="zh-CN"/>
              </w:rPr>
              <w:t>b</w:t>
            </w:r>
          </w:p>
        </w:tc>
        <w:tc>
          <w:tcPr>
            <w:tcW w:w="765" w:type="dxa"/>
            <w:vAlign w:val="center"/>
          </w:tcPr>
          <w:p w14:paraId="4EBD7889">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起居处所</w:t>
            </w:r>
            <w:r>
              <w:rPr>
                <w:rFonts w:hint="eastAsia" w:ascii="宋体" w:hAnsi="宋体" w:cs="宋体"/>
                <w:color w:val="auto"/>
                <w:sz w:val="21"/>
                <w:szCs w:val="13"/>
                <w:highlight w:val="none"/>
                <w:vertAlign w:val="superscript"/>
                <w:lang w:val="en-US" w:eastAsia="zh-CN"/>
              </w:rPr>
              <w:t>c</w:t>
            </w:r>
          </w:p>
        </w:tc>
        <w:tc>
          <w:tcPr>
            <w:tcW w:w="679" w:type="dxa"/>
            <w:vAlign w:val="center"/>
          </w:tcPr>
          <w:p w14:paraId="3EFBD4B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梯道</w:t>
            </w:r>
            <w:r>
              <w:rPr>
                <w:rFonts w:hint="eastAsia" w:ascii="宋体" w:hAnsi="宋体" w:eastAsia="宋体" w:cs="宋体"/>
                <w:color w:val="auto"/>
                <w:sz w:val="21"/>
                <w:szCs w:val="13"/>
                <w:highlight w:val="none"/>
                <w:vertAlign w:val="superscript"/>
                <w:lang w:val="en-US" w:eastAsia="zh-CN"/>
              </w:rPr>
              <w:t>d</w:t>
            </w:r>
          </w:p>
        </w:tc>
        <w:tc>
          <w:tcPr>
            <w:tcW w:w="837" w:type="dxa"/>
            <w:vAlign w:val="center"/>
          </w:tcPr>
          <w:p w14:paraId="5B2F2F4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失火危险较小的服务处所</w:t>
            </w:r>
            <w:r>
              <w:rPr>
                <w:rFonts w:hint="eastAsia" w:ascii="宋体" w:hAnsi="宋体" w:eastAsia="宋体" w:cs="宋体"/>
                <w:color w:val="auto"/>
                <w:sz w:val="21"/>
                <w:szCs w:val="13"/>
                <w:highlight w:val="none"/>
                <w:vertAlign w:val="superscript"/>
                <w:lang w:val="en-US" w:eastAsia="zh-CN"/>
              </w:rPr>
              <w:t>e</w:t>
            </w:r>
          </w:p>
        </w:tc>
        <w:tc>
          <w:tcPr>
            <w:tcW w:w="545" w:type="dxa"/>
            <w:vAlign w:val="center"/>
          </w:tcPr>
          <w:p w14:paraId="78EE819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A类机器处所</w:t>
            </w:r>
            <w:r>
              <w:rPr>
                <w:rFonts w:hint="eastAsia" w:ascii="宋体" w:hAnsi="宋体" w:eastAsia="宋体" w:cs="宋体"/>
                <w:color w:val="auto"/>
                <w:sz w:val="21"/>
                <w:szCs w:val="13"/>
                <w:highlight w:val="none"/>
                <w:vertAlign w:val="superscript"/>
                <w:lang w:val="en-US" w:eastAsia="zh-CN"/>
              </w:rPr>
              <w:t>f</w:t>
            </w:r>
          </w:p>
        </w:tc>
        <w:tc>
          <w:tcPr>
            <w:tcW w:w="718" w:type="dxa"/>
            <w:vAlign w:val="center"/>
          </w:tcPr>
          <w:p w14:paraId="25876A4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其他机器处所</w:t>
            </w:r>
            <w:r>
              <w:rPr>
                <w:rFonts w:hint="eastAsia" w:ascii="宋体" w:hAnsi="宋体" w:eastAsia="宋体" w:cs="宋体"/>
                <w:color w:val="auto"/>
                <w:sz w:val="21"/>
                <w:szCs w:val="13"/>
                <w:highlight w:val="none"/>
                <w:vertAlign w:val="superscript"/>
                <w:lang w:val="en-US" w:eastAsia="zh-CN"/>
              </w:rPr>
              <w:t>g</w:t>
            </w:r>
          </w:p>
        </w:tc>
        <w:tc>
          <w:tcPr>
            <w:tcW w:w="656" w:type="dxa"/>
            <w:vAlign w:val="center"/>
          </w:tcPr>
          <w:p w14:paraId="115BB7E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lang w:val="en-US" w:eastAsia="zh-CN"/>
              </w:rPr>
              <w:t>原油泵舱</w:t>
            </w:r>
            <w:r>
              <w:rPr>
                <w:rFonts w:hint="eastAsia" w:ascii="宋体" w:hAnsi="宋体" w:eastAsia="宋体" w:cs="宋体"/>
                <w:color w:val="auto"/>
                <w:sz w:val="21"/>
                <w:szCs w:val="13"/>
                <w:highlight w:val="none"/>
                <w:vertAlign w:val="superscript"/>
                <w:lang w:val="en-US" w:eastAsia="zh-CN"/>
              </w:rPr>
              <w:t>h</w:t>
            </w:r>
          </w:p>
        </w:tc>
        <w:tc>
          <w:tcPr>
            <w:tcW w:w="829" w:type="dxa"/>
            <w:vAlign w:val="center"/>
          </w:tcPr>
          <w:p w14:paraId="7732A31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失火危险较大的服务处所</w:t>
            </w:r>
            <w:r>
              <w:rPr>
                <w:rFonts w:hint="eastAsia" w:ascii="宋体" w:hAnsi="宋体" w:eastAsia="宋体" w:cs="宋体"/>
                <w:color w:val="auto"/>
                <w:sz w:val="21"/>
                <w:szCs w:val="13"/>
                <w:highlight w:val="none"/>
                <w:vertAlign w:val="superscript"/>
                <w:lang w:val="en-US" w:eastAsia="zh-CN"/>
              </w:rPr>
              <w:t>i</w:t>
            </w:r>
          </w:p>
        </w:tc>
        <w:tc>
          <w:tcPr>
            <w:tcW w:w="655" w:type="dxa"/>
            <w:vAlign w:val="center"/>
          </w:tcPr>
          <w:p w14:paraId="6DECB5C4">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开敞甲板处所</w:t>
            </w:r>
            <w:r>
              <w:rPr>
                <w:rFonts w:hint="eastAsia" w:ascii="宋体" w:hAnsi="宋体" w:eastAsia="宋体" w:cs="宋体"/>
                <w:color w:val="auto"/>
                <w:sz w:val="21"/>
                <w:szCs w:val="13"/>
                <w:highlight w:val="none"/>
                <w:vertAlign w:val="superscript"/>
                <w:lang w:val="en-US" w:eastAsia="zh-CN"/>
              </w:rPr>
              <w:t>j</w:t>
            </w:r>
          </w:p>
        </w:tc>
      </w:tr>
      <w:tr w14:paraId="2E935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exact"/>
        </w:trPr>
        <w:tc>
          <w:tcPr>
            <w:tcW w:w="1856" w:type="dxa"/>
            <w:vAlign w:val="center"/>
          </w:tcPr>
          <w:p w14:paraId="30E252B3">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控制站</w:t>
            </w:r>
            <w:r>
              <w:rPr>
                <w:rFonts w:hint="eastAsia" w:ascii="宋体" w:hAnsi="宋体" w:eastAsia="宋体" w:cs="宋体"/>
                <w:color w:val="auto"/>
                <w:sz w:val="21"/>
                <w:szCs w:val="13"/>
                <w:highlight w:val="none"/>
                <w:vertAlign w:val="superscript"/>
                <w:lang w:val="en-US" w:eastAsia="zh-CN"/>
              </w:rPr>
              <w:t>a</w:t>
            </w:r>
          </w:p>
        </w:tc>
        <w:tc>
          <w:tcPr>
            <w:tcW w:w="665" w:type="dxa"/>
            <w:vAlign w:val="center"/>
          </w:tcPr>
          <w:p w14:paraId="102E5E73">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firstLine="130" w:firstLineChars="100"/>
              <w:jc w:val="center"/>
              <w:textAlignment w:val="auto"/>
              <w:rPr>
                <w:rFonts w:ascii="宋体" w:hAnsi="宋体" w:cs="宋体"/>
                <w:color w:val="auto"/>
                <w:sz w:val="13"/>
                <w:szCs w:val="13"/>
                <w:highlight w:val="none"/>
                <w:vertAlign w:val="superscript"/>
              </w:rPr>
            </w:pPr>
            <w:r>
              <w:rPr>
                <w:rFonts w:hint="eastAsia" w:ascii="宋体" w:hAnsi="宋体" w:cs="宋体"/>
                <w:color w:val="auto"/>
                <w:sz w:val="13"/>
                <w:szCs w:val="13"/>
                <w:highlight w:val="none"/>
              </w:rPr>
              <w:t>A—0</w:t>
            </w:r>
            <w:r>
              <w:rPr>
                <w:rFonts w:hint="eastAsia" w:ascii="宋体" w:hAnsi="宋体" w:cs="宋体"/>
                <w:color w:val="auto"/>
                <w:sz w:val="13"/>
                <w:szCs w:val="13"/>
                <w:highlight w:val="none"/>
                <w:vertAlign w:val="superscript"/>
              </w:rPr>
              <w:t>〔</w:t>
            </w:r>
            <w:r>
              <w:rPr>
                <w:rFonts w:hint="eastAsia" w:ascii="宋体" w:hAnsi="宋体" w:cs="宋体"/>
                <w:color w:val="auto"/>
                <w:sz w:val="13"/>
                <w:szCs w:val="13"/>
                <w:highlight w:val="none"/>
                <w:vertAlign w:val="superscript"/>
                <w:lang w:val="en-US" w:eastAsia="zh-CN"/>
              </w:rPr>
              <w:t>3</w:t>
            </w:r>
            <w:r>
              <w:rPr>
                <w:rFonts w:hint="eastAsia" w:ascii="宋体" w:hAnsi="宋体" w:cs="宋体"/>
                <w:color w:val="auto"/>
                <w:sz w:val="13"/>
                <w:szCs w:val="13"/>
                <w:highlight w:val="none"/>
                <w:vertAlign w:val="superscript"/>
              </w:rPr>
              <w:t>〕</w:t>
            </w:r>
          </w:p>
          <w:p w14:paraId="2553E32A">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p w14:paraId="1A7C01AC">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〔4〕</w:t>
            </w:r>
          </w:p>
        </w:tc>
        <w:tc>
          <w:tcPr>
            <w:tcW w:w="624" w:type="dxa"/>
            <w:vAlign w:val="center"/>
          </w:tcPr>
          <w:p w14:paraId="2C2454A9">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765" w:type="dxa"/>
            <w:vAlign w:val="center"/>
          </w:tcPr>
          <w:p w14:paraId="2EAA7F1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679" w:type="dxa"/>
            <w:vAlign w:val="center"/>
          </w:tcPr>
          <w:p w14:paraId="5D8F8FD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837" w:type="dxa"/>
            <w:vAlign w:val="center"/>
          </w:tcPr>
          <w:p w14:paraId="73E29CE4">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A—15</w:t>
            </w:r>
          </w:p>
        </w:tc>
        <w:tc>
          <w:tcPr>
            <w:tcW w:w="545" w:type="dxa"/>
            <w:vAlign w:val="center"/>
          </w:tcPr>
          <w:p w14:paraId="551DD57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718" w:type="dxa"/>
            <w:vAlign w:val="center"/>
          </w:tcPr>
          <w:p w14:paraId="127AAE4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A—15</w:t>
            </w:r>
          </w:p>
        </w:tc>
        <w:tc>
          <w:tcPr>
            <w:tcW w:w="656" w:type="dxa"/>
            <w:vAlign w:val="center"/>
          </w:tcPr>
          <w:p w14:paraId="5EB4AC2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829" w:type="dxa"/>
            <w:vAlign w:val="center"/>
          </w:tcPr>
          <w:p w14:paraId="2DE0E75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655" w:type="dxa"/>
            <w:vAlign w:val="center"/>
          </w:tcPr>
          <w:p w14:paraId="1FEE229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5E10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4" w:hRule="exact"/>
        </w:trPr>
        <w:tc>
          <w:tcPr>
            <w:tcW w:w="1856" w:type="dxa"/>
            <w:vAlign w:val="center"/>
          </w:tcPr>
          <w:p w14:paraId="0CA3791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走廊</w:t>
            </w:r>
            <w:r>
              <w:rPr>
                <w:rFonts w:hint="eastAsia" w:ascii="宋体" w:hAnsi="宋体" w:eastAsia="宋体" w:cs="宋体"/>
                <w:color w:val="auto"/>
                <w:sz w:val="21"/>
                <w:szCs w:val="13"/>
                <w:highlight w:val="none"/>
                <w:vertAlign w:val="superscript"/>
                <w:lang w:val="en-US" w:eastAsia="zh-CN"/>
              </w:rPr>
              <w:t>b</w:t>
            </w:r>
          </w:p>
        </w:tc>
        <w:tc>
          <w:tcPr>
            <w:tcW w:w="665" w:type="dxa"/>
            <w:vAlign w:val="center"/>
          </w:tcPr>
          <w:p w14:paraId="7AA8AAB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w:t>
            </w:r>
          </w:p>
        </w:tc>
        <w:tc>
          <w:tcPr>
            <w:tcW w:w="624" w:type="dxa"/>
            <w:vAlign w:val="center"/>
          </w:tcPr>
          <w:p w14:paraId="381C0219">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C</w:t>
            </w:r>
          </w:p>
        </w:tc>
        <w:tc>
          <w:tcPr>
            <w:tcW w:w="765" w:type="dxa"/>
            <w:vAlign w:val="center"/>
          </w:tcPr>
          <w:p w14:paraId="5E8BBDE4">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B—0</w:t>
            </w:r>
          </w:p>
        </w:tc>
        <w:tc>
          <w:tcPr>
            <w:tcW w:w="679" w:type="dxa"/>
            <w:vAlign w:val="center"/>
          </w:tcPr>
          <w:p w14:paraId="51E00F14">
            <w:pPr>
              <w:keepNext w:val="0"/>
              <w:keepLines w:val="0"/>
              <w:pageBreakBefore w:val="0"/>
              <w:widowControl/>
              <w:kinsoku/>
              <w:wordWrap/>
              <w:overflowPunct/>
              <w:topLinePunct w:val="0"/>
              <w:autoSpaceDE/>
              <w:autoSpaceDN/>
              <w:bidi w:val="0"/>
              <w:adjustRightInd/>
              <w:snapToGrid/>
              <w:spacing w:line="240" w:lineRule="exact"/>
              <w:ind w:firstLine="130" w:firstLineChars="100"/>
              <w:jc w:val="left"/>
              <w:textAlignment w:val="auto"/>
              <w:rPr>
                <w:rFonts w:ascii="宋体" w:hAnsi="宋体" w:cs="宋体"/>
                <w:color w:val="auto"/>
                <w:sz w:val="13"/>
                <w:szCs w:val="13"/>
                <w:highlight w:val="none"/>
                <w:vertAlign w:val="superscript"/>
              </w:rPr>
            </w:pPr>
            <w:r>
              <w:rPr>
                <w:rFonts w:hint="eastAsia" w:ascii="宋体" w:hAnsi="宋体" w:cs="宋体"/>
                <w:color w:val="auto"/>
                <w:sz w:val="13"/>
                <w:szCs w:val="13"/>
                <w:highlight w:val="none"/>
              </w:rPr>
              <w:t>A—0</w:t>
            </w:r>
            <w:r>
              <w:rPr>
                <w:rFonts w:hint="eastAsia" w:ascii="宋体" w:hAnsi="宋体" w:cs="宋体"/>
                <w:color w:val="auto"/>
                <w:sz w:val="13"/>
                <w:szCs w:val="13"/>
                <w:highlight w:val="none"/>
                <w:vertAlign w:val="superscript"/>
              </w:rPr>
              <w:t>〔1〕</w:t>
            </w:r>
          </w:p>
          <w:p w14:paraId="3F72457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firstLine="130" w:firstLineChars="100"/>
              <w:jc w:val="left"/>
              <w:textAlignment w:val="auto"/>
              <w:rPr>
                <w:rFonts w:ascii="宋体" w:hAnsi="宋体" w:cs="宋体"/>
                <w:color w:val="auto"/>
                <w:sz w:val="13"/>
                <w:szCs w:val="13"/>
                <w:highlight w:val="none"/>
              </w:rPr>
            </w:pPr>
            <w:r>
              <w:rPr>
                <w:rFonts w:hint="eastAsia" w:ascii="宋体" w:hAnsi="宋体" w:cs="宋体"/>
                <w:color w:val="auto"/>
                <w:sz w:val="13"/>
                <w:szCs w:val="13"/>
                <w:highlight w:val="none"/>
              </w:rPr>
              <w:t>B—0</w:t>
            </w:r>
          </w:p>
        </w:tc>
        <w:tc>
          <w:tcPr>
            <w:tcW w:w="837" w:type="dxa"/>
            <w:vAlign w:val="center"/>
          </w:tcPr>
          <w:p w14:paraId="129891C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B—0</w:t>
            </w:r>
          </w:p>
        </w:tc>
        <w:tc>
          <w:tcPr>
            <w:tcW w:w="545" w:type="dxa"/>
            <w:vAlign w:val="center"/>
          </w:tcPr>
          <w:p w14:paraId="73235D4A">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718" w:type="dxa"/>
            <w:vAlign w:val="center"/>
          </w:tcPr>
          <w:p w14:paraId="4C87B7F4">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6" w:type="dxa"/>
            <w:vAlign w:val="center"/>
          </w:tcPr>
          <w:p w14:paraId="4ACD5EEB">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829" w:type="dxa"/>
            <w:vAlign w:val="center"/>
          </w:tcPr>
          <w:p w14:paraId="47617F3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5" w:type="dxa"/>
            <w:vAlign w:val="center"/>
          </w:tcPr>
          <w:p w14:paraId="568118F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3D97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exact"/>
        </w:trPr>
        <w:tc>
          <w:tcPr>
            <w:tcW w:w="1856" w:type="dxa"/>
            <w:vAlign w:val="center"/>
          </w:tcPr>
          <w:p w14:paraId="11F5CFD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起居处所</w:t>
            </w:r>
            <w:r>
              <w:rPr>
                <w:rFonts w:hint="eastAsia" w:ascii="宋体" w:hAnsi="宋体" w:cs="宋体"/>
                <w:color w:val="auto"/>
                <w:sz w:val="21"/>
                <w:szCs w:val="13"/>
                <w:highlight w:val="none"/>
                <w:vertAlign w:val="superscript"/>
                <w:lang w:val="en-US" w:eastAsia="zh-CN"/>
              </w:rPr>
              <w:t>c</w:t>
            </w:r>
          </w:p>
        </w:tc>
        <w:tc>
          <w:tcPr>
            <w:tcW w:w="665" w:type="dxa"/>
            <w:vAlign w:val="center"/>
          </w:tcPr>
          <w:p w14:paraId="706C55F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24" w:type="dxa"/>
            <w:vAlign w:val="center"/>
          </w:tcPr>
          <w:p w14:paraId="505AED8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w:t>
            </w:r>
          </w:p>
        </w:tc>
        <w:tc>
          <w:tcPr>
            <w:tcW w:w="765" w:type="dxa"/>
            <w:vAlign w:val="center"/>
          </w:tcPr>
          <w:p w14:paraId="44D4E04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C</w:t>
            </w:r>
          </w:p>
        </w:tc>
        <w:tc>
          <w:tcPr>
            <w:tcW w:w="679" w:type="dxa"/>
            <w:vAlign w:val="center"/>
          </w:tcPr>
          <w:p w14:paraId="356E8B93">
            <w:pPr>
              <w:keepNext w:val="0"/>
              <w:keepLines w:val="0"/>
              <w:pageBreakBefore w:val="0"/>
              <w:widowControl/>
              <w:kinsoku/>
              <w:wordWrap/>
              <w:overflowPunct/>
              <w:topLinePunct w:val="0"/>
              <w:autoSpaceDE/>
              <w:autoSpaceDN/>
              <w:bidi w:val="0"/>
              <w:adjustRightInd/>
              <w:snapToGrid/>
              <w:spacing w:line="240" w:lineRule="exact"/>
              <w:ind w:firstLine="130" w:firstLineChars="100"/>
              <w:jc w:val="left"/>
              <w:textAlignment w:val="auto"/>
              <w:rPr>
                <w:rFonts w:ascii="宋体" w:hAnsi="宋体" w:cs="宋体"/>
                <w:color w:val="auto"/>
                <w:sz w:val="13"/>
                <w:szCs w:val="13"/>
                <w:highlight w:val="none"/>
                <w:vertAlign w:val="superscript"/>
              </w:rPr>
            </w:pPr>
            <w:r>
              <w:rPr>
                <w:rFonts w:hint="eastAsia" w:ascii="宋体" w:hAnsi="宋体" w:cs="宋体"/>
                <w:color w:val="auto"/>
                <w:sz w:val="13"/>
                <w:szCs w:val="13"/>
                <w:highlight w:val="none"/>
              </w:rPr>
              <w:t>A—0</w:t>
            </w:r>
            <w:r>
              <w:rPr>
                <w:rFonts w:hint="eastAsia" w:ascii="宋体" w:hAnsi="宋体" w:cs="宋体"/>
                <w:color w:val="auto"/>
                <w:sz w:val="13"/>
                <w:szCs w:val="13"/>
                <w:highlight w:val="none"/>
                <w:vertAlign w:val="superscript"/>
              </w:rPr>
              <w:t>〔1〕</w:t>
            </w:r>
          </w:p>
          <w:p w14:paraId="29279BB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firstLine="130" w:firstLineChars="100"/>
              <w:jc w:val="left"/>
              <w:textAlignment w:val="auto"/>
              <w:rPr>
                <w:rFonts w:ascii="宋体" w:hAnsi="宋体" w:cs="宋体"/>
                <w:color w:val="auto"/>
                <w:sz w:val="13"/>
                <w:szCs w:val="13"/>
                <w:highlight w:val="none"/>
              </w:rPr>
            </w:pPr>
            <w:r>
              <w:rPr>
                <w:rFonts w:hint="eastAsia" w:ascii="宋体" w:hAnsi="宋体" w:cs="宋体"/>
                <w:color w:val="auto"/>
                <w:sz w:val="13"/>
                <w:szCs w:val="13"/>
                <w:highlight w:val="none"/>
              </w:rPr>
              <w:t>B—0</w:t>
            </w:r>
          </w:p>
        </w:tc>
        <w:tc>
          <w:tcPr>
            <w:tcW w:w="837" w:type="dxa"/>
            <w:vAlign w:val="center"/>
          </w:tcPr>
          <w:p w14:paraId="66EF8317">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B—0</w:t>
            </w:r>
          </w:p>
        </w:tc>
        <w:tc>
          <w:tcPr>
            <w:tcW w:w="545" w:type="dxa"/>
            <w:vAlign w:val="center"/>
          </w:tcPr>
          <w:p w14:paraId="3B7ADFE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718" w:type="dxa"/>
            <w:vAlign w:val="center"/>
          </w:tcPr>
          <w:p w14:paraId="6063A33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6" w:type="dxa"/>
            <w:vAlign w:val="center"/>
          </w:tcPr>
          <w:p w14:paraId="3886F80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829" w:type="dxa"/>
            <w:vAlign w:val="center"/>
          </w:tcPr>
          <w:p w14:paraId="666CA7CB">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5" w:type="dxa"/>
            <w:vAlign w:val="center"/>
          </w:tcPr>
          <w:p w14:paraId="1015C60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007C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exact"/>
        </w:trPr>
        <w:tc>
          <w:tcPr>
            <w:tcW w:w="1856" w:type="dxa"/>
            <w:vAlign w:val="center"/>
          </w:tcPr>
          <w:p w14:paraId="211F128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梯道</w:t>
            </w:r>
            <w:r>
              <w:rPr>
                <w:rFonts w:hint="eastAsia" w:ascii="宋体" w:hAnsi="宋体" w:eastAsia="宋体" w:cs="宋体"/>
                <w:color w:val="auto"/>
                <w:sz w:val="21"/>
                <w:szCs w:val="13"/>
                <w:highlight w:val="none"/>
                <w:vertAlign w:val="superscript"/>
                <w:lang w:val="en-US" w:eastAsia="zh-CN"/>
              </w:rPr>
              <w:t>d</w:t>
            </w:r>
          </w:p>
        </w:tc>
        <w:tc>
          <w:tcPr>
            <w:tcW w:w="665" w:type="dxa"/>
            <w:vAlign w:val="center"/>
          </w:tcPr>
          <w:p w14:paraId="4E7FCE84">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w:t>
            </w:r>
          </w:p>
        </w:tc>
        <w:tc>
          <w:tcPr>
            <w:tcW w:w="624" w:type="dxa"/>
            <w:vAlign w:val="center"/>
          </w:tcPr>
          <w:p w14:paraId="233D404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w:t>
            </w:r>
          </w:p>
        </w:tc>
        <w:tc>
          <w:tcPr>
            <w:tcW w:w="765" w:type="dxa"/>
            <w:vAlign w:val="center"/>
          </w:tcPr>
          <w:p w14:paraId="6D8CD89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79" w:type="dxa"/>
            <w:vAlign w:val="center"/>
          </w:tcPr>
          <w:p w14:paraId="32FAF414">
            <w:pPr>
              <w:keepNext w:val="0"/>
              <w:keepLines w:val="0"/>
              <w:pageBreakBefore w:val="0"/>
              <w:widowControl/>
              <w:kinsoku/>
              <w:wordWrap/>
              <w:overflowPunct/>
              <w:topLinePunct w:val="0"/>
              <w:autoSpaceDE/>
              <w:autoSpaceDN/>
              <w:bidi w:val="0"/>
              <w:adjustRightInd/>
              <w:snapToGrid/>
              <w:spacing w:line="240" w:lineRule="exact"/>
              <w:ind w:firstLine="130" w:firstLineChars="100"/>
              <w:jc w:val="left"/>
              <w:textAlignment w:val="auto"/>
              <w:rPr>
                <w:rFonts w:ascii="宋体" w:hAnsi="宋体" w:cs="宋体"/>
                <w:color w:val="auto"/>
                <w:sz w:val="13"/>
                <w:szCs w:val="13"/>
                <w:highlight w:val="none"/>
                <w:vertAlign w:val="superscript"/>
              </w:rPr>
            </w:pPr>
            <w:r>
              <w:rPr>
                <w:rFonts w:hint="eastAsia" w:ascii="宋体" w:hAnsi="宋体" w:cs="宋体"/>
                <w:color w:val="auto"/>
                <w:sz w:val="13"/>
                <w:szCs w:val="13"/>
                <w:highlight w:val="none"/>
              </w:rPr>
              <w:t>A—0</w:t>
            </w:r>
            <w:r>
              <w:rPr>
                <w:rFonts w:hint="eastAsia" w:ascii="宋体" w:hAnsi="宋体" w:cs="宋体"/>
                <w:color w:val="auto"/>
                <w:sz w:val="13"/>
                <w:szCs w:val="13"/>
                <w:highlight w:val="none"/>
                <w:vertAlign w:val="superscript"/>
              </w:rPr>
              <w:t>〔1〕</w:t>
            </w:r>
          </w:p>
          <w:p w14:paraId="412FFE8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firstLine="130" w:firstLineChars="100"/>
              <w:jc w:val="left"/>
              <w:textAlignment w:val="auto"/>
              <w:rPr>
                <w:rFonts w:ascii="宋体" w:hAnsi="宋体" w:cs="宋体"/>
                <w:color w:val="auto"/>
                <w:sz w:val="13"/>
                <w:szCs w:val="13"/>
                <w:highlight w:val="none"/>
              </w:rPr>
            </w:pPr>
            <w:r>
              <w:rPr>
                <w:rFonts w:hint="eastAsia" w:ascii="宋体" w:hAnsi="宋体" w:cs="宋体"/>
                <w:color w:val="auto"/>
                <w:sz w:val="13"/>
                <w:szCs w:val="13"/>
                <w:highlight w:val="none"/>
              </w:rPr>
              <w:t>B—0</w:t>
            </w:r>
          </w:p>
        </w:tc>
        <w:tc>
          <w:tcPr>
            <w:tcW w:w="837" w:type="dxa"/>
            <w:vAlign w:val="center"/>
          </w:tcPr>
          <w:p w14:paraId="33B29BE3">
            <w:pPr>
              <w:keepNext w:val="0"/>
              <w:keepLines w:val="0"/>
              <w:pageBreakBefore w:val="0"/>
              <w:widowControl/>
              <w:kinsoku/>
              <w:wordWrap/>
              <w:overflowPunct/>
              <w:topLinePunct w:val="0"/>
              <w:autoSpaceDE/>
              <w:autoSpaceDN/>
              <w:bidi w:val="0"/>
              <w:adjustRightInd/>
              <w:snapToGrid/>
              <w:spacing w:line="240" w:lineRule="exact"/>
              <w:ind w:firstLine="260" w:firstLineChars="200"/>
              <w:jc w:val="left"/>
              <w:textAlignment w:val="auto"/>
              <w:rPr>
                <w:rFonts w:ascii="宋体" w:hAnsi="宋体" w:cs="宋体"/>
                <w:color w:val="auto"/>
                <w:sz w:val="13"/>
                <w:szCs w:val="13"/>
                <w:highlight w:val="none"/>
                <w:vertAlign w:val="superscript"/>
              </w:rPr>
            </w:pPr>
            <w:r>
              <w:rPr>
                <w:rFonts w:hint="eastAsia" w:ascii="宋体" w:hAnsi="宋体" w:cs="宋体"/>
                <w:color w:val="auto"/>
                <w:sz w:val="13"/>
                <w:szCs w:val="13"/>
                <w:highlight w:val="none"/>
              </w:rPr>
              <w:t>A—0</w:t>
            </w:r>
            <w:r>
              <w:rPr>
                <w:rFonts w:hint="eastAsia" w:ascii="宋体" w:hAnsi="宋体" w:cs="宋体"/>
                <w:color w:val="auto"/>
                <w:sz w:val="13"/>
                <w:szCs w:val="13"/>
                <w:highlight w:val="none"/>
                <w:vertAlign w:val="superscript"/>
              </w:rPr>
              <w:t>〔1〕</w:t>
            </w:r>
          </w:p>
          <w:p w14:paraId="2CB86C53">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B—0</w:t>
            </w:r>
          </w:p>
        </w:tc>
        <w:tc>
          <w:tcPr>
            <w:tcW w:w="545" w:type="dxa"/>
            <w:vAlign w:val="center"/>
          </w:tcPr>
          <w:p w14:paraId="0262086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718" w:type="dxa"/>
            <w:vAlign w:val="center"/>
          </w:tcPr>
          <w:p w14:paraId="7AFF8DBA">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6" w:type="dxa"/>
            <w:vAlign w:val="center"/>
          </w:tcPr>
          <w:p w14:paraId="471DE079">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829" w:type="dxa"/>
            <w:vAlign w:val="center"/>
          </w:tcPr>
          <w:p w14:paraId="665D618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5" w:type="dxa"/>
            <w:vAlign w:val="center"/>
          </w:tcPr>
          <w:p w14:paraId="5DA53A6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5513A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exact"/>
        </w:trPr>
        <w:tc>
          <w:tcPr>
            <w:tcW w:w="1856" w:type="dxa"/>
            <w:vAlign w:val="center"/>
          </w:tcPr>
          <w:p w14:paraId="4F339F7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失火危险较小的服务处所</w:t>
            </w:r>
            <w:r>
              <w:rPr>
                <w:rFonts w:hint="eastAsia" w:ascii="宋体" w:hAnsi="宋体" w:eastAsia="宋体" w:cs="宋体"/>
                <w:color w:val="auto"/>
                <w:sz w:val="21"/>
                <w:szCs w:val="13"/>
                <w:highlight w:val="none"/>
                <w:vertAlign w:val="superscript"/>
                <w:lang w:val="en-US" w:eastAsia="zh-CN"/>
              </w:rPr>
              <w:t>e</w:t>
            </w:r>
          </w:p>
        </w:tc>
        <w:tc>
          <w:tcPr>
            <w:tcW w:w="665" w:type="dxa"/>
            <w:vAlign w:val="center"/>
          </w:tcPr>
          <w:p w14:paraId="4896597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24" w:type="dxa"/>
            <w:vAlign w:val="center"/>
          </w:tcPr>
          <w:p w14:paraId="52600E47">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65" w:type="dxa"/>
            <w:vAlign w:val="center"/>
          </w:tcPr>
          <w:p w14:paraId="2067BFCB">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79" w:type="dxa"/>
            <w:vAlign w:val="center"/>
          </w:tcPr>
          <w:p w14:paraId="48E0C4A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37" w:type="dxa"/>
            <w:vAlign w:val="center"/>
          </w:tcPr>
          <w:p w14:paraId="0A5B2870">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C</w:t>
            </w:r>
          </w:p>
        </w:tc>
        <w:tc>
          <w:tcPr>
            <w:tcW w:w="545" w:type="dxa"/>
            <w:vAlign w:val="center"/>
          </w:tcPr>
          <w:p w14:paraId="5CF9DD1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718" w:type="dxa"/>
            <w:vAlign w:val="center"/>
          </w:tcPr>
          <w:p w14:paraId="71E7E3B0">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6" w:type="dxa"/>
            <w:vAlign w:val="center"/>
          </w:tcPr>
          <w:p w14:paraId="20C72640">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829" w:type="dxa"/>
            <w:vAlign w:val="center"/>
          </w:tcPr>
          <w:p w14:paraId="7DC1664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5" w:type="dxa"/>
            <w:vAlign w:val="center"/>
          </w:tcPr>
          <w:p w14:paraId="5F564E0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2689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exact"/>
        </w:trPr>
        <w:tc>
          <w:tcPr>
            <w:tcW w:w="1856" w:type="dxa"/>
            <w:vAlign w:val="center"/>
          </w:tcPr>
          <w:p w14:paraId="5CFB6E9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A类机器处所</w:t>
            </w:r>
            <w:r>
              <w:rPr>
                <w:rFonts w:hint="eastAsia" w:ascii="宋体" w:hAnsi="宋体" w:eastAsia="宋体" w:cs="宋体"/>
                <w:color w:val="auto"/>
                <w:sz w:val="21"/>
                <w:szCs w:val="13"/>
                <w:highlight w:val="none"/>
                <w:vertAlign w:val="superscript"/>
                <w:lang w:val="en-US" w:eastAsia="zh-CN"/>
              </w:rPr>
              <w:t>f</w:t>
            </w:r>
          </w:p>
        </w:tc>
        <w:tc>
          <w:tcPr>
            <w:tcW w:w="665" w:type="dxa"/>
            <w:vAlign w:val="center"/>
          </w:tcPr>
          <w:p w14:paraId="645C18F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24" w:type="dxa"/>
            <w:vAlign w:val="center"/>
          </w:tcPr>
          <w:p w14:paraId="47FB9DB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65" w:type="dxa"/>
            <w:vAlign w:val="center"/>
          </w:tcPr>
          <w:p w14:paraId="66DBDEF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79" w:type="dxa"/>
            <w:vAlign w:val="center"/>
          </w:tcPr>
          <w:p w14:paraId="629B042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37" w:type="dxa"/>
            <w:vAlign w:val="center"/>
          </w:tcPr>
          <w:p w14:paraId="4A81338A">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545" w:type="dxa"/>
            <w:vAlign w:val="center"/>
          </w:tcPr>
          <w:p w14:paraId="1DCD964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lang w:val="en-US" w:eastAsia="zh-CN"/>
              </w:rPr>
              <w:t xml:space="preserve">  </w:t>
            </w:r>
            <w:r>
              <w:rPr>
                <w:rFonts w:hint="eastAsia" w:ascii="宋体" w:hAnsi="宋体" w:cs="宋体"/>
                <w:color w:val="auto"/>
                <w:sz w:val="13"/>
                <w:szCs w:val="13"/>
                <w:highlight w:val="none"/>
              </w:rPr>
              <w:t>*</w:t>
            </w:r>
          </w:p>
        </w:tc>
        <w:tc>
          <w:tcPr>
            <w:tcW w:w="718" w:type="dxa"/>
            <w:vAlign w:val="center"/>
          </w:tcPr>
          <w:p w14:paraId="162B91BB">
            <w:pPr>
              <w:keepNext w:val="0"/>
              <w:keepLines w:val="0"/>
              <w:pageBreakBefore w:val="0"/>
              <w:widowControl/>
              <w:kinsoku/>
              <w:wordWrap/>
              <w:overflowPunct/>
              <w:topLinePunct w:val="0"/>
              <w:autoSpaceDE/>
              <w:autoSpaceDN/>
              <w:bidi w:val="0"/>
              <w:adjustRightInd/>
              <w:snapToGrid/>
              <w:spacing w:line="240" w:lineRule="exact"/>
              <w:ind w:firstLine="130" w:firstLineChars="100"/>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6" w:type="dxa"/>
            <w:vAlign w:val="center"/>
          </w:tcPr>
          <w:p w14:paraId="4CC0FBC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r>
              <w:rPr>
                <w:rFonts w:hint="eastAsia" w:ascii="宋体" w:hAnsi="宋体" w:cs="宋体"/>
                <w:color w:val="auto"/>
                <w:sz w:val="13"/>
                <w:szCs w:val="13"/>
                <w:highlight w:val="none"/>
                <w:vertAlign w:val="superscript"/>
              </w:rPr>
              <w:t>〔</w:t>
            </w:r>
            <w:r>
              <w:rPr>
                <w:rFonts w:hint="eastAsia" w:ascii="宋体" w:hAnsi="宋体" w:cs="宋体"/>
                <w:color w:val="auto"/>
                <w:sz w:val="13"/>
                <w:szCs w:val="13"/>
                <w:highlight w:val="none"/>
                <w:vertAlign w:val="superscript"/>
                <w:lang w:val="en-US" w:eastAsia="zh-CN"/>
              </w:rPr>
              <w:t>4</w:t>
            </w:r>
            <w:r>
              <w:rPr>
                <w:rFonts w:hint="eastAsia" w:ascii="宋体" w:hAnsi="宋体" w:cs="宋体"/>
                <w:color w:val="auto"/>
                <w:sz w:val="13"/>
                <w:szCs w:val="13"/>
                <w:highlight w:val="none"/>
                <w:vertAlign w:val="superscript"/>
              </w:rPr>
              <w:t>〕</w:t>
            </w:r>
          </w:p>
        </w:tc>
        <w:tc>
          <w:tcPr>
            <w:tcW w:w="829" w:type="dxa"/>
            <w:vAlign w:val="center"/>
          </w:tcPr>
          <w:p w14:paraId="2A92910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655" w:type="dxa"/>
            <w:vAlign w:val="center"/>
          </w:tcPr>
          <w:p w14:paraId="7CA27CC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08AA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exact"/>
        </w:trPr>
        <w:tc>
          <w:tcPr>
            <w:tcW w:w="1856" w:type="dxa"/>
            <w:vAlign w:val="center"/>
          </w:tcPr>
          <w:p w14:paraId="2CEFAA1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其他机器处所</w:t>
            </w:r>
            <w:r>
              <w:rPr>
                <w:rFonts w:hint="eastAsia" w:ascii="宋体" w:hAnsi="宋体" w:eastAsia="宋体" w:cs="宋体"/>
                <w:color w:val="auto"/>
                <w:sz w:val="21"/>
                <w:szCs w:val="13"/>
                <w:highlight w:val="none"/>
                <w:vertAlign w:val="superscript"/>
                <w:lang w:val="en-US" w:eastAsia="zh-CN"/>
              </w:rPr>
              <w:t>g</w:t>
            </w:r>
          </w:p>
        </w:tc>
        <w:tc>
          <w:tcPr>
            <w:tcW w:w="665" w:type="dxa"/>
            <w:vAlign w:val="center"/>
          </w:tcPr>
          <w:p w14:paraId="0A877D4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24" w:type="dxa"/>
            <w:vAlign w:val="center"/>
          </w:tcPr>
          <w:p w14:paraId="01DB3FB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65" w:type="dxa"/>
            <w:vAlign w:val="center"/>
          </w:tcPr>
          <w:p w14:paraId="0288609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79" w:type="dxa"/>
            <w:vAlign w:val="center"/>
          </w:tcPr>
          <w:p w14:paraId="39460A2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37" w:type="dxa"/>
            <w:vAlign w:val="center"/>
          </w:tcPr>
          <w:p w14:paraId="3AFE476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545" w:type="dxa"/>
            <w:vAlign w:val="center"/>
          </w:tcPr>
          <w:p w14:paraId="0798398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p w14:paraId="540F867C">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p w14:paraId="03FAB70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p w14:paraId="6A54152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tc>
        <w:tc>
          <w:tcPr>
            <w:tcW w:w="718" w:type="dxa"/>
            <w:vAlign w:val="center"/>
          </w:tcPr>
          <w:p w14:paraId="2CCBCF23">
            <w:pPr>
              <w:keepNext w:val="0"/>
              <w:keepLines w:val="0"/>
              <w:pageBreakBefore w:val="0"/>
              <w:widowControl/>
              <w:kinsoku/>
              <w:wordWrap/>
              <w:overflowPunct/>
              <w:topLinePunct w:val="0"/>
              <w:autoSpaceDE/>
              <w:autoSpaceDN/>
              <w:bidi w:val="0"/>
              <w:adjustRightInd/>
              <w:snapToGrid/>
              <w:spacing w:line="240" w:lineRule="exact"/>
              <w:ind w:firstLine="130" w:firstLineChars="100"/>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r>
              <w:rPr>
                <w:rFonts w:hint="eastAsia" w:ascii="宋体" w:hAnsi="宋体" w:cs="宋体"/>
                <w:color w:val="auto"/>
                <w:sz w:val="13"/>
                <w:szCs w:val="13"/>
                <w:highlight w:val="none"/>
                <w:vertAlign w:val="superscript"/>
              </w:rPr>
              <w:t>〔</w:t>
            </w:r>
            <w:r>
              <w:rPr>
                <w:rFonts w:hint="eastAsia" w:ascii="宋体" w:hAnsi="宋体" w:cs="宋体"/>
                <w:color w:val="auto"/>
                <w:sz w:val="13"/>
                <w:szCs w:val="13"/>
                <w:highlight w:val="none"/>
                <w:vertAlign w:val="superscript"/>
                <w:lang w:eastAsia="zh-CN"/>
              </w:rPr>
              <w:t>2</w:t>
            </w:r>
            <w:r>
              <w:rPr>
                <w:rFonts w:hint="eastAsia" w:ascii="宋体" w:hAnsi="宋体" w:cs="宋体"/>
                <w:color w:val="auto"/>
                <w:sz w:val="13"/>
                <w:szCs w:val="13"/>
                <w:highlight w:val="none"/>
                <w:vertAlign w:val="superscript"/>
              </w:rPr>
              <w:t>〕</w:t>
            </w:r>
          </w:p>
        </w:tc>
        <w:tc>
          <w:tcPr>
            <w:tcW w:w="656" w:type="dxa"/>
            <w:vAlign w:val="center"/>
          </w:tcPr>
          <w:p w14:paraId="0CD31BE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829" w:type="dxa"/>
            <w:vAlign w:val="center"/>
          </w:tcPr>
          <w:p w14:paraId="0C3F79D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5" w:type="dxa"/>
            <w:vAlign w:val="center"/>
          </w:tcPr>
          <w:p w14:paraId="122160A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6CDC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 w:hRule="exact"/>
        </w:trPr>
        <w:tc>
          <w:tcPr>
            <w:tcW w:w="1856" w:type="dxa"/>
            <w:vAlign w:val="center"/>
          </w:tcPr>
          <w:p w14:paraId="54C52FE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lang w:val="en-US" w:eastAsia="zh-CN"/>
              </w:rPr>
              <w:t>原油泵舱</w:t>
            </w:r>
            <w:r>
              <w:rPr>
                <w:rFonts w:hint="eastAsia" w:ascii="宋体" w:hAnsi="宋体" w:eastAsia="宋体" w:cs="宋体"/>
                <w:color w:val="auto"/>
                <w:sz w:val="21"/>
                <w:szCs w:val="13"/>
                <w:highlight w:val="none"/>
                <w:vertAlign w:val="superscript"/>
                <w:lang w:val="en-US" w:eastAsia="zh-CN"/>
              </w:rPr>
              <w:t>h</w:t>
            </w:r>
          </w:p>
        </w:tc>
        <w:tc>
          <w:tcPr>
            <w:tcW w:w="665" w:type="dxa"/>
            <w:vAlign w:val="center"/>
          </w:tcPr>
          <w:p w14:paraId="422397C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24" w:type="dxa"/>
            <w:vAlign w:val="center"/>
          </w:tcPr>
          <w:p w14:paraId="7BFED65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65" w:type="dxa"/>
            <w:vAlign w:val="center"/>
          </w:tcPr>
          <w:p w14:paraId="56C3B65B">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79" w:type="dxa"/>
            <w:vAlign w:val="center"/>
          </w:tcPr>
          <w:p w14:paraId="68FF0C0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37" w:type="dxa"/>
            <w:vAlign w:val="center"/>
          </w:tcPr>
          <w:p w14:paraId="3B64D46C">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545" w:type="dxa"/>
            <w:vAlign w:val="center"/>
          </w:tcPr>
          <w:p w14:paraId="3826AA24">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18" w:type="dxa"/>
            <w:vAlign w:val="center"/>
          </w:tcPr>
          <w:p w14:paraId="0F30233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56" w:type="dxa"/>
            <w:vAlign w:val="center"/>
          </w:tcPr>
          <w:p w14:paraId="76D2B4BA">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29" w:type="dxa"/>
            <w:vAlign w:val="center"/>
          </w:tcPr>
          <w:p w14:paraId="5C61CCD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655" w:type="dxa"/>
            <w:vAlign w:val="center"/>
          </w:tcPr>
          <w:p w14:paraId="5445B19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22C8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exact"/>
        </w:trPr>
        <w:tc>
          <w:tcPr>
            <w:tcW w:w="1856" w:type="dxa"/>
            <w:vAlign w:val="center"/>
          </w:tcPr>
          <w:p w14:paraId="003591F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eastAsia="宋体" w:cs="宋体"/>
                <w:color w:val="auto"/>
                <w:sz w:val="13"/>
                <w:szCs w:val="13"/>
                <w:highlight w:val="none"/>
              </w:rPr>
              <w:t>失火危险较大的服务处所</w:t>
            </w:r>
            <w:r>
              <w:rPr>
                <w:rFonts w:hint="eastAsia" w:ascii="宋体" w:hAnsi="宋体" w:eastAsia="宋体" w:cs="宋体"/>
                <w:color w:val="auto"/>
                <w:sz w:val="13"/>
                <w:szCs w:val="13"/>
                <w:highlight w:val="none"/>
                <w:vertAlign w:val="baseline"/>
                <w:lang w:val="en-US" w:eastAsia="zh-CN"/>
              </w:rPr>
              <w:t>i</w:t>
            </w:r>
          </w:p>
        </w:tc>
        <w:tc>
          <w:tcPr>
            <w:tcW w:w="665" w:type="dxa"/>
            <w:vAlign w:val="center"/>
          </w:tcPr>
          <w:p w14:paraId="10D86D8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24" w:type="dxa"/>
            <w:vAlign w:val="center"/>
          </w:tcPr>
          <w:p w14:paraId="49CB7A19">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65" w:type="dxa"/>
            <w:vAlign w:val="center"/>
          </w:tcPr>
          <w:p w14:paraId="10E861C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79" w:type="dxa"/>
            <w:vAlign w:val="center"/>
          </w:tcPr>
          <w:p w14:paraId="5C90F8C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37" w:type="dxa"/>
            <w:vAlign w:val="center"/>
          </w:tcPr>
          <w:p w14:paraId="13D85BC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545" w:type="dxa"/>
            <w:vAlign w:val="center"/>
          </w:tcPr>
          <w:p w14:paraId="019FE6F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18" w:type="dxa"/>
            <w:vAlign w:val="center"/>
          </w:tcPr>
          <w:p w14:paraId="6F11FAC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56" w:type="dxa"/>
            <w:vAlign w:val="center"/>
          </w:tcPr>
          <w:p w14:paraId="570B04A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29" w:type="dxa"/>
            <w:vAlign w:val="center"/>
          </w:tcPr>
          <w:p w14:paraId="2F763859">
            <w:pPr>
              <w:keepNext w:val="0"/>
              <w:keepLines w:val="0"/>
              <w:pageBreakBefore w:val="0"/>
              <w:widowControl/>
              <w:kinsoku/>
              <w:wordWrap/>
              <w:overflowPunct/>
              <w:topLinePunct w:val="0"/>
              <w:autoSpaceDE/>
              <w:autoSpaceDN/>
              <w:bidi w:val="0"/>
              <w:adjustRightInd/>
              <w:snapToGrid/>
              <w:spacing w:line="240" w:lineRule="exact"/>
              <w:ind w:firstLine="260" w:firstLineChars="200"/>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r>
              <w:rPr>
                <w:rFonts w:hint="eastAsia" w:ascii="宋体" w:hAnsi="宋体" w:cs="宋体"/>
                <w:color w:val="auto"/>
                <w:sz w:val="13"/>
                <w:szCs w:val="13"/>
                <w:highlight w:val="none"/>
                <w:vertAlign w:val="superscript"/>
              </w:rPr>
              <w:t>〔</w:t>
            </w:r>
            <w:r>
              <w:rPr>
                <w:rFonts w:hint="eastAsia" w:ascii="宋体" w:hAnsi="宋体" w:cs="宋体"/>
                <w:color w:val="auto"/>
                <w:sz w:val="13"/>
                <w:szCs w:val="13"/>
                <w:highlight w:val="none"/>
                <w:vertAlign w:val="superscript"/>
                <w:lang w:eastAsia="zh-CN"/>
              </w:rPr>
              <w:t>2</w:t>
            </w:r>
            <w:r>
              <w:rPr>
                <w:rFonts w:hint="eastAsia" w:ascii="宋体" w:hAnsi="宋体" w:cs="宋体"/>
                <w:color w:val="auto"/>
                <w:sz w:val="13"/>
                <w:szCs w:val="13"/>
                <w:highlight w:val="none"/>
                <w:vertAlign w:val="superscript"/>
              </w:rPr>
              <w:t>〕</w:t>
            </w:r>
          </w:p>
        </w:tc>
        <w:tc>
          <w:tcPr>
            <w:tcW w:w="655" w:type="dxa"/>
            <w:vAlign w:val="center"/>
          </w:tcPr>
          <w:p w14:paraId="1F5492EC">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42CAB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exact"/>
        </w:trPr>
        <w:tc>
          <w:tcPr>
            <w:tcW w:w="1856" w:type="dxa"/>
            <w:vAlign w:val="center"/>
          </w:tcPr>
          <w:p w14:paraId="34623E6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auto"/>
                <w:sz w:val="13"/>
                <w:szCs w:val="13"/>
                <w:highlight w:val="none"/>
                <w:lang w:val="en-US" w:eastAsia="zh-CN"/>
              </w:rPr>
            </w:pPr>
            <w:r>
              <w:rPr>
                <w:rFonts w:hint="eastAsia" w:ascii="宋体" w:hAnsi="宋体" w:cs="宋体"/>
                <w:color w:val="auto"/>
                <w:sz w:val="13"/>
                <w:szCs w:val="13"/>
                <w:highlight w:val="none"/>
              </w:rPr>
              <w:t>开敞甲板处所</w:t>
            </w:r>
            <w:r>
              <w:rPr>
                <w:rFonts w:hint="eastAsia" w:ascii="宋体" w:hAnsi="宋体" w:eastAsia="宋体" w:cs="宋体"/>
                <w:color w:val="auto"/>
                <w:sz w:val="21"/>
                <w:szCs w:val="13"/>
                <w:highlight w:val="none"/>
                <w:vertAlign w:val="superscript"/>
                <w:lang w:val="en-US" w:eastAsia="zh-CN"/>
              </w:rPr>
              <w:t>j</w:t>
            </w:r>
          </w:p>
        </w:tc>
        <w:tc>
          <w:tcPr>
            <w:tcW w:w="665" w:type="dxa"/>
            <w:vAlign w:val="center"/>
          </w:tcPr>
          <w:p w14:paraId="271637F7">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24" w:type="dxa"/>
            <w:vAlign w:val="center"/>
          </w:tcPr>
          <w:p w14:paraId="3D4822E3">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65" w:type="dxa"/>
            <w:vAlign w:val="center"/>
          </w:tcPr>
          <w:p w14:paraId="43BEC90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79" w:type="dxa"/>
            <w:vAlign w:val="center"/>
          </w:tcPr>
          <w:p w14:paraId="449E1D9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37" w:type="dxa"/>
            <w:vAlign w:val="center"/>
          </w:tcPr>
          <w:p w14:paraId="22BBD26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545" w:type="dxa"/>
            <w:vAlign w:val="center"/>
          </w:tcPr>
          <w:p w14:paraId="6C156040">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718" w:type="dxa"/>
            <w:vAlign w:val="center"/>
          </w:tcPr>
          <w:p w14:paraId="72429320">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56" w:type="dxa"/>
            <w:vAlign w:val="center"/>
          </w:tcPr>
          <w:p w14:paraId="64EF1B0B">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29" w:type="dxa"/>
            <w:vAlign w:val="center"/>
          </w:tcPr>
          <w:p w14:paraId="7EB5AAD4">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p w14:paraId="0D3B47BF">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p w14:paraId="589436A5">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p w14:paraId="0D58021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p w14:paraId="5376D3EB">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p w14:paraId="7A8627BA">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p>
        </w:tc>
        <w:tc>
          <w:tcPr>
            <w:tcW w:w="655" w:type="dxa"/>
            <w:vAlign w:val="center"/>
          </w:tcPr>
          <w:p w14:paraId="48C02DD6">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0018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1" w:hRule="exact"/>
        </w:trPr>
        <w:tc>
          <w:tcPr>
            <w:tcW w:w="8829" w:type="dxa"/>
            <w:gridSpan w:val="11"/>
            <w:vAlign w:val="center"/>
          </w:tcPr>
          <w:p w14:paraId="271E89CA">
            <w:pPr>
              <w:keepNext w:val="0"/>
              <w:keepLines w:val="0"/>
              <w:pageBreakBefore w:val="0"/>
              <w:widowControl w:val="0"/>
              <w:tabs>
                <w:tab w:val="right" w:leader="dot" w:pos="9354"/>
              </w:tabs>
              <w:kinsoku/>
              <w:wordWrap/>
              <w:overflowPunct/>
              <w:topLinePunct w:val="0"/>
              <w:autoSpaceDE/>
              <w:autoSpaceDN/>
              <w:bidi w:val="0"/>
              <w:adjustRightInd w:val="0"/>
              <w:snapToGrid w:val="0"/>
              <w:spacing w:line="240" w:lineRule="auto"/>
              <w:ind w:firstLine="0" w:firstLineChars="0"/>
              <w:jc w:val="left"/>
              <w:textAlignment w:val="auto"/>
              <w:rPr>
                <w:rFonts w:hint="eastAsia" w:ascii="宋体" w:hAnsi="宋体" w:eastAsia="宋体" w:cs="宋体"/>
                <w:color w:val="auto"/>
                <w:kern w:val="0"/>
                <w:sz w:val="13"/>
                <w:szCs w:val="13"/>
                <w:highlight w:val="none"/>
              </w:rPr>
            </w:pPr>
            <w:r>
              <w:rPr>
                <w:rFonts w:ascii="黑体" w:hAnsi="黑体" w:eastAsia="黑体" w:cs="宋体"/>
                <w:color w:val="auto"/>
                <w:kern w:val="0"/>
                <w:sz w:val="13"/>
                <w:szCs w:val="13"/>
                <w:highlight w:val="none"/>
              </w:rPr>
              <w:t>注</w:t>
            </w:r>
            <w:r>
              <w:rPr>
                <w:rFonts w:hint="eastAsia" w:ascii="黑体" w:hAnsi="黑体" w:eastAsia="黑体" w:cs="宋体"/>
                <w:color w:val="auto"/>
                <w:kern w:val="0"/>
                <w:sz w:val="13"/>
                <w:szCs w:val="13"/>
                <w:highlight w:val="none"/>
                <w:lang w:val="en-US" w:eastAsia="zh-CN"/>
              </w:rPr>
              <w:t>1</w:t>
            </w:r>
            <w:r>
              <w:rPr>
                <w:rFonts w:ascii="黑体" w:hAnsi="黑体" w:eastAsia="黑体" w:cs="宋体"/>
                <w:color w:val="auto"/>
                <w:kern w:val="0"/>
                <w:sz w:val="13"/>
                <w:szCs w:val="13"/>
                <w:highlight w:val="none"/>
              </w:rPr>
              <w:t>：</w:t>
            </w:r>
            <w:r>
              <w:rPr>
                <w:rFonts w:hint="eastAsia" w:ascii="宋体" w:hAnsi="宋体" w:eastAsia="宋体" w:cs="宋体"/>
                <w:color w:val="auto"/>
                <w:kern w:val="0"/>
                <w:sz w:val="13"/>
                <w:szCs w:val="13"/>
                <w:highlight w:val="none"/>
              </w:rPr>
              <w:t>防火分隔的类别见本章</w:t>
            </w:r>
            <w:r>
              <w:rPr>
                <w:rFonts w:hint="eastAsia" w:ascii="宋体" w:hAnsi="宋体" w:cs="宋体"/>
                <w:color w:val="auto"/>
                <w:kern w:val="0"/>
                <w:sz w:val="13"/>
                <w:szCs w:val="13"/>
                <w:highlight w:val="none"/>
                <w:lang w:val="en-US" w:eastAsia="zh-CN"/>
              </w:rPr>
              <w:t>18.1.2</w:t>
            </w:r>
            <w:r>
              <w:rPr>
                <w:rFonts w:hint="eastAsia" w:ascii="宋体" w:hAnsi="宋体" w:eastAsia="宋体" w:cs="宋体"/>
                <w:color w:val="auto"/>
                <w:kern w:val="0"/>
                <w:sz w:val="13"/>
                <w:szCs w:val="13"/>
                <w:highlight w:val="none"/>
              </w:rPr>
              <w:t>。</w:t>
            </w:r>
          </w:p>
          <w:p w14:paraId="156B6B6D">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13"/>
                <w:szCs w:val="13"/>
                <w:highlight w:val="none"/>
                <w:lang w:val="en-US" w:eastAsia="zh-CN" w:bidi="ar"/>
              </w:rPr>
            </w:pPr>
            <w:r>
              <w:rPr>
                <w:rFonts w:ascii="黑体" w:hAnsi="黑体" w:eastAsia="黑体" w:cs="宋体"/>
                <w:color w:val="auto"/>
                <w:kern w:val="0"/>
                <w:sz w:val="13"/>
                <w:szCs w:val="13"/>
                <w:highlight w:val="none"/>
              </w:rPr>
              <w:t>注</w:t>
            </w:r>
            <w:r>
              <w:rPr>
                <w:rFonts w:hint="eastAsia" w:ascii="黑体" w:hAnsi="黑体" w:eastAsia="黑体" w:cs="宋体"/>
                <w:color w:val="auto"/>
                <w:kern w:val="0"/>
                <w:sz w:val="13"/>
                <w:szCs w:val="13"/>
                <w:highlight w:val="none"/>
                <w:lang w:val="en-US" w:eastAsia="zh-CN"/>
              </w:rPr>
              <w:t>2</w:t>
            </w:r>
            <w:r>
              <w:rPr>
                <w:rFonts w:ascii="黑体" w:hAnsi="黑体" w:eastAsia="黑体" w:cs="宋体"/>
                <w:color w:val="auto"/>
                <w:kern w:val="0"/>
                <w:sz w:val="13"/>
                <w:szCs w:val="13"/>
                <w:highlight w:val="none"/>
              </w:rPr>
              <w:t>：</w:t>
            </w:r>
            <w:r>
              <w:rPr>
                <w:rFonts w:hint="eastAsia" w:ascii="宋体" w:hAnsi="宋体" w:eastAsia="宋体" w:cs="宋体"/>
                <w:b w:val="0"/>
                <w:bCs w:val="0"/>
                <w:i w:val="0"/>
                <w:iCs w:val="0"/>
                <w:color w:val="auto"/>
                <w:kern w:val="0"/>
                <w:sz w:val="13"/>
                <w:szCs w:val="13"/>
                <w:highlight w:val="none"/>
                <w:lang w:val="en-US" w:eastAsia="zh-CN" w:bidi="ar"/>
              </w:rPr>
              <w:t>当这些处所具有相同的数字类别并注有上角</w:t>
            </w:r>
            <w:r>
              <w:rPr>
                <w:rFonts w:hint="eastAsia" w:ascii="宋体" w:hAnsi="宋体" w:cs="宋体"/>
                <w:color w:val="auto"/>
                <w:kern w:val="0"/>
                <w:sz w:val="13"/>
                <w:szCs w:val="13"/>
                <w:highlight w:val="none"/>
                <w:lang w:bidi="ar"/>
              </w:rPr>
              <w:t>〔</w:t>
            </w:r>
            <w:r>
              <w:rPr>
                <w:rFonts w:hint="eastAsia" w:ascii="宋体" w:hAnsi="宋体" w:cs="宋体"/>
                <w:color w:val="auto"/>
                <w:kern w:val="0"/>
                <w:sz w:val="13"/>
                <w:szCs w:val="13"/>
                <w:highlight w:val="none"/>
                <w:lang w:eastAsia="zh-CN" w:bidi="ar"/>
              </w:rPr>
              <w:t>2</w:t>
            </w:r>
            <w:r>
              <w:rPr>
                <w:rFonts w:hint="eastAsia" w:ascii="宋体" w:hAnsi="宋体" w:cs="宋体"/>
                <w:color w:val="auto"/>
                <w:kern w:val="0"/>
                <w:sz w:val="13"/>
                <w:szCs w:val="13"/>
                <w:highlight w:val="none"/>
                <w:lang w:bidi="ar"/>
              </w:rPr>
              <w:t>〕</w:t>
            </w:r>
            <w:r>
              <w:rPr>
                <w:rFonts w:hint="eastAsia" w:ascii="宋体" w:hAnsi="宋体" w:eastAsia="宋体" w:cs="宋体"/>
                <w:b w:val="0"/>
                <w:bCs w:val="0"/>
                <w:i w:val="0"/>
                <w:iCs w:val="0"/>
                <w:color w:val="auto"/>
                <w:kern w:val="0"/>
                <w:sz w:val="13"/>
                <w:szCs w:val="13"/>
                <w:highlight w:val="none"/>
                <w:lang w:val="en-US" w:eastAsia="zh-CN" w:bidi="ar"/>
              </w:rPr>
              <w:t>时，只有不同用途的相邻处所才要求表中所列等级的舱壁和甲板，例如在⑨中，在二个厨房之间不要求有舱壁分隔，但油漆间和厨房之间要求有 A-0 级舱壁。</w:t>
            </w:r>
            <w:r>
              <w:rPr>
                <w:rFonts w:hint="eastAsia" w:ascii="宋体" w:hAnsi="宋体" w:eastAsia="宋体" w:cs="宋体"/>
                <w:color w:val="auto"/>
                <w:kern w:val="0"/>
                <w:sz w:val="13"/>
                <w:szCs w:val="13"/>
                <w:highlight w:val="none"/>
                <w:lang w:val="en-US" w:eastAsia="zh-CN" w:bidi="ar"/>
              </w:rPr>
              <w:t xml:space="preserve"> </w:t>
            </w:r>
          </w:p>
          <w:p w14:paraId="5CE60D8C">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kern w:val="0"/>
                <w:sz w:val="13"/>
                <w:szCs w:val="13"/>
                <w:highlight w:val="none"/>
                <w:lang w:bidi="ar"/>
              </w:rPr>
            </w:pPr>
            <w:r>
              <w:rPr>
                <w:rFonts w:ascii="黑体" w:hAnsi="黑体" w:eastAsia="黑体" w:cs="宋体"/>
                <w:color w:val="auto"/>
                <w:kern w:val="0"/>
                <w:sz w:val="13"/>
                <w:szCs w:val="13"/>
                <w:highlight w:val="none"/>
              </w:rPr>
              <w:t>注</w:t>
            </w:r>
            <w:r>
              <w:rPr>
                <w:rFonts w:hint="eastAsia" w:ascii="黑体" w:hAnsi="黑体" w:eastAsia="黑体" w:cs="宋体"/>
                <w:color w:val="auto"/>
                <w:kern w:val="0"/>
                <w:sz w:val="13"/>
                <w:szCs w:val="13"/>
                <w:highlight w:val="none"/>
                <w:lang w:val="en-US" w:eastAsia="zh-CN"/>
              </w:rPr>
              <w:t>3</w:t>
            </w:r>
            <w:r>
              <w:rPr>
                <w:rFonts w:ascii="黑体" w:hAnsi="黑体" w:eastAsia="黑体" w:cs="宋体"/>
                <w:color w:val="auto"/>
                <w:kern w:val="0"/>
                <w:sz w:val="13"/>
                <w:szCs w:val="13"/>
                <w:highlight w:val="none"/>
              </w:rPr>
              <w:t>：</w:t>
            </w:r>
            <w:r>
              <w:rPr>
                <w:rFonts w:hint="eastAsia" w:ascii="宋体" w:hAnsi="宋体" w:cs="宋体"/>
                <w:color w:val="auto"/>
                <w:kern w:val="0"/>
                <w:sz w:val="13"/>
                <w:szCs w:val="13"/>
                <w:highlight w:val="none"/>
                <w:lang w:bidi="ar"/>
              </w:rPr>
              <w:t>分隔驾驶室、海图室和无线电室的舱壁可以为 B-0 级。</w:t>
            </w:r>
          </w:p>
          <w:p w14:paraId="171D9C76">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kern w:val="0"/>
                <w:sz w:val="13"/>
                <w:szCs w:val="13"/>
                <w:highlight w:val="none"/>
                <w:lang w:val="en-US" w:eastAsia="zh-CN" w:bidi="ar"/>
              </w:rPr>
            </w:pPr>
            <w:r>
              <w:rPr>
                <w:rFonts w:ascii="黑体" w:hAnsi="黑体" w:eastAsia="黑体" w:cs="宋体"/>
                <w:color w:val="auto"/>
                <w:kern w:val="0"/>
                <w:sz w:val="13"/>
                <w:szCs w:val="13"/>
                <w:highlight w:val="none"/>
              </w:rPr>
              <w:t>注</w:t>
            </w:r>
            <w:r>
              <w:rPr>
                <w:rFonts w:hint="eastAsia" w:ascii="黑体" w:hAnsi="黑体" w:eastAsia="黑体" w:cs="宋体"/>
                <w:color w:val="auto"/>
                <w:kern w:val="0"/>
                <w:sz w:val="13"/>
                <w:szCs w:val="13"/>
                <w:highlight w:val="none"/>
                <w:lang w:val="en-US" w:eastAsia="zh-CN"/>
              </w:rPr>
              <w:t>4</w:t>
            </w:r>
            <w:r>
              <w:rPr>
                <w:rFonts w:ascii="黑体" w:hAnsi="黑体" w:eastAsia="黑体" w:cs="宋体"/>
                <w:color w:val="auto"/>
                <w:kern w:val="0"/>
                <w:sz w:val="13"/>
                <w:szCs w:val="13"/>
                <w:highlight w:val="none"/>
              </w:rPr>
              <w:t>：</w:t>
            </w:r>
            <w:r>
              <w:rPr>
                <w:rFonts w:hint="eastAsia" w:ascii="宋体" w:hAnsi="宋体" w:eastAsia="宋体" w:cs="宋体"/>
                <w:b w:val="0"/>
                <w:bCs w:val="0"/>
                <w:i w:val="0"/>
                <w:iCs w:val="0"/>
                <w:color w:val="auto"/>
                <w:kern w:val="0"/>
                <w:sz w:val="13"/>
                <w:szCs w:val="13"/>
                <w:highlight w:val="none"/>
                <w:lang w:val="en-US" w:eastAsia="zh-CN" w:bidi="ar"/>
              </w:rPr>
              <w:t>在原油泵舱和 A 类机器处所之间的舱壁可以让原油泵轴的填料函以及有填料函的类似装置穿过</w:t>
            </w:r>
            <w:r>
              <w:rPr>
                <w:rFonts w:hint="eastAsia" w:ascii="宋体" w:hAnsi="宋体" w:cs="宋体"/>
                <w:b w:val="0"/>
                <w:bCs w:val="0"/>
                <w:i w:val="0"/>
                <w:iCs w:val="0"/>
                <w:color w:val="auto"/>
                <w:kern w:val="0"/>
                <w:sz w:val="13"/>
                <w:szCs w:val="13"/>
                <w:highlight w:val="none"/>
                <w:lang w:val="en-US" w:eastAsia="zh-CN" w:bidi="ar"/>
              </w:rPr>
              <w:t>，</w:t>
            </w:r>
            <w:r>
              <w:rPr>
                <w:rFonts w:hint="eastAsia" w:ascii="宋体" w:hAnsi="宋体" w:eastAsia="宋体" w:cs="宋体"/>
                <w:b w:val="0"/>
                <w:bCs w:val="0"/>
                <w:i w:val="0"/>
                <w:iCs w:val="0"/>
                <w:color w:val="auto"/>
                <w:kern w:val="0"/>
                <w:sz w:val="13"/>
                <w:szCs w:val="13"/>
                <w:highlight w:val="none"/>
                <w:lang w:val="en-US" w:eastAsia="zh-CN" w:bidi="ar"/>
              </w:rPr>
              <w:t>但是</w:t>
            </w:r>
            <w:r>
              <w:rPr>
                <w:rFonts w:hint="eastAsia" w:ascii="宋体" w:hAnsi="宋体" w:cs="宋体"/>
                <w:b w:val="0"/>
                <w:bCs w:val="0"/>
                <w:i w:val="0"/>
                <w:iCs w:val="0"/>
                <w:color w:val="auto"/>
                <w:kern w:val="0"/>
                <w:sz w:val="13"/>
                <w:szCs w:val="13"/>
                <w:highlight w:val="none"/>
                <w:lang w:val="en-US" w:eastAsia="zh-CN" w:bidi="ar"/>
              </w:rPr>
              <w:t>应</w:t>
            </w:r>
            <w:r>
              <w:rPr>
                <w:rFonts w:hint="eastAsia" w:ascii="宋体" w:hAnsi="宋体" w:eastAsia="宋体" w:cs="宋体"/>
                <w:b w:val="0"/>
                <w:bCs w:val="0"/>
                <w:i w:val="0"/>
                <w:iCs w:val="0"/>
                <w:color w:val="auto"/>
                <w:kern w:val="0"/>
                <w:sz w:val="13"/>
                <w:szCs w:val="13"/>
                <w:highlight w:val="none"/>
                <w:lang w:val="en-US" w:eastAsia="zh-CN" w:bidi="ar"/>
              </w:rPr>
              <w:t>在舱壁或甲板的贯穿处装有用有效润滑或其他措施来保证永久性气密的密封装置。</w:t>
            </w:r>
            <w:r>
              <w:rPr>
                <w:rFonts w:hint="eastAsia" w:ascii="宋体" w:hAnsi="宋体" w:eastAsia="宋体" w:cs="宋体"/>
                <w:color w:val="auto"/>
                <w:kern w:val="0"/>
                <w:sz w:val="13"/>
                <w:szCs w:val="13"/>
                <w:highlight w:val="none"/>
                <w:lang w:val="en-US" w:eastAsia="zh-CN" w:bidi="ar"/>
              </w:rPr>
              <w:t xml:space="preserve"> </w:t>
            </w:r>
          </w:p>
          <w:p w14:paraId="5752F115">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lang w:bidi="ar"/>
              </w:rPr>
            </w:pPr>
            <w:r>
              <w:rPr>
                <w:rFonts w:ascii="黑体" w:hAnsi="黑体" w:eastAsia="黑体" w:cs="宋体"/>
                <w:color w:val="auto"/>
                <w:kern w:val="0"/>
                <w:sz w:val="13"/>
                <w:szCs w:val="13"/>
                <w:highlight w:val="none"/>
              </w:rPr>
              <w:t>注</w:t>
            </w:r>
            <w:r>
              <w:rPr>
                <w:rFonts w:hint="eastAsia" w:ascii="黑体" w:hAnsi="黑体" w:eastAsia="黑体" w:cs="宋体"/>
                <w:color w:val="auto"/>
                <w:kern w:val="0"/>
                <w:sz w:val="13"/>
                <w:szCs w:val="13"/>
                <w:highlight w:val="none"/>
                <w:lang w:val="en-US" w:eastAsia="zh-CN"/>
              </w:rPr>
              <w:t>5</w:t>
            </w:r>
            <w:r>
              <w:rPr>
                <w:rFonts w:ascii="黑体" w:hAnsi="黑体" w:eastAsia="黑体" w:cs="宋体"/>
                <w:color w:val="auto"/>
                <w:kern w:val="0"/>
                <w:sz w:val="13"/>
                <w:szCs w:val="13"/>
                <w:highlight w:val="none"/>
              </w:rPr>
              <w:t>：</w:t>
            </w:r>
            <w:r>
              <w:rPr>
                <w:rFonts w:hint="eastAsia" w:ascii="宋体" w:hAnsi="宋体" w:cs="宋体"/>
                <w:color w:val="auto"/>
                <w:kern w:val="0"/>
                <w:sz w:val="13"/>
                <w:szCs w:val="13"/>
                <w:highlight w:val="none"/>
                <w:lang w:bidi="ar"/>
              </w:rPr>
              <w:t>如果</w:t>
            </w:r>
            <w:r>
              <w:rPr>
                <w:rFonts w:hint="eastAsia" w:ascii="宋体" w:hAnsi="宋体" w:cs="宋体"/>
                <w:color w:val="auto"/>
                <w:kern w:val="0"/>
                <w:sz w:val="13"/>
                <w:szCs w:val="13"/>
                <w:highlight w:val="none"/>
                <w:lang w:val="en-US" w:eastAsia="zh-CN" w:bidi="ar"/>
              </w:rPr>
              <w:t>其他机器处所</w:t>
            </w:r>
            <w:r>
              <w:rPr>
                <w:rFonts w:hint="eastAsia" w:ascii="宋体" w:hAnsi="宋体" w:cs="宋体"/>
                <w:color w:val="auto"/>
                <w:kern w:val="0"/>
                <w:sz w:val="13"/>
                <w:szCs w:val="13"/>
                <w:highlight w:val="none"/>
                <w:lang w:bidi="ar"/>
              </w:rPr>
              <w:t>没有或只有较小失火危险性，则可不装设耐火隔热层。</w:t>
            </w:r>
          </w:p>
          <w:p w14:paraId="5D7B4BD7">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lang w:eastAsia="zh-CN"/>
              </w:rPr>
            </w:pPr>
            <w:r>
              <w:rPr>
                <w:rFonts w:ascii="黑体" w:hAnsi="黑体" w:eastAsia="黑体" w:cs="宋体"/>
                <w:color w:val="auto"/>
                <w:kern w:val="0"/>
                <w:sz w:val="13"/>
                <w:szCs w:val="13"/>
                <w:highlight w:val="none"/>
              </w:rPr>
              <w:t>注</w:t>
            </w:r>
            <w:r>
              <w:rPr>
                <w:rFonts w:hint="eastAsia" w:ascii="黑体" w:hAnsi="黑体" w:eastAsia="黑体" w:cs="宋体"/>
                <w:color w:val="auto"/>
                <w:kern w:val="0"/>
                <w:sz w:val="13"/>
                <w:szCs w:val="13"/>
                <w:highlight w:val="none"/>
                <w:lang w:val="en-US" w:eastAsia="zh-CN"/>
              </w:rPr>
              <w:t>6</w:t>
            </w:r>
            <w:r>
              <w:rPr>
                <w:rFonts w:ascii="黑体" w:hAnsi="黑体" w:eastAsia="黑体" w:cs="宋体"/>
                <w:color w:val="auto"/>
                <w:kern w:val="0"/>
                <w:sz w:val="13"/>
                <w:szCs w:val="13"/>
                <w:highlight w:val="none"/>
              </w:rPr>
              <w:t>：</w:t>
            </w:r>
            <w:r>
              <w:rPr>
                <w:rFonts w:hint="default" w:ascii="宋体" w:hAnsi="宋体" w:eastAsia="宋体" w:cs="宋体"/>
                <w:color w:val="auto"/>
                <w:kern w:val="0"/>
                <w:sz w:val="13"/>
                <w:szCs w:val="13"/>
                <w:highlight w:val="none"/>
              </w:rPr>
              <w:t>*表示要求钢质或其他等效材料的分隔，但不要求A级标准</w:t>
            </w:r>
            <w:r>
              <w:rPr>
                <w:rFonts w:hint="eastAsia" w:ascii="宋体" w:hAnsi="宋体" w:cs="宋体"/>
                <w:color w:val="auto"/>
                <w:kern w:val="0"/>
                <w:sz w:val="13"/>
                <w:szCs w:val="13"/>
                <w:highlight w:val="none"/>
                <w:lang w:eastAsia="zh-CN"/>
              </w:rPr>
              <w:t>。</w:t>
            </w:r>
          </w:p>
          <w:p w14:paraId="62F4C165">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kern w:val="0"/>
                <w:sz w:val="13"/>
                <w:szCs w:val="13"/>
                <w:highlight w:val="none"/>
                <w:lang w:eastAsia="zh-CN"/>
              </w:rPr>
            </w:pPr>
            <w:r>
              <w:rPr>
                <w:rFonts w:ascii="黑体" w:hAnsi="黑体" w:eastAsia="黑体" w:cs="宋体"/>
                <w:color w:val="auto"/>
                <w:kern w:val="0"/>
                <w:sz w:val="13"/>
                <w:szCs w:val="13"/>
                <w:highlight w:val="none"/>
              </w:rPr>
              <w:t>注</w:t>
            </w:r>
            <w:r>
              <w:rPr>
                <w:rFonts w:hint="eastAsia" w:ascii="黑体" w:hAnsi="黑体" w:eastAsia="黑体" w:cs="宋体"/>
                <w:color w:val="auto"/>
                <w:kern w:val="0"/>
                <w:sz w:val="13"/>
                <w:szCs w:val="13"/>
                <w:highlight w:val="none"/>
                <w:lang w:val="en-US" w:eastAsia="zh-CN"/>
              </w:rPr>
              <w:t>7</w:t>
            </w:r>
            <w:r>
              <w:rPr>
                <w:rFonts w:ascii="黑体" w:hAnsi="黑体" w:eastAsia="黑体" w:cs="宋体"/>
                <w:color w:val="auto"/>
                <w:kern w:val="0"/>
                <w:sz w:val="13"/>
                <w:szCs w:val="13"/>
                <w:highlight w:val="none"/>
              </w:rPr>
              <w:t>：</w:t>
            </w:r>
            <w:r>
              <w:rPr>
                <w:rFonts w:hint="eastAsia" w:ascii="宋体" w:hAnsi="宋体" w:cs="宋体"/>
                <w:color w:val="auto"/>
                <w:kern w:val="0"/>
                <w:sz w:val="13"/>
                <w:szCs w:val="13"/>
                <w:highlight w:val="none"/>
              </w:rPr>
              <w:t>为了确定相邻处所界面的耐火完整性</w:t>
            </w:r>
            <w:r>
              <w:rPr>
                <w:rFonts w:hint="eastAsia" w:ascii="宋体" w:hAnsi="宋体" w:eastAsia="宋体" w:cs="宋体"/>
                <w:color w:val="auto"/>
                <w:kern w:val="0"/>
                <w:sz w:val="13"/>
                <w:szCs w:val="13"/>
                <w:highlight w:val="none"/>
                <w:lang w:eastAsia="zh-CN"/>
              </w:rPr>
              <w:t>，</w:t>
            </w:r>
            <w:r>
              <w:rPr>
                <w:rFonts w:hint="eastAsia" w:ascii="宋体" w:hAnsi="宋体" w:cs="宋体"/>
                <w:color w:val="auto"/>
                <w:kern w:val="0"/>
                <w:sz w:val="13"/>
                <w:szCs w:val="13"/>
                <w:highlight w:val="none"/>
              </w:rPr>
              <w:t>按</w:t>
            </w:r>
            <w:r>
              <w:rPr>
                <w:rFonts w:hint="eastAsia" w:ascii="宋体" w:hAnsi="宋体" w:eastAsia="宋体" w:cs="宋体"/>
                <w:color w:val="auto"/>
                <w:kern w:val="0"/>
                <w:sz w:val="13"/>
                <w:szCs w:val="13"/>
                <w:highlight w:val="none"/>
                <w:lang w:val="en-US" w:eastAsia="zh-CN"/>
              </w:rPr>
              <w:t>照</w:t>
            </w:r>
            <w:r>
              <w:rPr>
                <w:rFonts w:hint="eastAsia" w:ascii="宋体" w:hAnsi="宋体" w:eastAsia="宋体" w:cs="宋体"/>
                <w:color w:val="auto"/>
                <w:kern w:val="0"/>
                <w:sz w:val="13"/>
                <w:szCs w:val="13"/>
                <w:highlight w:val="none"/>
              </w:rPr>
              <w:t>处所</w:t>
            </w:r>
            <w:r>
              <w:rPr>
                <w:rFonts w:hint="eastAsia" w:ascii="宋体" w:hAnsi="宋体" w:eastAsia="宋体" w:cs="宋体"/>
                <w:color w:val="auto"/>
                <w:kern w:val="0"/>
                <w:sz w:val="13"/>
                <w:szCs w:val="13"/>
                <w:highlight w:val="none"/>
                <w:lang w:eastAsia="zh-CN"/>
              </w:rPr>
              <w:t>的</w:t>
            </w:r>
            <w:r>
              <w:rPr>
                <w:rFonts w:hint="eastAsia" w:ascii="宋体" w:hAnsi="宋体" w:cs="宋体"/>
                <w:color w:val="auto"/>
                <w:kern w:val="0"/>
                <w:sz w:val="13"/>
                <w:szCs w:val="13"/>
                <w:highlight w:val="none"/>
              </w:rPr>
              <w:t>失火危险程度</w:t>
            </w:r>
            <w:r>
              <w:rPr>
                <w:rFonts w:hint="eastAsia" w:ascii="宋体" w:hAnsi="宋体" w:eastAsia="宋体" w:cs="宋体"/>
                <w:color w:val="auto"/>
                <w:kern w:val="0"/>
                <w:sz w:val="13"/>
                <w:szCs w:val="13"/>
                <w:highlight w:val="none"/>
                <w:lang w:val="en-US" w:eastAsia="zh-CN"/>
              </w:rPr>
              <w:t>将其</w:t>
            </w:r>
            <w:r>
              <w:rPr>
                <w:rFonts w:hint="eastAsia" w:ascii="宋体" w:hAnsi="宋体" w:cs="宋体"/>
                <w:color w:val="auto"/>
                <w:kern w:val="0"/>
                <w:sz w:val="13"/>
                <w:szCs w:val="13"/>
                <w:highlight w:val="none"/>
              </w:rPr>
              <w:t>分为</w:t>
            </w:r>
            <w:r>
              <w:rPr>
                <w:rFonts w:hint="eastAsia" w:ascii="宋体" w:hAnsi="宋体" w:cs="宋体"/>
                <w:color w:val="auto"/>
                <w:kern w:val="0"/>
                <w:sz w:val="13"/>
                <w:szCs w:val="13"/>
                <w:highlight w:val="none"/>
                <w:lang w:val="en-US" w:eastAsia="zh-CN"/>
              </w:rPr>
              <w:t>以下10类</w:t>
            </w:r>
            <w:r>
              <w:rPr>
                <w:rFonts w:hint="eastAsia" w:ascii="宋体" w:hAnsi="宋体" w:eastAsia="宋体" w:cs="宋体"/>
                <w:color w:val="auto"/>
                <w:kern w:val="0"/>
                <w:sz w:val="13"/>
                <w:szCs w:val="13"/>
                <w:highlight w:val="none"/>
                <w:lang w:eastAsia="zh-CN"/>
              </w:rPr>
              <w:t>：</w:t>
            </w:r>
          </w:p>
          <w:p w14:paraId="418E5BB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kern w:val="0"/>
                <w:sz w:val="13"/>
                <w:szCs w:val="13"/>
                <w:highlight w:val="none"/>
                <w:lang w:val="en-US" w:eastAsia="zh-CN"/>
              </w:rPr>
            </w:pPr>
            <w:r>
              <w:rPr>
                <w:rFonts w:hint="eastAsia" w:ascii="宋体" w:hAnsi="宋体" w:cs="宋体"/>
                <w:color w:val="auto"/>
                <w:kern w:val="0"/>
                <w:sz w:val="13"/>
                <w:szCs w:val="13"/>
                <w:highlight w:val="none"/>
                <w:lang w:val="en-US" w:eastAsia="zh-CN"/>
              </w:rPr>
              <w:t>a 控制站</w:t>
            </w:r>
            <w:r>
              <w:rPr>
                <w:rFonts w:hint="eastAsia" w:ascii="宋体" w:hAnsi="宋体" w:cs="宋体"/>
                <w:color w:val="auto"/>
                <w:kern w:val="0"/>
                <w:sz w:val="13"/>
                <w:szCs w:val="13"/>
                <w:highlight w:val="none"/>
              </w:rPr>
              <w:t>是指油、气、水处理集控的处所、或驾驶室、无线电设备、助航设备或应急电源所在的处所，或者是指火警指示器或失火控制设备集中的处所</w:t>
            </w:r>
            <w:r>
              <w:rPr>
                <w:rFonts w:hint="eastAsia" w:ascii="宋体" w:hAnsi="宋体" w:cs="宋体"/>
                <w:color w:val="auto"/>
                <w:kern w:val="0"/>
                <w:sz w:val="13"/>
                <w:szCs w:val="13"/>
                <w:highlight w:val="none"/>
                <w:lang w:eastAsia="zh-CN"/>
              </w:rPr>
              <w:t>,</w:t>
            </w:r>
            <w:r>
              <w:rPr>
                <w:rFonts w:hint="eastAsia" w:ascii="宋体" w:hAnsi="宋体" w:cs="宋体"/>
                <w:color w:val="auto"/>
                <w:kern w:val="0"/>
                <w:sz w:val="13"/>
                <w:szCs w:val="13"/>
                <w:highlight w:val="none"/>
                <w:lang w:val="en-US" w:eastAsia="zh-CN"/>
              </w:rPr>
              <w:t>如</w:t>
            </w:r>
            <w:r>
              <w:rPr>
                <w:rFonts w:hint="eastAsia" w:ascii="宋体" w:hAnsi="宋体" w:eastAsia="宋体" w:cs="宋体"/>
                <w:color w:val="auto"/>
                <w:kern w:val="0"/>
                <w:sz w:val="13"/>
                <w:szCs w:val="13"/>
                <w:highlight w:val="none"/>
                <w:lang w:val="en-US" w:eastAsia="zh-CN"/>
              </w:rPr>
              <w:t>设有应急电源和应急照明电源的处所</w:t>
            </w:r>
            <w:r>
              <w:rPr>
                <w:rFonts w:hint="eastAsia" w:ascii="宋体" w:hAnsi="宋体" w:cs="宋体"/>
                <w:color w:val="auto"/>
                <w:kern w:val="0"/>
                <w:sz w:val="13"/>
                <w:szCs w:val="13"/>
                <w:highlight w:val="none"/>
                <w:lang w:val="en-US" w:eastAsia="zh-CN"/>
              </w:rPr>
              <w:t>、</w:t>
            </w:r>
            <w:r>
              <w:rPr>
                <w:rFonts w:hint="eastAsia" w:ascii="宋体" w:hAnsi="宋体" w:eastAsia="宋体" w:cs="宋体"/>
                <w:color w:val="auto"/>
                <w:kern w:val="0"/>
                <w:sz w:val="13"/>
                <w:szCs w:val="13"/>
                <w:highlight w:val="none"/>
                <w:lang w:val="en-US" w:eastAsia="zh-CN"/>
              </w:rPr>
              <w:t>驾驶室和海图室</w:t>
            </w:r>
            <w:r>
              <w:rPr>
                <w:rFonts w:hint="eastAsia" w:ascii="宋体" w:hAnsi="宋体" w:cs="宋体"/>
                <w:color w:val="auto"/>
                <w:kern w:val="0"/>
                <w:sz w:val="13"/>
                <w:szCs w:val="13"/>
                <w:highlight w:val="none"/>
                <w:lang w:val="en-US" w:eastAsia="zh-CN"/>
              </w:rPr>
              <w:t>、</w:t>
            </w:r>
            <w:r>
              <w:rPr>
                <w:rFonts w:hint="eastAsia" w:ascii="宋体" w:hAnsi="宋体" w:eastAsia="宋体" w:cs="宋体"/>
                <w:color w:val="auto"/>
                <w:kern w:val="0"/>
                <w:sz w:val="13"/>
                <w:szCs w:val="13"/>
                <w:highlight w:val="none"/>
                <w:lang w:val="en-US" w:eastAsia="zh-CN"/>
              </w:rPr>
              <w:t>设有无线电设备的处所</w:t>
            </w:r>
            <w:r>
              <w:rPr>
                <w:rFonts w:hint="eastAsia" w:ascii="宋体" w:hAnsi="宋体" w:cs="宋体"/>
                <w:color w:val="auto"/>
                <w:kern w:val="0"/>
                <w:sz w:val="13"/>
                <w:szCs w:val="13"/>
                <w:highlight w:val="none"/>
                <w:lang w:val="en-US" w:eastAsia="zh-CN"/>
              </w:rPr>
              <w:t>、</w:t>
            </w:r>
            <w:r>
              <w:rPr>
                <w:rFonts w:hint="eastAsia" w:ascii="宋体" w:hAnsi="宋体" w:eastAsia="宋体" w:cs="宋体"/>
                <w:color w:val="auto"/>
                <w:kern w:val="0"/>
                <w:sz w:val="13"/>
                <w:szCs w:val="13"/>
                <w:highlight w:val="none"/>
                <w:lang w:val="en-US" w:eastAsia="zh-CN"/>
              </w:rPr>
              <w:t>灭火设备室、失火控制室和失火记录站</w:t>
            </w:r>
            <w:r>
              <w:rPr>
                <w:rFonts w:hint="eastAsia" w:ascii="宋体" w:hAnsi="宋体" w:cs="宋体"/>
                <w:color w:val="auto"/>
                <w:kern w:val="0"/>
                <w:sz w:val="13"/>
                <w:szCs w:val="13"/>
                <w:highlight w:val="none"/>
                <w:lang w:val="en-US" w:eastAsia="zh-CN"/>
              </w:rPr>
              <w:t>、</w:t>
            </w:r>
            <w:r>
              <w:rPr>
                <w:rFonts w:hint="eastAsia" w:ascii="宋体" w:hAnsi="宋体" w:eastAsia="宋体" w:cs="宋体"/>
                <w:color w:val="auto"/>
                <w:kern w:val="0"/>
                <w:sz w:val="13"/>
                <w:szCs w:val="13"/>
                <w:highlight w:val="none"/>
                <w:lang w:val="en-US" w:eastAsia="zh-CN"/>
              </w:rPr>
              <w:t>中央控制室（CCR）</w:t>
            </w:r>
            <w:r>
              <w:rPr>
                <w:rFonts w:hint="eastAsia" w:ascii="宋体" w:hAnsi="宋体" w:cs="宋体"/>
                <w:color w:val="auto"/>
                <w:kern w:val="0"/>
                <w:sz w:val="13"/>
                <w:szCs w:val="13"/>
                <w:highlight w:val="none"/>
                <w:lang w:val="en-US" w:eastAsia="zh-CN"/>
              </w:rPr>
              <w:t>、</w:t>
            </w:r>
            <w:r>
              <w:rPr>
                <w:rFonts w:hint="eastAsia" w:ascii="宋体" w:hAnsi="宋体" w:eastAsia="宋体" w:cs="宋体"/>
                <w:color w:val="auto"/>
                <w:kern w:val="0"/>
                <w:sz w:val="13"/>
                <w:szCs w:val="13"/>
                <w:highlight w:val="none"/>
                <w:lang w:val="en-US" w:eastAsia="zh-CN"/>
              </w:rPr>
              <w:t>设有集中失火报警设备的处所</w:t>
            </w:r>
            <w:r>
              <w:rPr>
                <w:rFonts w:hint="eastAsia" w:ascii="宋体" w:hAnsi="宋体" w:cs="宋体"/>
                <w:color w:val="auto"/>
                <w:kern w:val="0"/>
                <w:sz w:val="13"/>
                <w:szCs w:val="13"/>
                <w:highlight w:val="none"/>
                <w:lang w:eastAsia="zh-CN"/>
              </w:rPr>
              <w:t>，</w:t>
            </w:r>
            <w:r>
              <w:rPr>
                <w:rFonts w:hint="eastAsia" w:ascii="宋体" w:hAnsi="宋体" w:cs="宋体"/>
                <w:color w:val="auto"/>
                <w:kern w:val="0"/>
                <w:sz w:val="13"/>
                <w:szCs w:val="13"/>
                <w:highlight w:val="none"/>
                <w:lang w:val="en-US" w:eastAsia="zh-CN"/>
              </w:rPr>
              <w:t>以</w:t>
            </w:r>
            <w:r>
              <w:rPr>
                <w:rFonts w:hint="eastAsia" w:ascii="宋体" w:hAnsi="宋体" w:cs="宋体"/>
                <w:color w:val="auto"/>
                <w:kern w:val="0"/>
                <w:sz w:val="13"/>
                <w:szCs w:val="13"/>
                <w:highlight w:val="none"/>
              </w:rPr>
              <w:t>①</w:t>
            </w:r>
            <w:r>
              <w:rPr>
                <w:rFonts w:hint="eastAsia" w:ascii="宋体" w:hAnsi="宋体" w:cs="宋体"/>
                <w:color w:val="auto"/>
                <w:kern w:val="0"/>
                <w:sz w:val="13"/>
                <w:szCs w:val="13"/>
                <w:highlight w:val="none"/>
                <w:lang w:val="en-US" w:eastAsia="zh-CN"/>
              </w:rPr>
              <w:t>作为其分类代码</w:t>
            </w:r>
            <w:r>
              <w:rPr>
                <w:rFonts w:hint="eastAsia" w:ascii="宋体" w:hAnsi="宋体" w:eastAsia="宋体" w:cs="宋体"/>
                <w:color w:val="auto"/>
                <w:kern w:val="0"/>
                <w:sz w:val="13"/>
                <w:szCs w:val="13"/>
                <w:highlight w:val="none"/>
                <w:lang w:val="en-US" w:eastAsia="zh-CN"/>
              </w:rPr>
              <w:t>。</w:t>
            </w:r>
          </w:p>
          <w:p w14:paraId="3009FB32">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lang w:val="en-US" w:eastAsia="zh-CN"/>
              </w:rPr>
            </w:pPr>
            <w:r>
              <w:rPr>
                <w:rFonts w:hint="eastAsia" w:ascii="宋体" w:hAnsi="宋体" w:cs="宋体"/>
                <w:color w:val="auto"/>
                <w:kern w:val="0"/>
                <w:sz w:val="13"/>
                <w:szCs w:val="13"/>
                <w:highlight w:val="none"/>
                <w:lang w:val="en-US" w:eastAsia="zh-CN"/>
              </w:rPr>
              <w:t>b 走廊指走廊和前厅</w:t>
            </w:r>
            <w:r>
              <w:rPr>
                <w:rFonts w:hint="eastAsia" w:ascii="宋体" w:hAnsi="宋体" w:cs="宋体"/>
                <w:color w:val="auto"/>
                <w:kern w:val="0"/>
                <w:sz w:val="13"/>
                <w:szCs w:val="13"/>
                <w:highlight w:val="none"/>
                <w:lang w:eastAsia="zh-CN"/>
              </w:rPr>
              <w:t>，</w:t>
            </w:r>
            <w:r>
              <w:rPr>
                <w:rFonts w:hint="eastAsia" w:ascii="宋体" w:hAnsi="宋体" w:cs="宋体"/>
                <w:color w:val="auto"/>
                <w:kern w:val="0"/>
                <w:sz w:val="13"/>
                <w:szCs w:val="13"/>
                <w:highlight w:val="none"/>
                <w:lang w:val="en-US" w:eastAsia="zh-CN"/>
              </w:rPr>
              <w:t>以</w:t>
            </w:r>
            <w:r>
              <w:rPr>
                <w:rFonts w:hint="eastAsia" w:ascii="宋体" w:hAnsi="宋体" w:cs="宋体"/>
                <w:strike w:val="0"/>
                <w:color w:val="auto"/>
                <w:sz w:val="13"/>
                <w:szCs w:val="13"/>
                <w:highlight w:val="none"/>
              </w:rPr>
              <w:t>②</w:t>
            </w:r>
            <w:r>
              <w:rPr>
                <w:rFonts w:hint="eastAsia" w:ascii="宋体" w:hAnsi="宋体" w:cs="宋体"/>
                <w:color w:val="auto"/>
                <w:kern w:val="0"/>
                <w:sz w:val="13"/>
                <w:szCs w:val="13"/>
                <w:highlight w:val="none"/>
                <w:lang w:val="en-US" w:eastAsia="zh-CN"/>
              </w:rPr>
              <w:t>作为其分类代码。</w:t>
            </w:r>
          </w:p>
          <w:p w14:paraId="726F7E3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C 起居处所指</w:t>
            </w:r>
            <w:r>
              <w:rPr>
                <w:rFonts w:hint="eastAsia" w:ascii="宋体" w:hAnsi="宋体" w:cs="宋体"/>
                <w:color w:val="auto"/>
                <w:kern w:val="0"/>
                <w:sz w:val="13"/>
                <w:szCs w:val="13"/>
                <w:highlight w:val="none"/>
              </w:rPr>
              <w:t>是指用作公共处所、</w:t>
            </w:r>
            <w:r>
              <w:rPr>
                <w:rFonts w:hint="eastAsia" w:ascii="宋体" w:hAnsi="宋体" w:cs="宋体"/>
                <w:color w:val="auto"/>
                <w:kern w:val="0"/>
                <w:sz w:val="13"/>
                <w:szCs w:val="13"/>
                <w:highlight w:val="none"/>
                <w:lang w:val="en-US" w:eastAsia="zh-CN"/>
              </w:rPr>
              <w:t>居</w:t>
            </w:r>
            <w:r>
              <w:rPr>
                <w:rFonts w:hint="eastAsia" w:ascii="宋体" w:hAnsi="宋体" w:cs="宋体"/>
                <w:color w:val="auto"/>
                <w:kern w:val="0"/>
                <w:sz w:val="13"/>
                <w:szCs w:val="13"/>
                <w:highlight w:val="none"/>
              </w:rPr>
              <w:t>住室、办公室、医务室、娱乐室、无烹调设备的配膳室，以及类似的处所</w:t>
            </w:r>
            <w:r>
              <w:rPr>
                <w:rFonts w:hint="eastAsia" w:ascii="宋体" w:hAnsi="宋体" w:cs="宋体"/>
                <w:color w:val="auto"/>
                <w:kern w:val="0"/>
                <w:sz w:val="13"/>
                <w:szCs w:val="13"/>
                <w:highlight w:val="none"/>
                <w:lang w:eastAsia="zh-CN"/>
              </w:rPr>
              <w:t>，</w:t>
            </w:r>
            <w:r>
              <w:rPr>
                <w:rFonts w:hint="eastAsia" w:ascii="宋体" w:hAnsi="宋体" w:cs="宋体"/>
                <w:color w:val="auto"/>
                <w:kern w:val="0"/>
                <w:sz w:val="13"/>
                <w:szCs w:val="13"/>
                <w:highlight w:val="none"/>
                <w:lang w:val="en-US" w:eastAsia="zh-CN"/>
              </w:rPr>
              <w:t>以</w:t>
            </w:r>
            <w:r>
              <w:rPr>
                <w:rFonts w:hint="eastAsia" w:ascii="宋体" w:hAnsi="宋体" w:eastAsia="宋体" w:cs="宋体"/>
                <w:strike w:val="0"/>
                <w:color w:val="auto"/>
                <w:sz w:val="13"/>
                <w:szCs w:val="13"/>
                <w:highlight w:val="none"/>
              </w:rPr>
              <w:t>③</w:t>
            </w:r>
            <w:r>
              <w:rPr>
                <w:rFonts w:hint="eastAsia" w:ascii="宋体" w:hAnsi="宋体" w:cs="宋体"/>
                <w:color w:val="auto"/>
                <w:kern w:val="0"/>
                <w:sz w:val="13"/>
                <w:szCs w:val="13"/>
                <w:highlight w:val="none"/>
                <w:lang w:val="en-US" w:eastAsia="zh-CN"/>
              </w:rPr>
              <w:t>作为其分类代码</w:t>
            </w:r>
            <w:r>
              <w:rPr>
                <w:rFonts w:hint="eastAsia" w:ascii="宋体" w:hAnsi="宋体" w:cs="宋体"/>
                <w:color w:val="auto"/>
                <w:kern w:val="0"/>
                <w:sz w:val="13"/>
                <w:szCs w:val="13"/>
                <w:highlight w:val="none"/>
              </w:rPr>
              <w:t>。</w:t>
            </w:r>
          </w:p>
          <w:p w14:paraId="59775ADF">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d 梯道指</w:t>
            </w:r>
            <w:r>
              <w:rPr>
                <w:rFonts w:hint="eastAsia" w:ascii="宋体" w:hAnsi="宋体" w:cs="宋体"/>
                <w:color w:val="auto"/>
                <w:kern w:val="0"/>
                <w:sz w:val="13"/>
                <w:szCs w:val="13"/>
                <w:highlight w:val="none"/>
              </w:rPr>
              <w:t>内部梯道、电梯和自动扶梯(完全设在A类</w:t>
            </w:r>
            <w:r>
              <w:rPr>
                <w:rFonts w:hint="eastAsia" w:ascii="宋体" w:hAnsi="宋体" w:cs="宋体"/>
                <w:color w:val="auto"/>
                <w:kern w:val="0"/>
                <w:sz w:val="13"/>
                <w:szCs w:val="13"/>
                <w:highlight w:val="none"/>
                <w:lang w:val="en-US" w:eastAsia="zh-CN"/>
              </w:rPr>
              <w:t>机器处所</w:t>
            </w:r>
            <w:r>
              <w:rPr>
                <w:rFonts w:hint="eastAsia" w:ascii="宋体" w:hAnsi="宋体" w:cs="宋体"/>
                <w:color w:val="auto"/>
                <w:kern w:val="0"/>
                <w:sz w:val="13"/>
                <w:szCs w:val="13"/>
                <w:highlight w:val="none"/>
              </w:rPr>
              <w:t>或</w:t>
            </w:r>
            <w:r>
              <w:rPr>
                <w:rFonts w:hint="eastAsia" w:ascii="宋体" w:hAnsi="宋体" w:cs="宋体"/>
                <w:color w:val="auto"/>
                <w:kern w:val="0"/>
                <w:sz w:val="13"/>
                <w:szCs w:val="13"/>
                <w:highlight w:val="none"/>
                <w:lang w:eastAsia="zh-CN"/>
              </w:rPr>
              <w:t>其他</w:t>
            </w:r>
            <w:r>
              <w:rPr>
                <w:rFonts w:hint="eastAsia" w:ascii="宋体" w:hAnsi="宋体" w:cs="宋体"/>
                <w:color w:val="auto"/>
                <w:kern w:val="0"/>
                <w:sz w:val="13"/>
                <w:szCs w:val="13"/>
                <w:highlight w:val="none"/>
              </w:rPr>
              <w:t>机器处所内部的梯道和升降机除外)以及上述梯道等的环围</w:t>
            </w:r>
            <w:r>
              <w:rPr>
                <w:rFonts w:hint="eastAsia" w:ascii="宋体" w:hAnsi="宋体" w:cs="宋体"/>
                <w:color w:val="auto"/>
                <w:kern w:val="0"/>
                <w:sz w:val="13"/>
                <w:szCs w:val="13"/>
                <w:highlight w:val="none"/>
                <w:lang w:eastAsia="zh-CN"/>
              </w:rPr>
              <w:t>，</w:t>
            </w:r>
            <w:r>
              <w:rPr>
                <w:rFonts w:hint="eastAsia" w:ascii="宋体" w:hAnsi="宋体" w:cs="宋体"/>
                <w:color w:val="auto"/>
                <w:kern w:val="0"/>
                <w:sz w:val="13"/>
                <w:szCs w:val="13"/>
                <w:highlight w:val="none"/>
                <w:lang w:val="en-US" w:eastAsia="zh-CN"/>
              </w:rPr>
              <w:t>以</w:t>
            </w:r>
            <w:r>
              <w:rPr>
                <w:rFonts w:hint="eastAsia" w:ascii="宋体" w:hAnsi="宋体" w:eastAsia="宋体" w:cs="宋体"/>
                <w:strike w:val="0"/>
                <w:color w:val="auto"/>
                <w:sz w:val="13"/>
                <w:szCs w:val="13"/>
                <w:highlight w:val="none"/>
              </w:rPr>
              <w:t>④</w:t>
            </w:r>
            <w:r>
              <w:rPr>
                <w:rFonts w:hint="eastAsia" w:ascii="宋体" w:hAnsi="宋体" w:cs="宋体"/>
                <w:color w:val="auto"/>
                <w:kern w:val="0"/>
                <w:sz w:val="13"/>
                <w:szCs w:val="13"/>
                <w:highlight w:val="none"/>
                <w:lang w:val="en-US" w:eastAsia="zh-CN"/>
              </w:rPr>
              <w:t>作为其分类代码</w:t>
            </w:r>
            <w:r>
              <w:rPr>
                <w:rFonts w:hint="eastAsia" w:ascii="宋体" w:hAnsi="宋体" w:cs="宋体"/>
                <w:color w:val="auto"/>
                <w:kern w:val="0"/>
                <w:sz w:val="13"/>
                <w:szCs w:val="13"/>
                <w:highlight w:val="none"/>
              </w:rPr>
              <w:t>。</w:t>
            </w:r>
            <w:r>
              <w:rPr>
                <w:rFonts w:hint="eastAsia" w:ascii="宋体" w:hAnsi="宋体" w:cs="宋体"/>
                <w:color w:val="auto"/>
                <w:kern w:val="0"/>
                <w:sz w:val="13"/>
                <w:szCs w:val="13"/>
                <w:highlight w:val="none"/>
                <w:lang w:val="en-US" w:eastAsia="zh-CN"/>
              </w:rPr>
              <w:t>对于</w:t>
            </w:r>
            <w:r>
              <w:rPr>
                <w:rFonts w:hint="eastAsia" w:ascii="宋体" w:hAnsi="宋体" w:cs="宋体"/>
                <w:color w:val="auto"/>
                <w:kern w:val="0"/>
                <w:sz w:val="13"/>
                <w:szCs w:val="13"/>
                <w:highlight w:val="none"/>
              </w:rPr>
              <w:t>仅在一层甲板设有围壁的梯道，</w:t>
            </w:r>
            <w:r>
              <w:rPr>
                <w:rFonts w:hint="eastAsia" w:ascii="宋体" w:hAnsi="宋体" w:cs="宋体"/>
                <w:color w:val="auto"/>
                <w:kern w:val="0"/>
                <w:sz w:val="13"/>
                <w:szCs w:val="13"/>
                <w:highlight w:val="none"/>
                <w:lang w:val="en-US" w:eastAsia="zh-CN"/>
              </w:rPr>
              <w:t>不应视为梯道，</w:t>
            </w:r>
            <w:r>
              <w:rPr>
                <w:rFonts w:hint="eastAsia" w:ascii="宋体" w:hAnsi="宋体" w:cs="宋体"/>
                <w:color w:val="auto"/>
                <w:kern w:val="0"/>
                <w:sz w:val="13"/>
                <w:szCs w:val="13"/>
                <w:highlight w:val="none"/>
              </w:rPr>
              <w:t>应作为与之没有防火</w:t>
            </w:r>
            <w:r>
              <w:rPr>
                <w:rFonts w:hint="eastAsia" w:ascii="宋体" w:hAnsi="宋体" w:cs="宋体"/>
                <w:color w:val="auto"/>
                <w:kern w:val="0"/>
                <w:sz w:val="13"/>
                <w:szCs w:val="13"/>
                <w:highlight w:val="none"/>
                <w:lang w:val="en-US" w:eastAsia="zh-CN"/>
              </w:rPr>
              <w:t>分隔处所的延伸</w:t>
            </w:r>
            <w:r>
              <w:rPr>
                <w:rFonts w:hint="eastAsia" w:ascii="宋体" w:hAnsi="宋体" w:cs="宋体"/>
                <w:color w:val="auto"/>
                <w:kern w:val="0"/>
                <w:sz w:val="13"/>
                <w:szCs w:val="13"/>
                <w:highlight w:val="none"/>
              </w:rPr>
              <w:t>。</w:t>
            </w:r>
          </w:p>
          <w:p w14:paraId="6CACD19D">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e 失火危险较小的服务处所指</w:t>
            </w:r>
            <w:r>
              <w:rPr>
                <w:rFonts w:hint="eastAsia" w:ascii="宋体" w:hAnsi="宋体" w:cs="宋体"/>
                <w:color w:val="auto"/>
                <w:kern w:val="0"/>
                <w:sz w:val="13"/>
                <w:szCs w:val="13"/>
                <w:highlight w:val="none"/>
              </w:rPr>
              <w:t>面积小于4m</w:t>
            </w:r>
            <w:r>
              <w:rPr>
                <w:rFonts w:hint="eastAsia" w:ascii="宋体" w:hAnsi="宋体" w:cs="宋体"/>
                <w:color w:val="auto"/>
                <w:kern w:val="0"/>
                <w:sz w:val="13"/>
                <w:szCs w:val="13"/>
                <w:highlight w:val="none"/>
                <w:vertAlign w:val="superscript"/>
              </w:rPr>
              <w:t>2</w:t>
            </w:r>
            <w:r>
              <w:rPr>
                <w:rFonts w:hint="eastAsia" w:ascii="宋体" w:hAnsi="宋体" w:cs="宋体"/>
                <w:color w:val="auto"/>
                <w:kern w:val="0"/>
                <w:sz w:val="13"/>
                <w:szCs w:val="13"/>
                <w:highlight w:val="none"/>
              </w:rPr>
              <w:t>的储藏室(储存易燃液体的处所除外)、干燥室、洗衣间和盥洗室。</w:t>
            </w:r>
          </w:p>
          <w:p w14:paraId="14D0589B">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f A类机器处所指</w:t>
            </w:r>
            <w:r>
              <w:rPr>
                <w:rFonts w:hint="eastAsia" w:ascii="宋体" w:hAnsi="宋体" w:cs="宋体"/>
                <w:color w:val="auto"/>
                <w:kern w:val="0"/>
                <w:sz w:val="13"/>
                <w:szCs w:val="13"/>
                <w:highlight w:val="none"/>
              </w:rPr>
              <w:t>是指装有下列设备的处所和通往这些处所的围壁通道：用作主推进的内燃机；</w:t>
            </w:r>
            <w:r>
              <w:rPr>
                <w:rFonts w:hint="eastAsia" w:ascii="宋体" w:hAnsi="宋体" w:cs="宋体"/>
                <w:color w:val="auto"/>
                <w:kern w:val="0"/>
                <w:sz w:val="13"/>
                <w:szCs w:val="13"/>
                <w:highlight w:val="none"/>
                <w:lang w:val="en-US" w:eastAsia="zh-CN"/>
              </w:rPr>
              <w:t>用</w:t>
            </w:r>
            <w:r>
              <w:rPr>
                <w:rFonts w:hint="eastAsia" w:ascii="宋体" w:hAnsi="宋体" w:cs="宋体"/>
                <w:color w:val="auto"/>
                <w:kern w:val="0"/>
                <w:sz w:val="13"/>
                <w:szCs w:val="13"/>
                <w:highlight w:val="none"/>
              </w:rPr>
              <w:t>作其他用途的合计总输出功率不小于 375kw 的内燃机；燃油锅炉或燃油装置；燃油的惰性气体发生装置</w:t>
            </w:r>
            <w:r>
              <w:rPr>
                <w:rFonts w:hint="eastAsia" w:ascii="宋体" w:hAnsi="宋体" w:cs="宋体"/>
                <w:color w:val="auto"/>
                <w:kern w:val="0"/>
                <w:sz w:val="13"/>
                <w:szCs w:val="13"/>
                <w:highlight w:val="none"/>
                <w:lang w:eastAsia="zh-CN"/>
              </w:rPr>
              <w:t>，</w:t>
            </w:r>
            <w:r>
              <w:rPr>
                <w:rFonts w:hint="eastAsia" w:ascii="宋体" w:hAnsi="宋体" w:cs="宋体"/>
                <w:color w:val="auto"/>
                <w:kern w:val="0"/>
                <w:sz w:val="13"/>
                <w:szCs w:val="13"/>
                <w:highlight w:val="none"/>
                <w:lang w:val="en-US" w:eastAsia="zh-CN"/>
              </w:rPr>
              <w:t>以</w:t>
            </w:r>
            <w:r>
              <w:rPr>
                <w:rFonts w:hint="eastAsia" w:ascii="宋体" w:hAnsi="宋体" w:eastAsia="宋体" w:cs="宋体"/>
                <w:strike w:val="0"/>
                <w:color w:val="auto"/>
                <w:sz w:val="13"/>
                <w:szCs w:val="13"/>
                <w:highlight w:val="none"/>
              </w:rPr>
              <w:t>⑥</w:t>
            </w:r>
            <w:r>
              <w:rPr>
                <w:rFonts w:hint="eastAsia" w:ascii="宋体" w:hAnsi="宋体" w:cs="宋体"/>
                <w:color w:val="auto"/>
                <w:kern w:val="0"/>
                <w:sz w:val="13"/>
                <w:szCs w:val="13"/>
                <w:highlight w:val="none"/>
                <w:lang w:val="en-US" w:eastAsia="zh-CN"/>
              </w:rPr>
              <w:t>作为其分类代码</w:t>
            </w:r>
            <w:r>
              <w:rPr>
                <w:rFonts w:hint="eastAsia" w:ascii="宋体" w:hAnsi="宋体" w:cs="宋体"/>
                <w:color w:val="auto"/>
                <w:kern w:val="0"/>
                <w:sz w:val="13"/>
                <w:szCs w:val="13"/>
                <w:highlight w:val="none"/>
              </w:rPr>
              <w:t>。</w:t>
            </w:r>
            <w:r>
              <w:rPr>
                <w:rFonts w:hint="eastAsia" w:ascii="宋体" w:hAnsi="宋体" w:cs="宋体"/>
                <w:color w:val="auto"/>
                <w:kern w:val="0"/>
                <w:sz w:val="13"/>
                <w:szCs w:val="13"/>
                <w:highlight w:val="none"/>
                <w:lang w:val="en-US" w:eastAsia="zh-CN"/>
              </w:rPr>
              <w:t>其中</w:t>
            </w:r>
            <w:r>
              <w:rPr>
                <w:rFonts w:hint="eastAsia" w:ascii="宋体" w:hAnsi="宋体" w:cs="宋体"/>
                <w:color w:val="auto"/>
                <w:kern w:val="0"/>
                <w:sz w:val="13"/>
                <w:szCs w:val="13"/>
                <w:highlight w:val="none"/>
              </w:rPr>
              <w:t>燃油装置是指为燃油锅炉输送燃油的设备或为内燃机输送经加热燃油的设备，以及用于处理压力超过 0.18MPa 油类的任何压力油泵、过滤器和加热器。</w:t>
            </w:r>
          </w:p>
          <w:p w14:paraId="41B31EEF">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g 其他机器处所</w:t>
            </w:r>
            <w:r>
              <w:rPr>
                <w:rFonts w:hint="eastAsia" w:ascii="宋体" w:hAnsi="宋体" w:cs="宋体"/>
                <w:color w:val="auto"/>
                <w:kern w:val="0"/>
                <w:sz w:val="13"/>
                <w:szCs w:val="13"/>
                <w:highlight w:val="none"/>
              </w:rPr>
              <w:t>指</w:t>
            </w:r>
            <w:r>
              <w:rPr>
                <w:rFonts w:hint="eastAsia" w:ascii="宋体" w:hAnsi="宋体" w:cs="宋体"/>
                <w:color w:val="auto"/>
                <w:kern w:val="0"/>
                <w:sz w:val="13"/>
                <w:szCs w:val="13"/>
                <w:highlight w:val="none"/>
                <w:lang w:val="en-US" w:eastAsia="zh-CN"/>
              </w:rPr>
              <w:t>除</w:t>
            </w:r>
            <w:r>
              <w:rPr>
                <w:rFonts w:hint="eastAsia" w:ascii="宋体" w:hAnsi="宋体" w:cs="宋体"/>
                <w:color w:val="auto"/>
                <w:kern w:val="0"/>
                <w:sz w:val="13"/>
                <w:szCs w:val="13"/>
                <w:highlight w:val="none"/>
                <w:lang w:eastAsia="zh-CN"/>
              </w:rPr>
              <w:t>A</w:t>
            </w:r>
            <w:r>
              <w:rPr>
                <w:rFonts w:hint="eastAsia" w:ascii="宋体" w:hAnsi="宋体" w:cs="宋体"/>
                <w:color w:val="auto"/>
                <w:kern w:val="0"/>
                <w:sz w:val="13"/>
                <w:szCs w:val="13"/>
                <w:highlight w:val="none"/>
              </w:rPr>
              <w:t>类机器处所</w:t>
            </w:r>
            <w:r>
              <w:rPr>
                <w:rFonts w:hint="eastAsia" w:ascii="宋体" w:hAnsi="宋体" w:cs="宋体"/>
                <w:color w:val="auto"/>
                <w:kern w:val="0"/>
                <w:sz w:val="13"/>
                <w:szCs w:val="13"/>
                <w:highlight w:val="none"/>
                <w:lang w:val="en-US" w:eastAsia="zh-CN"/>
              </w:rPr>
              <w:t>以外的</w:t>
            </w:r>
            <w:r>
              <w:rPr>
                <w:rFonts w:hint="eastAsia" w:ascii="宋体" w:hAnsi="宋体" w:cs="宋体"/>
                <w:color w:val="auto"/>
                <w:kern w:val="0"/>
                <w:sz w:val="13"/>
                <w:szCs w:val="13"/>
                <w:highlight w:val="none"/>
              </w:rPr>
              <w:t>包括推进机械、锅炉、燃油装置、内燃机、发电机和主要电动机、加油站、冷藏机、防摇装置、通风机和空气调节机械的处所以及类似处所和连同通往这些处所的围壁通道</w:t>
            </w:r>
            <w:r>
              <w:rPr>
                <w:rFonts w:hint="eastAsia" w:ascii="宋体" w:hAnsi="宋体" w:cs="宋体"/>
                <w:color w:val="auto"/>
                <w:kern w:val="0"/>
                <w:sz w:val="13"/>
                <w:szCs w:val="13"/>
                <w:highlight w:val="none"/>
                <w:lang w:eastAsia="zh-CN"/>
              </w:rPr>
              <w:t>，</w:t>
            </w:r>
            <w:r>
              <w:rPr>
                <w:rFonts w:hint="eastAsia" w:ascii="宋体" w:hAnsi="宋体" w:cs="宋体"/>
                <w:color w:val="auto"/>
                <w:kern w:val="0"/>
                <w:sz w:val="13"/>
                <w:szCs w:val="13"/>
                <w:highlight w:val="none"/>
                <w:lang w:val="en-US" w:eastAsia="zh-CN"/>
              </w:rPr>
              <w:t>以</w:t>
            </w:r>
            <w:r>
              <w:rPr>
                <w:rFonts w:hint="eastAsia" w:ascii="宋体" w:hAnsi="宋体" w:eastAsia="宋体" w:cs="宋体"/>
                <w:strike w:val="0"/>
                <w:color w:val="auto"/>
                <w:sz w:val="13"/>
                <w:szCs w:val="13"/>
                <w:highlight w:val="none"/>
              </w:rPr>
              <w:t>⑦</w:t>
            </w:r>
            <w:r>
              <w:rPr>
                <w:rFonts w:hint="eastAsia" w:ascii="宋体" w:hAnsi="宋体" w:cs="宋体"/>
                <w:color w:val="auto"/>
                <w:kern w:val="0"/>
                <w:sz w:val="13"/>
                <w:szCs w:val="13"/>
                <w:highlight w:val="none"/>
                <w:lang w:val="en-US" w:eastAsia="zh-CN"/>
              </w:rPr>
              <w:t>作为其分类代码</w:t>
            </w:r>
            <w:r>
              <w:rPr>
                <w:rFonts w:hint="eastAsia" w:ascii="宋体" w:hAnsi="宋体" w:cs="宋体"/>
                <w:color w:val="auto"/>
                <w:kern w:val="0"/>
                <w:sz w:val="13"/>
                <w:szCs w:val="13"/>
                <w:highlight w:val="none"/>
              </w:rPr>
              <w:t>。</w:t>
            </w:r>
          </w:p>
          <w:p w14:paraId="0E8ED3F7">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h 原油泵舱指</w:t>
            </w:r>
            <w:r>
              <w:rPr>
                <w:rFonts w:hint="eastAsia" w:ascii="宋体" w:hAnsi="宋体" w:cs="宋体"/>
                <w:color w:val="auto"/>
                <w:kern w:val="0"/>
                <w:sz w:val="13"/>
                <w:szCs w:val="13"/>
                <w:highlight w:val="none"/>
              </w:rPr>
              <w:t>设有原油泵的处所以及进入该处所的入口和围壁通道。</w:t>
            </w:r>
          </w:p>
          <w:p w14:paraId="7C73F5E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i 失火危险较大的服务处所指</w:t>
            </w:r>
            <w:r>
              <w:rPr>
                <w:rFonts w:hint="eastAsia" w:ascii="宋体" w:hAnsi="宋体" w:cs="宋体"/>
                <w:color w:val="auto"/>
                <w:kern w:val="0"/>
                <w:sz w:val="13"/>
                <w:szCs w:val="13"/>
                <w:highlight w:val="none"/>
              </w:rPr>
              <w:t>厨房、设有烹调设备的配膳室、油漆间、灯间、具有面积为4m</w:t>
            </w:r>
            <w:r>
              <w:rPr>
                <w:rFonts w:hint="eastAsia" w:ascii="宋体" w:hAnsi="宋体" w:cs="宋体"/>
                <w:color w:val="auto"/>
                <w:kern w:val="0"/>
                <w:sz w:val="13"/>
                <w:szCs w:val="13"/>
                <w:highlight w:val="none"/>
                <w:vertAlign w:val="superscript"/>
              </w:rPr>
              <w:t>2</w:t>
            </w:r>
            <w:r>
              <w:rPr>
                <w:rFonts w:hint="eastAsia" w:ascii="宋体" w:hAnsi="宋体" w:cs="宋体"/>
                <w:color w:val="auto"/>
                <w:kern w:val="0"/>
                <w:sz w:val="13"/>
                <w:szCs w:val="13"/>
                <w:highlight w:val="none"/>
              </w:rPr>
              <w:t>及以上的储藏室、不属于机器处所组成部分的工作间和易燃液体储存处所。</w:t>
            </w:r>
          </w:p>
          <w:p w14:paraId="15E6A509">
            <w:pPr>
              <w:pStyle w:val="2"/>
              <w:keepNext w:val="0"/>
              <w:keepLines w:val="0"/>
              <w:pageBreakBefore w:val="0"/>
              <w:kinsoku/>
              <w:wordWrap/>
              <w:overflowPunct/>
              <w:topLinePunct w:val="0"/>
              <w:autoSpaceDE/>
              <w:autoSpaceDN/>
              <w:bidi w:val="0"/>
              <w:adjustRightInd w:val="0"/>
              <w:snapToGrid w:val="0"/>
              <w:spacing w:line="240" w:lineRule="auto"/>
              <w:textAlignment w:val="auto"/>
              <w:rPr>
                <w:rFonts w:hint="default" w:eastAsia="宋体"/>
                <w:color w:val="auto"/>
                <w:highlight w:val="none"/>
                <w:lang w:val="en-US" w:eastAsia="zh-CN"/>
              </w:rPr>
            </w:pPr>
            <w:r>
              <w:rPr>
                <w:rFonts w:hint="eastAsia" w:ascii="宋体" w:hAnsi="宋体" w:cs="宋体"/>
                <w:color w:val="auto"/>
                <w:kern w:val="0"/>
                <w:sz w:val="13"/>
                <w:szCs w:val="13"/>
                <w:highlight w:val="none"/>
                <w:lang w:val="en-US" w:eastAsia="zh-CN"/>
              </w:rPr>
              <w:t>j 开敞甲板处所指</w:t>
            </w:r>
            <w:r>
              <w:rPr>
                <w:rFonts w:hint="eastAsia" w:ascii="宋体" w:hAnsi="宋体" w:cs="宋体"/>
                <w:color w:val="auto"/>
                <w:kern w:val="0"/>
                <w:sz w:val="13"/>
                <w:szCs w:val="13"/>
                <w:highlight w:val="none"/>
              </w:rPr>
              <w:t>开敞甲板处所和没有失火危险的围蔽游步甲板处所、露天处所(上层建筑和甲板室外部的处所)。</w:t>
            </w:r>
          </w:p>
          <w:p w14:paraId="627D60FB">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auto"/>
              <w:ind w:left="0" w:leftChars="0"/>
              <w:jc w:val="left"/>
              <w:textAlignment w:val="auto"/>
              <w:rPr>
                <w:rFonts w:hint="eastAsia" w:ascii="宋体" w:hAnsi="宋体" w:cs="宋体"/>
                <w:color w:val="auto"/>
                <w:sz w:val="13"/>
                <w:szCs w:val="13"/>
                <w:highlight w:val="none"/>
              </w:rPr>
            </w:pPr>
            <w:r>
              <w:rPr>
                <w:rFonts w:ascii="黑体" w:hAnsi="黑体" w:eastAsia="黑体" w:cs="宋体"/>
                <w:color w:val="auto"/>
                <w:kern w:val="0"/>
                <w:sz w:val="13"/>
                <w:szCs w:val="13"/>
                <w:highlight w:val="none"/>
              </w:rPr>
              <w:t>注</w:t>
            </w:r>
            <w:r>
              <w:rPr>
                <w:rFonts w:hint="eastAsia" w:ascii="黑体" w:hAnsi="黑体" w:eastAsia="黑体" w:cs="宋体"/>
                <w:color w:val="auto"/>
                <w:kern w:val="0"/>
                <w:sz w:val="13"/>
                <w:szCs w:val="13"/>
                <w:highlight w:val="none"/>
                <w:lang w:val="en-US" w:eastAsia="zh-CN"/>
              </w:rPr>
              <w:t>8</w:t>
            </w:r>
            <w:r>
              <w:rPr>
                <w:rFonts w:ascii="黑体" w:hAnsi="黑体" w:eastAsia="黑体" w:cs="宋体"/>
                <w:color w:val="auto"/>
                <w:kern w:val="0"/>
                <w:sz w:val="13"/>
                <w:szCs w:val="13"/>
                <w:highlight w:val="none"/>
              </w:rPr>
              <w:t>：</w:t>
            </w:r>
            <w:r>
              <w:rPr>
                <w:rFonts w:hint="eastAsia" w:ascii="宋体" w:hAnsi="宋体" w:eastAsia="宋体" w:cs="宋体"/>
                <w:b w:val="0"/>
                <w:bCs w:val="0"/>
                <w:i w:val="0"/>
                <w:iCs w:val="0"/>
                <w:color w:val="auto"/>
                <w:kern w:val="0"/>
                <w:sz w:val="13"/>
                <w:szCs w:val="13"/>
                <w:highlight w:val="none"/>
                <w:lang w:bidi="ar"/>
              </w:rPr>
              <w:t>预计遭受烃类火灾的舱壁或甲板其热负荷大于 100kW/m2 时建议采用更高类别的分隔。</w:t>
            </w:r>
          </w:p>
        </w:tc>
      </w:tr>
      <w:bookmarkEnd w:id="2240"/>
      <w:bookmarkEnd w:id="2241"/>
      <w:bookmarkEnd w:id="2242"/>
      <w:bookmarkEnd w:id="2243"/>
      <w:bookmarkEnd w:id="2244"/>
      <w:bookmarkEnd w:id="2245"/>
      <w:bookmarkEnd w:id="2246"/>
    </w:tbl>
    <w:p w14:paraId="5A93AFA3">
      <w:pPr>
        <w:rPr>
          <w:rFonts w:hint="eastAsia"/>
          <w:color w:val="auto"/>
          <w:highlight w:val="none"/>
          <w:lang w:val="en-US" w:eastAsia="zh-CN"/>
        </w:rPr>
      </w:pPr>
      <w:bookmarkStart w:id="2247" w:name="_Toc26645"/>
      <w:bookmarkStart w:id="2248" w:name="_Toc8682"/>
      <w:bookmarkStart w:id="2249" w:name="_Toc30334"/>
      <w:bookmarkStart w:id="2250" w:name="_Toc21571"/>
    </w:p>
    <w:p w14:paraId="4FD1BC9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color w:val="auto"/>
          <w:highlight w:val="none"/>
          <w:lang w:val="en-US" w:eastAsia="zh-CN"/>
        </w:rPr>
      </w:pPr>
    </w:p>
    <w:p w14:paraId="4480C46B">
      <w:pPr>
        <w:pStyle w:val="36"/>
        <w:bidi w:val="0"/>
        <w:rPr>
          <w:rFonts w:hint="eastAsia"/>
          <w:lang w:val="en-US" w:eastAsia="zh-CN"/>
        </w:rPr>
      </w:pPr>
    </w:p>
    <w:p w14:paraId="72E760FF">
      <w:pPr>
        <w:pStyle w:val="36"/>
        <w:bidi w:val="0"/>
        <w:rPr>
          <w:rFonts w:hint="eastAsia"/>
          <w:lang w:val="en-US" w:eastAsia="zh-CN"/>
        </w:rPr>
      </w:pPr>
    </w:p>
    <w:p w14:paraId="0A474DC5">
      <w:pPr>
        <w:pStyle w:val="274"/>
        <w:keepNext w:val="0"/>
        <w:keepLines w:val="0"/>
        <w:pageBreakBefore w:val="0"/>
        <w:widowControl/>
        <w:numPr>
          <w:ilvl w:val="0"/>
          <w:numId w:val="0"/>
        </w:numPr>
        <w:shd w:val="clear" w:color="FFFFFF" w:fill="FFFFFF"/>
        <w:kinsoku/>
        <w:wordWrap/>
        <w:overflowPunct/>
        <w:topLinePunct w:val="0"/>
        <w:autoSpaceDE/>
        <w:autoSpaceDN/>
        <w:bidi w:val="0"/>
        <w:adjustRightInd/>
        <w:snapToGrid/>
        <w:spacing w:before="0" w:after="0"/>
        <w:textAlignment w:val="auto"/>
        <w:rPr>
          <w:rFonts w:hint="eastAsia" w:ascii="黑体" w:hAnsi="黑体" w:eastAsia="黑体" w:cs="黑体"/>
          <w:color w:val="auto"/>
          <w:sz w:val="21"/>
          <w:highlight w:val="none"/>
          <w:lang w:val="en-US" w:eastAsia="zh-CN"/>
        </w:rPr>
      </w:pPr>
      <w:bookmarkStart w:id="2251" w:name="_Toc3745"/>
      <w:bookmarkStart w:id="2252" w:name="_Toc22747"/>
      <w:r>
        <w:rPr>
          <w:rFonts w:hint="eastAsia" w:ascii="黑体" w:hAnsi="黑体" w:eastAsia="黑体" w:cs="黑体"/>
          <w:color w:val="auto"/>
          <w:sz w:val="21"/>
          <w:highlight w:val="none"/>
          <w:lang w:val="en-US" w:eastAsia="zh-CN"/>
        </w:rPr>
        <w:t>表A.2 分隔相邻处所甲板的耐火完整性等级</w:t>
      </w:r>
      <w:bookmarkEnd w:id="2247"/>
      <w:bookmarkEnd w:id="2248"/>
      <w:bookmarkEnd w:id="2249"/>
      <w:bookmarkEnd w:id="2250"/>
      <w:bookmarkEnd w:id="2251"/>
      <w:bookmarkEnd w:id="2252"/>
    </w:p>
    <w:tbl>
      <w:tblPr>
        <w:tblStyle w:val="88"/>
        <w:tblpPr w:leftFromText="180" w:rightFromText="180" w:vertAnchor="text" w:horzAnchor="page" w:tblpX="1641" w:tblpY="134"/>
        <w:tblOverlap w:val="never"/>
        <w:tblW w:w="8865" w:type="dxa"/>
        <w:tblInd w:w="0" w:type="dxa"/>
        <w:tblLayout w:type="fixed"/>
        <w:tblCellMar>
          <w:top w:w="0" w:type="dxa"/>
          <w:left w:w="0" w:type="dxa"/>
          <w:bottom w:w="0" w:type="dxa"/>
          <w:right w:w="0" w:type="dxa"/>
        </w:tblCellMar>
      </w:tblPr>
      <w:tblGrid>
        <w:gridCol w:w="1004"/>
        <w:gridCol w:w="671"/>
        <w:gridCol w:w="703"/>
        <w:gridCol w:w="805"/>
        <w:gridCol w:w="695"/>
        <w:gridCol w:w="892"/>
        <w:gridCol w:w="947"/>
        <w:gridCol w:w="964"/>
        <w:gridCol w:w="655"/>
        <w:gridCol w:w="821"/>
        <w:gridCol w:w="708"/>
      </w:tblGrid>
      <w:tr w14:paraId="5B79C07F">
        <w:tblPrEx>
          <w:tblCellMar>
            <w:top w:w="0" w:type="dxa"/>
            <w:left w:w="0" w:type="dxa"/>
            <w:bottom w:w="0" w:type="dxa"/>
            <w:right w:w="0" w:type="dxa"/>
          </w:tblCellMar>
        </w:tblPrEx>
        <w:trPr>
          <w:trHeight w:val="300" w:hRule="atLeast"/>
        </w:trPr>
        <w:tc>
          <w:tcPr>
            <w:tcW w:w="1004" w:type="dxa"/>
            <w:vMerge w:val="restart"/>
            <w:tcBorders>
              <w:top w:val="single" w:color="auto" w:sz="4" w:space="0"/>
              <w:left w:val="single" w:color="auto" w:sz="4" w:space="0"/>
              <w:right w:val="single" w:color="auto" w:sz="4" w:space="0"/>
            </w:tcBorders>
            <w:vAlign w:val="center"/>
          </w:tcPr>
          <w:p w14:paraId="103667D3">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甲板下处所</w:t>
            </w:r>
          </w:p>
        </w:tc>
        <w:tc>
          <w:tcPr>
            <w:tcW w:w="7861" w:type="dxa"/>
            <w:gridSpan w:val="10"/>
            <w:tcBorders>
              <w:top w:val="single" w:color="auto" w:sz="4" w:space="0"/>
              <w:left w:val="single" w:color="auto" w:sz="4" w:space="0"/>
              <w:bottom w:val="single" w:color="auto" w:sz="4" w:space="0"/>
              <w:right w:val="single" w:color="auto" w:sz="4" w:space="0"/>
            </w:tcBorders>
            <w:vAlign w:val="center"/>
          </w:tcPr>
          <w:p w14:paraId="203F016B">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hint="eastAsia" w:ascii="宋体" w:hAnsi="宋体" w:cs="宋体"/>
                <w:color w:val="auto"/>
                <w:sz w:val="13"/>
                <w:szCs w:val="13"/>
                <w:highlight w:val="none"/>
              </w:rPr>
            </w:pPr>
            <w:r>
              <w:rPr>
                <w:rFonts w:hint="eastAsia" w:ascii="宋体" w:hAnsi="宋体" w:cs="宋体"/>
                <w:color w:val="auto"/>
                <w:sz w:val="13"/>
                <w:szCs w:val="13"/>
                <w:highlight w:val="none"/>
              </w:rPr>
              <w:t>甲板上处所</w:t>
            </w:r>
          </w:p>
        </w:tc>
      </w:tr>
      <w:tr w14:paraId="5D6B4AA9">
        <w:tblPrEx>
          <w:tblCellMar>
            <w:top w:w="0" w:type="dxa"/>
            <w:left w:w="0" w:type="dxa"/>
            <w:bottom w:w="0" w:type="dxa"/>
            <w:right w:w="0" w:type="dxa"/>
          </w:tblCellMar>
        </w:tblPrEx>
        <w:trPr>
          <w:trHeight w:val="300" w:hRule="atLeast"/>
        </w:trPr>
        <w:tc>
          <w:tcPr>
            <w:tcW w:w="1004" w:type="dxa"/>
            <w:vMerge w:val="continue"/>
            <w:tcBorders>
              <w:left w:val="single" w:color="auto" w:sz="4" w:space="0"/>
              <w:bottom w:val="single" w:color="auto" w:sz="4" w:space="0"/>
              <w:right w:val="single" w:color="auto" w:sz="4" w:space="0"/>
            </w:tcBorders>
            <w:vAlign w:val="center"/>
          </w:tcPr>
          <w:p w14:paraId="28582C04">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p>
        </w:tc>
        <w:tc>
          <w:tcPr>
            <w:tcW w:w="671" w:type="dxa"/>
            <w:tcBorders>
              <w:top w:val="single" w:color="auto" w:sz="4" w:space="0"/>
              <w:left w:val="single" w:color="auto" w:sz="4" w:space="0"/>
              <w:bottom w:val="single" w:color="auto" w:sz="4" w:space="0"/>
              <w:right w:val="single" w:color="auto" w:sz="4" w:space="0"/>
            </w:tcBorders>
            <w:vAlign w:val="center"/>
          </w:tcPr>
          <w:p w14:paraId="04A29DD7">
            <w:pPr>
              <w:pStyle w:val="522"/>
              <w:tabs>
                <w:tab w:val="right" w:leader="dot" w:pos="9354"/>
              </w:tabs>
              <w:ind w:left="0" w:leftChars="0"/>
              <w:jc w:val="center"/>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控制站</w:t>
            </w:r>
            <w:r>
              <w:rPr>
                <w:rFonts w:hint="eastAsia" w:ascii="宋体" w:hAnsi="宋体" w:eastAsia="宋体" w:cs="宋体"/>
                <w:color w:val="auto"/>
                <w:sz w:val="21"/>
                <w:szCs w:val="13"/>
                <w:highlight w:val="none"/>
                <w:vertAlign w:val="superscript"/>
                <w:lang w:val="en-US" w:eastAsia="zh-CN"/>
              </w:rPr>
              <w:t>a</w:t>
            </w:r>
          </w:p>
        </w:tc>
        <w:tc>
          <w:tcPr>
            <w:tcW w:w="703" w:type="dxa"/>
            <w:tcBorders>
              <w:top w:val="single" w:color="auto" w:sz="4" w:space="0"/>
              <w:left w:val="single" w:color="auto" w:sz="4" w:space="0"/>
              <w:bottom w:val="single" w:color="auto" w:sz="4" w:space="0"/>
              <w:right w:val="single" w:color="auto" w:sz="4" w:space="0"/>
            </w:tcBorders>
            <w:vAlign w:val="center"/>
          </w:tcPr>
          <w:p w14:paraId="71585505">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走廊</w:t>
            </w:r>
            <w:r>
              <w:rPr>
                <w:rFonts w:hint="eastAsia" w:ascii="宋体" w:hAnsi="宋体" w:eastAsia="宋体" w:cs="宋体"/>
                <w:color w:val="auto"/>
                <w:sz w:val="21"/>
                <w:szCs w:val="13"/>
                <w:highlight w:val="none"/>
                <w:vertAlign w:val="superscript"/>
                <w:lang w:val="en-US" w:eastAsia="zh-CN"/>
              </w:rPr>
              <w:t>b</w:t>
            </w:r>
          </w:p>
        </w:tc>
        <w:tc>
          <w:tcPr>
            <w:tcW w:w="805" w:type="dxa"/>
            <w:tcBorders>
              <w:top w:val="single" w:color="auto" w:sz="4" w:space="0"/>
              <w:left w:val="single" w:color="auto" w:sz="4" w:space="0"/>
              <w:bottom w:val="single" w:color="auto" w:sz="4" w:space="0"/>
              <w:right w:val="single" w:color="auto" w:sz="4" w:space="0"/>
            </w:tcBorders>
            <w:vAlign w:val="center"/>
          </w:tcPr>
          <w:p w14:paraId="0AB76268">
            <w:pPr>
              <w:pStyle w:val="522"/>
              <w:tabs>
                <w:tab w:val="right" w:leader="dot" w:pos="9354"/>
              </w:tabs>
              <w:ind w:left="0" w:leftChars="0"/>
              <w:jc w:val="center"/>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起居处所</w:t>
            </w:r>
            <w:r>
              <w:rPr>
                <w:rFonts w:hint="eastAsia" w:ascii="宋体" w:hAnsi="宋体" w:cs="宋体"/>
                <w:color w:val="auto"/>
                <w:sz w:val="21"/>
                <w:szCs w:val="13"/>
                <w:highlight w:val="none"/>
                <w:vertAlign w:val="superscript"/>
                <w:lang w:val="en-US" w:eastAsia="zh-CN"/>
              </w:rPr>
              <w:t>c</w:t>
            </w:r>
          </w:p>
        </w:tc>
        <w:tc>
          <w:tcPr>
            <w:tcW w:w="695" w:type="dxa"/>
            <w:tcBorders>
              <w:top w:val="single" w:color="auto" w:sz="4" w:space="0"/>
              <w:left w:val="single" w:color="auto" w:sz="4" w:space="0"/>
              <w:bottom w:val="single" w:color="auto" w:sz="4" w:space="0"/>
              <w:right w:val="single" w:color="auto" w:sz="4" w:space="0"/>
            </w:tcBorders>
            <w:vAlign w:val="center"/>
          </w:tcPr>
          <w:p w14:paraId="1E2E99FF">
            <w:pPr>
              <w:pStyle w:val="522"/>
              <w:tabs>
                <w:tab w:val="right" w:leader="dot" w:pos="9354"/>
              </w:tabs>
              <w:ind w:left="0" w:leftChars="0"/>
              <w:jc w:val="center"/>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梯道</w:t>
            </w:r>
            <w:r>
              <w:rPr>
                <w:rFonts w:hint="eastAsia" w:ascii="宋体" w:hAnsi="宋体" w:eastAsia="宋体" w:cs="宋体"/>
                <w:color w:val="auto"/>
                <w:sz w:val="21"/>
                <w:szCs w:val="13"/>
                <w:highlight w:val="none"/>
                <w:vertAlign w:val="superscript"/>
                <w:lang w:val="en-US" w:eastAsia="zh-CN"/>
              </w:rPr>
              <w:t>d</w:t>
            </w:r>
          </w:p>
        </w:tc>
        <w:tc>
          <w:tcPr>
            <w:tcW w:w="892" w:type="dxa"/>
            <w:tcBorders>
              <w:top w:val="single" w:color="auto" w:sz="4" w:space="0"/>
              <w:left w:val="single" w:color="auto" w:sz="4" w:space="0"/>
              <w:bottom w:val="single" w:color="auto" w:sz="4" w:space="0"/>
              <w:right w:val="single" w:color="auto" w:sz="4" w:space="0"/>
            </w:tcBorders>
            <w:vAlign w:val="center"/>
          </w:tcPr>
          <w:p w14:paraId="2121D37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失火危险较小的服务处所</w:t>
            </w:r>
            <w:r>
              <w:rPr>
                <w:rFonts w:hint="eastAsia" w:ascii="宋体" w:hAnsi="宋体" w:eastAsia="宋体" w:cs="宋体"/>
                <w:color w:val="auto"/>
                <w:sz w:val="21"/>
                <w:szCs w:val="13"/>
                <w:highlight w:val="none"/>
                <w:vertAlign w:val="superscript"/>
                <w:lang w:val="en-US" w:eastAsia="zh-CN"/>
              </w:rPr>
              <w:t>e</w:t>
            </w:r>
          </w:p>
        </w:tc>
        <w:tc>
          <w:tcPr>
            <w:tcW w:w="947" w:type="dxa"/>
            <w:tcBorders>
              <w:top w:val="single" w:color="auto" w:sz="4" w:space="0"/>
              <w:left w:val="single" w:color="auto" w:sz="4" w:space="0"/>
              <w:bottom w:val="single" w:color="auto" w:sz="4" w:space="0"/>
              <w:right w:val="single" w:color="auto" w:sz="4" w:space="0"/>
            </w:tcBorders>
            <w:vAlign w:val="center"/>
          </w:tcPr>
          <w:p w14:paraId="62EFC4FC">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A类机器处所</w:t>
            </w:r>
            <w:r>
              <w:rPr>
                <w:rFonts w:hint="eastAsia" w:ascii="宋体" w:hAnsi="宋体" w:eastAsia="宋体" w:cs="宋体"/>
                <w:color w:val="auto"/>
                <w:sz w:val="21"/>
                <w:szCs w:val="13"/>
                <w:highlight w:val="none"/>
                <w:vertAlign w:val="superscript"/>
                <w:lang w:val="en-US" w:eastAsia="zh-CN"/>
              </w:rPr>
              <w:t>f</w:t>
            </w:r>
          </w:p>
        </w:tc>
        <w:tc>
          <w:tcPr>
            <w:tcW w:w="964" w:type="dxa"/>
            <w:tcBorders>
              <w:top w:val="single" w:color="auto" w:sz="4" w:space="0"/>
              <w:left w:val="single" w:color="auto" w:sz="4" w:space="0"/>
              <w:bottom w:val="single" w:color="auto" w:sz="4" w:space="0"/>
              <w:right w:val="single" w:color="auto" w:sz="4" w:space="0"/>
            </w:tcBorders>
            <w:vAlign w:val="center"/>
          </w:tcPr>
          <w:p w14:paraId="1EF255AB">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其他机器处所</w:t>
            </w:r>
            <w:r>
              <w:rPr>
                <w:rFonts w:hint="eastAsia" w:ascii="宋体" w:hAnsi="宋体" w:eastAsia="宋体" w:cs="宋体"/>
                <w:color w:val="auto"/>
                <w:sz w:val="21"/>
                <w:szCs w:val="13"/>
                <w:highlight w:val="none"/>
                <w:vertAlign w:val="superscript"/>
                <w:lang w:val="en-US" w:eastAsia="zh-CN"/>
              </w:rPr>
              <w:t>g</w:t>
            </w:r>
          </w:p>
        </w:tc>
        <w:tc>
          <w:tcPr>
            <w:tcW w:w="655" w:type="dxa"/>
            <w:tcBorders>
              <w:top w:val="single" w:color="auto" w:sz="4" w:space="0"/>
              <w:left w:val="single" w:color="auto" w:sz="4" w:space="0"/>
              <w:bottom w:val="single" w:color="auto" w:sz="4" w:space="0"/>
              <w:right w:val="single" w:color="auto" w:sz="4" w:space="0"/>
            </w:tcBorders>
            <w:vAlign w:val="center"/>
          </w:tcPr>
          <w:p w14:paraId="6771B7DD">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lang w:val="en-US" w:eastAsia="zh-CN"/>
              </w:rPr>
              <w:t>原油泵舱</w:t>
            </w:r>
            <w:r>
              <w:rPr>
                <w:rFonts w:hint="eastAsia" w:ascii="宋体" w:hAnsi="宋体" w:eastAsia="宋体" w:cs="宋体"/>
                <w:color w:val="auto"/>
                <w:sz w:val="21"/>
                <w:szCs w:val="13"/>
                <w:highlight w:val="none"/>
                <w:vertAlign w:val="superscript"/>
                <w:lang w:val="en-US" w:eastAsia="zh-CN"/>
              </w:rPr>
              <w:t>h</w:t>
            </w:r>
          </w:p>
        </w:tc>
        <w:tc>
          <w:tcPr>
            <w:tcW w:w="821" w:type="dxa"/>
            <w:tcBorders>
              <w:top w:val="single" w:color="auto" w:sz="4" w:space="0"/>
              <w:left w:val="single" w:color="auto" w:sz="4" w:space="0"/>
              <w:bottom w:val="single" w:color="auto" w:sz="4" w:space="0"/>
              <w:right w:val="single" w:color="auto" w:sz="4" w:space="0"/>
            </w:tcBorders>
            <w:vAlign w:val="center"/>
          </w:tcPr>
          <w:p w14:paraId="2A140FDA">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失火危险较大的服务处所</w:t>
            </w:r>
            <w:r>
              <w:rPr>
                <w:rFonts w:hint="eastAsia" w:ascii="宋体" w:hAnsi="宋体" w:eastAsia="宋体" w:cs="宋体"/>
                <w:color w:val="auto"/>
                <w:sz w:val="21"/>
                <w:szCs w:val="13"/>
                <w:highlight w:val="none"/>
                <w:vertAlign w:val="superscript"/>
                <w:lang w:val="en-US" w:eastAsia="zh-CN"/>
              </w:rPr>
              <w:t>i</w:t>
            </w:r>
          </w:p>
        </w:tc>
        <w:tc>
          <w:tcPr>
            <w:tcW w:w="708" w:type="dxa"/>
            <w:tcBorders>
              <w:top w:val="single" w:color="auto" w:sz="4" w:space="0"/>
              <w:left w:val="single" w:color="auto" w:sz="4" w:space="0"/>
              <w:bottom w:val="single" w:color="auto" w:sz="4" w:space="0"/>
              <w:right w:val="single" w:color="auto" w:sz="4" w:space="0"/>
            </w:tcBorders>
            <w:vAlign w:val="center"/>
          </w:tcPr>
          <w:p w14:paraId="1994355E">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eastAsia="宋体" w:cs="宋体"/>
                <w:color w:val="auto"/>
                <w:sz w:val="13"/>
                <w:szCs w:val="13"/>
                <w:highlight w:val="none"/>
                <w:lang w:val="en-US" w:eastAsia="zh-CN" w:bidi="ar-SA"/>
              </w:rPr>
            </w:pPr>
            <w:r>
              <w:rPr>
                <w:rFonts w:hint="eastAsia" w:ascii="宋体" w:hAnsi="宋体" w:cs="宋体"/>
                <w:color w:val="auto"/>
                <w:sz w:val="13"/>
                <w:szCs w:val="13"/>
                <w:highlight w:val="none"/>
              </w:rPr>
              <w:t>开敞甲板处所</w:t>
            </w:r>
            <w:r>
              <w:rPr>
                <w:rFonts w:hint="eastAsia" w:ascii="宋体" w:hAnsi="宋体" w:eastAsia="宋体" w:cs="宋体"/>
                <w:color w:val="auto"/>
                <w:sz w:val="21"/>
                <w:szCs w:val="13"/>
                <w:highlight w:val="none"/>
                <w:vertAlign w:val="superscript"/>
                <w:lang w:val="en-US" w:eastAsia="zh-CN"/>
              </w:rPr>
              <w:t>j</w:t>
            </w:r>
          </w:p>
        </w:tc>
      </w:tr>
      <w:tr w14:paraId="1A37F486">
        <w:tblPrEx>
          <w:tblCellMar>
            <w:top w:w="0" w:type="dxa"/>
            <w:left w:w="0" w:type="dxa"/>
            <w:bottom w:w="0" w:type="dxa"/>
            <w:right w:w="0" w:type="dxa"/>
          </w:tblCellMar>
        </w:tblPrEx>
        <w:trPr>
          <w:trHeight w:val="300" w:hRule="atLeast"/>
        </w:trPr>
        <w:tc>
          <w:tcPr>
            <w:tcW w:w="1004" w:type="dxa"/>
            <w:tcBorders>
              <w:top w:val="single" w:color="auto" w:sz="4" w:space="0"/>
              <w:left w:val="single" w:color="auto" w:sz="4" w:space="0"/>
              <w:bottom w:val="single" w:color="auto" w:sz="4" w:space="0"/>
              <w:right w:val="single" w:color="auto" w:sz="4" w:space="0"/>
            </w:tcBorders>
            <w:vAlign w:val="center"/>
          </w:tcPr>
          <w:p w14:paraId="478C1A93">
            <w:pPr>
              <w:pStyle w:val="522"/>
              <w:tabs>
                <w:tab w:val="right" w:leader="dot" w:pos="9354"/>
              </w:tabs>
              <w:ind w:left="0" w:leftChars="0"/>
              <w:jc w:val="center"/>
              <w:rPr>
                <w:rFonts w:ascii="宋体" w:hAnsi="宋体" w:cs="宋体"/>
                <w:color w:val="auto"/>
                <w:sz w:val="13"/>
                <w:szCs w:val="13"/>
                <w:highlight w:val="none"/>
              </w:rPr>
            </w:pPr>
            <w:r>
              <w:rPr>
                <w:rFonts w:hint="eastAsia" w:ascii="宋体" w:hAnsi="宋体" w:cs="宋体"/>
                <w:color w:val="auto"/>
                <w:sz w:val="13"/>
                <w:szCs w:val="13"/>
                <w:highlight w:val="none"/>
              </w:rPr>
              <w:t>控制站</w:t>
            </w:r>
            <w:r>
              <w:rPr>
                <w:rFonts w:hint="eastAsia" w:ascii="宋体" w:hAnsi="宋体" w:eastAsia="宋体" w:cs="宋体"/>
                <w:color w:val="auto"/>
                <w:sz w:val="21"/>
                <w:szCs w:val="13"/>
                <w:highlight w:val="none"/>
                <w:vertAlign w:val="superscript"/>
                <w:lang w:val="en-US" w:eastAsia="zh-CN"/>
              </w:rPr>
              <w:t>a</w:t>
            </w:r>
          </w:p>
        </w:tc>
        <w:tc>
          <w:tcPr>
            <w:tcW w:w="671" w:type="dxa"/>
            <w:tcBorders>
              <w:top w:val="single" w:color="auto" w:sz="4" w:space="0"/>
              <w:left w:val="single" w:color="auto" w:sz="4" w:space="0"/>
              <w:bottom w:val="single" w:color="auto" w:sz="4" w:space="0"/>
              <w:right w:val="single" w:color="auto" w:sz="4" w:space="0"/>
            </w:tcBorders>
            <w:vAlign w:val="center"/>
          </w:tcPr>
          <w:p w14:paraId="0F7C039F">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703" w:type="dxa"/>
            <w:tcBorders>
              <w:top w:val="single" w:color="auto" w:sz="4" w:space="0"/>
              <w:left w:val="single" w:color="auto" w:sz="4" w:space="0"/>
              <w:bottom w:val="single" w:color="auto" w:sz="4" w:space="0"/>
              <w:right w:val="single" w:color="auto" w:sz="4" w:space="0"/>
            </w:tcBorders>
            <w:vAlign w:val="center"/>
          </w:tcPr>
          <w:p w14:paraId="1C616FB9">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805" w:type="dxa"/>
            <w:tcBorders>
              <w:top w:val="single" w:color="auto" w:sz="4" w:space="0"/>
              <w:left w:val="single" w:color="auto" w:sz="4" w:space="0"/>
              <w:bottom w:val="single" w:color="auto" w:sz="4" w:space="0"/>
              <w:right w:val="single" w:color="auto" w:sz="4" w:space="0"/>
            </w:tcBorders>
            <w:vAlign w:val="center"/>
          </w:tcPr>
          <w:p w14:paraId="303DED1C">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95" w:type="dxa"/>
            <w:tcBorders>
              <w:top w:val="single" w:color="auto" w:sz="4" w:space="0"/>
              <w:left w:val="single" w:color="auto" w:sz="4" w:space="0"/>
              <w:bottom w:val="single" w:color="auto" w:sz="4" w:space="0"/>
              <w:right w:val="single" w:color="auto" w:sz="4" w:space="0"/>
            </w:tcBorders>
            <w:vAlign w:val="center"/>
          </w:tcPr>
          <w:p w14:paraId="34242E6D">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892" w:type="dxa"/>
            <w:tcBorders>
              <w:top w:val="single" w:color="auto" w:sz="4" w:space="0"/>
              <w:left w:val="single" w:color="auto" w:sz="4" w:space="0"/>
              <w:bottom w:val="single" w:color="auto" w:sz="4" w:space="0"/>
              <w:right w:val="single" w:color="auto" w:sz="4" w:space="0"/>
            </w:tcBorders>
            <w:vAlign w:val="center"/>
          </w:tcPr>
          <w:p w14:paraId="0A11895A">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947" w:type="dxa"/>
            <w:tcBorders>
              <w:top w:val="single" w:color="auto" w:sz="4" w:space="0"/>
              <w:left w:val="single" w:color="auto" w:sz="4" w:space="0"/>
              <w:bottom w:val="single" w:color="auto" w:sz="4" w:space="0"/>
              <w:right w:val="single" w:color="auto" w:sz="4" w:space="0"/>
            </w:tcBorders>
            <w:vAlign w:val="center"/>
          </w:tcPr>
          <w:p w14:paraId="3F3FB411">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964" w:type="dxa"/>
            <w:tcBorders>
              <w:top w:val="single" w:color="auto" w:sz="4" w:space="0"/>
              <w:left w:val="single" w:color="auto" w:sz="4" w:space="0"/>
              <w:bottom w:val="single" w:color="auto" w:sz="4" w:space="0"/>
              <w:right w:val="single" w:color="auto" w:sz="4" w:space="0"/>
            </w:tcBorders>
            <w:vAlign w:val="center"/>
          </w:tcPr>
          <w:p w14:paraId="412CD5DB">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5" w:type="dxa"/>
            <w:tcBorders>
              <w:top w:val="single" w:color="auto" w:sz="4" w:space="0"/>
              <w:left w:val="single" w:color="auto" w:sz="4" w:space="0"/>
              <w:bottom w:val="single" w:color="auto" w:sz="4" w:space="0"/>
              <w:right w:val="single" w:color="auto" w:sz="4" w:space="0"/>
            </w:tcBorders>
            <w:vAlign w:val="center"/>
          </w:tcPr>
          <w:p w14:paraId="470927A7">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kern w:val="0"/>
                <w:sz w:val="13"/>
                <w:szCs w:val="13"/>
                <w:highlight w:val="none"/>
              </w:rPr>
              <w:t>—</w:t>
            </w:r>
          </w:p>
        </w:tc>
        <w:tc>
          <w:tcPr>
            <w:tcW w:w="821" w:type="dxa"/>
            <w:tcBorders>
              <w:top w:val="single" w:color="auto" w:sz="4" w:space="0"/>
              <w:left w:val="single" w:color="auto" w:sz="4" w:space="0"/>
              <w:bottom w:val="single" w:color="auto" w:sz="4" w:space="0"/>
              <w:right w:val="single" w:color="auto" w:sz="4" w:space="0"/>
            </w:tcBorders>
            <w:vAlign w:val="center"/>
          </w:tcPr>
          <w:p w14:paraId="5ED3B574">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708" w:type="dxa"/>
            <w:tcBorders>
              <w:top w:val="single" w:color="auto" w:sz="4" w:space="0"/>
              <w:left w:val="single" w:color="auto" w:sz="4" w:space="0"/>
              <w:bottom w:val="single" w:color="auto" w:sz="4" w:space="0"/>
              <w:right w:val="single" w:color="auto" w:sz="4" w:space="0"/>
            </w:tcBorders>
            <w:vAlign w:val="center"/>
          </w:tcPr>
          <w:p w14:paraId="7A25BFB2">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3FA9C92D">
        <w:tblPrEx>
          <w:tblCellMar>
            <w:top w:w="0" w:type="dxa"/>
            <w:left w:w="0" w:type="dxa"/>
            <w:bottom w:w="0" w:type="dxa"/>
            <w:right w:w="0" w:type="dxa"/>
          </w:tblCellMar>
        </w:tblPrEx>
        <w:trPr>
          <w:trHeight w:val="300" w:hRule="atLeast"/>
        </w:trPr>
        <w:tc>
          <w:tcPr>
            <w:tcW w:w="1004" w:type="dxa"/>
            <w:tcBorders>
              <w:top w:val="single" w:color="auto" w:sz="4" w:space="0"/>
              <w:left w:val="single" w:color="auto" w:sz="4" w:space="0"/>
              <w:bottom w:val="single" w:color="auto" w:sz="4" w:space="0"/>
              <w:right w:val="single" w:color="auto" w:sz="4" w:space="0"/>
            </w:tcBorders>
            <w:vAlign w:val="center"/>
          </w:tcPr>
          <w:p w14:paraId="55D13FE3">
            <w:pPr>
              <w:pStyle w:val="522"/>
              <w:tabs>
                <w:tab w:val="right" w:leader="dot" w:pos="9354"/>
              </w:tabs>
              <w:ind w:left="0" w:leftChars="0"/>
              <w:jc w:val="center"/>
              <w:rPr>
                <w:rFonts w:ascii="宋体" w:hAnsi="宋体" w:cs="宋体"/>
                <w:color w:val="auto"/>
                <w:sz w:val="13"/>
                <w:szCs w:val="13"/>
                <w:highlight w:val="none"/>
              </w:rPr>
            </w:pPr>
            <w:r>
              <w:rPr>
                <w:rFonts w:hint="eastAsia" w:ascii="宋体" w:hAnsi="宋体" w:cs="宋体"/>
                <w:color w:val="auto"/>
                <w:sz w:val="13"/>
                <w:szCs w:val="13"/>
                <w:highlight w:val="none"/>
              </w:rPr>
              <w:t>走廊</w:t>
            </w:r>
            <w:r>
              <w:rPr>
                <w:rFonts w:hint="eastAsia" w:ascii="宋体" w:hAnsi="宋体" w:eastAsia="宋体" w:cs="宋体"/>
                <w:color w:val="auto"/>
                <w:sz w:val="21"/>
                <w:szCs w:val="13"/>
                <w:highlight w:val="none"/>
                <w:vertAlign w:val="superscript"/>
                <w:lang w:val="en-US" w:eastAsia="zh-CN"/>
              </w:rPr>
              <w:t>b</w:t>
            </w:r>
          </w:p>
        </w:tc>
        <w:tc>
          <w:tcPr>
            <w:tcW w:w="671" w:type="dxa"/>
            <w:tcBorders>
              <w:top w:val="single" w:color="auto" w:sz="4" w:space="0"/>
              <w:left w:val="single" w:color="auto" w:sz="4" w:space="0"/>
              <w:bottom w:val="single" w:color="auto" w:sz="4" w:space="0"/>
              <w:right w:val="single" w:color="auto" w:sz="4" w:space="0"/>
            </w:tcBorders>
            <w:vAlign w:val="center"/>
          </w:tcPr>
          <w:p w14:paraId="7B470CAF">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703" w:type="dxa"/>
            <w:tcBorders>
              <w:top w:val="single" w:color="auto" w:sz="4" w:space="0"/>
              <w:left w:val="single" w:color="auto" w:sz="4" w:space="0"/>
              <w:bottom w:val="single" w:color="auto" w:sz="4" w:space="0"/>
              <w:right w:val="single" w:color="auto" w:sz="4" w:space="0"/>
            </w:tcBorders>
            <w:vAlign w:val="center"/>
          </w:tcPr>
          <w:p w14:paraId="018D4CAB">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805" w:type="dxa"/>
            <w:tcBorders>
              <w:top w:val="single" w:color="auto" w:sz="4" w:space="0"/>
              <w:left w:val="single" w:color="auto" w:sz="4" w:space="0"/>
              <w:bottom w:val="single" w:color="auto" w:sz="4" w:space="0"/>
              <w:right w:val="single" w:color="auto" w:sz="4" w:space="0"/>
            </w:tcBorders>
            <w:vAlign w:val="center"/>
          </w:tcPr>
          <w:p w14:paraId="08D6C379">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95" w:type="dxa"/>
            <w:tcBorders>
              <w:top w:val="single" w:color="auto" w:sz="4" w:space="0"/>
              <w:left w:val="single" w:color="auto" w:sz="4" w:space="0"/>
              <w:bottom w:val="single" w:color="auto" w:sz="4" w:space="0"/>
              <w:right w:val="single" w:color="auto" w:sz="4" w:space="0"/>
            </w:tcBorders>
            <w:vAlign w:val="center"/>
          </w:tcPr>
          <w:p w14:paraId="1260779B">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892" w:type="dxa"/>
            <w:tcBorders>
              <w:top w:val="single" w:color="auto" w:sz="4" w:space="0"/>
              <w:left w:val="single" w:color="auto" w:sz="4" w:space="0"/>
              <w:bottom w:val="single" w:color="auto" w:sz="4" w:space="0"/>
              <w:right w:val="single" w:color="auto" w:sz="4" w:space="0"/>
            </w:tcBorders>
            <w:vAlign w:val="center"/>
          </w:tcPr>
          <w:p w14:paraId="08B50006">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947" w:type="dxa"/>
            <w:tcBorders>
              <w:top w:val="single" w:color="auto" w:sz="4" w:space="0"/>
              <w:left w:val="single" w:color="auto" w:sz="4" w:space="0"/>
              <w:bottom w:val="single" w:color="auto" w:sz="4" w:space="0"/>
              <w:right w:val="single" w:color="auto" w:sz="4" w:space="0"/>
            </w:tcBorders>
            <w:vAlign w:val="center"/>
          </w:tcPr>
          <w:p w14:paraId="283CCDFC">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964" w:type="dxa"/>
            <w:tcBorders>
              <w:top w:val="single" w:color="auto" w:sz="4" w:space="0"/>
              <w:left w:val="single" w:color="auto" w:sz="4" w:space="0"/>
              <w:bottom w:val="single" w:color="auto" w:sz="4" w:space="0"/>
              <w:right w:val="single" w:color="auto" w:sz="4" w:space="0"/>
            </w:tcBorders>
            <w:vAlign w:val="center"/>
          </w:tcPr>
          <w:p w14:paraId="7E3DA051">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5" w:type="dxa"/>
            <w:tcBorders>
              <w:top w:val="single" w:color="auto" w:sz="4" w:space="0"/>
              <w:left w:val="single" w:color="auto" w:sz="4" w:space="0"/>
              <w:bottom w:val="single" w:color="auto" w:sz="4" w:space="0"/>
              <w:right w:val="single" w:color="auto" w:sz="4" w:space="0"/>
            </w:tcBorders>
            <w:vAlign w:val="center"/>
          </w:tcPr>
          <w:p w14:paraId="7F6BA0E7">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kern w:val="0"/>
                <w:sz w:val="13"/>
                <w:szCs w:val="13"/>
                <w:highlight w:val="none"/>
              </w:rPr>
              <w:t>—</w:t>
            </w:r>
          </w:p>
        </w:tc>
        <w:tc>
          <w:tcPr>
            <w:tcW w:w="821" w:type="dxa"/>
            <w:tcBorders>
              <w:top w:val="single" w:color="auto" w:sz="4" w:space="0"/>
              <w:left w:val="single" w:color="auto" w:sz="4" w:space="0"/>
              <w:bottom w:val="single" w:color="auto" w:sz="4" w:space="0"/>
              <w:right w:val="single" w:color="auto" w:sz="4" w:space="0"/>
            </w:tcBorders>
            <w:vAlign w:val="center"/>
          </w:tcPr>
          <w:p w14:paraId="7041C2B6">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708" w:type="dxa"/>
            <w:tcBorders>
              <w:top w:val="single" w:color="auto" w:sz="4" w:space="0"/>
              <w:left w:val="single" w:color="auto" w:sz="4" w:space="0"/>
              <w:bottom w:val="single" w:color="auto" w:sz="4" w:space="0"/>
              <w:right w:val="single" w:color="auto" w:sz="4" w:space="0"/>
            </w:tcBorders>
            <w:vAlign w:val="center"/>
          </w:tcPr>
          <w:p w14:paraId="1F3978EC">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4EEB1A1C">
        <w:tblPrEx>
          <w:tblCellMar>
            <w:top w:w="0" w:type="dxa"/>
            <w:left w:w="0" w:type="dxa"/>
            <w:bottom w:w="0" w:type="dxa"/>
            <w:right w:w="0" w:type="dxa"/>
          </w:tblCellMar>
        </w:tblPrEx>
        <w:trPr>
          <w:trHeight w:val="300" w:hRule="atLeast"/>
        </w:trPr>
        <w:tc>
          <w:tcPr>
            <w:tcW w:w="1004" w:type="dxa"/>
            <w:tcBorders>
              <w:top w:val="single" w:color="auto" w:sz="4" w:space="0"/>
              <w:left w:val="single" w:color="auto" w:sz="4" w:space="0"/>
              <w:bottom w:val="single" w:color="auto" w:sz="4" w:space="0"/>
              <w:right w:val="single" w:color="auto" w:sz="4" w:space="0"/>
            </w:tcBorders>
            <w:vAlign w:val="center"/>
          </w:tcPr>
          <w:p w14:paraId="36F1C21F">
            <w:pPr>
              <w:pStyle w:val="522"/>
              <w:tabs>
                <w:tab w:val="right" w:leader="dot" w:pos="9354"/>
              </w:tabs>
              <w:ind w:left="0" w:leftChars="0"/>
              <w:jc w:val="center"/>
              <w:rPr>
                <w:rFonts w:ascii="宋体" w:hAnsi="宋体" w:cs="宋体"/>
                <w:color w:val="auto"/>
                <w:sz w:val="13"/>
                <w:szCs w:val="13"/>
                <w:highlight w:val="none"/>
              </w:rPr>
            </w:pPr>
            <w:r>
              <w:rPr>
                <w:rFonts w:hint="eastAsia" w:ascii="宋体" w:hAnsi="宋体" w:cs="宋体"/>
                <w:color w:val="auto"/>
                <w:sz w:val="13"/>
                <w:szCs w:val="13"/>
                <w:highlight w:val="none"/>
              </w:rPr>
              <w:t>起居处所</w:t>
            </w:r>
            <w:r>
              <w:rPr>
                <w:rFonts w:hint="eastAsia" w:ascii="宋体" w:hAnsi="宋体" w:cs="宋体"/>
                <w:color w:val="auto"/>
                <w:sz w:val="21"/>
                <w:szCs w:val="13"/>
                <w:highlight w:val="none"/>
                <w:vertAlign w:val="superscript"/>
                <w:lang w:val="en-US" w:eastAsia="zh-CN"/>
              </w:rPr>
              <w:t>c</w:t>
            </w:r>
          </w:p>
        </w:tc>
        <w:tc>
          <w:tcPr>
            <w:tcW w:w="671" w:type="dxa"/>
            <w:tcBorders>
              <w:top w:val="single" w:color="auto" w:sz="4" w:space="0"/>
              <w:left w:val="single" w:color="auto" w:sz="4" w:space="0"/>
              <w:bottom w:val="single" w:color="auto" w:sz="4" w:space="0"/>
              <w:right w:val="single" w:color="auto" w:sz="4" w:space="0"/>
            </w:tcBorders>
            <w:vAlign w:val="center"/>
          </w:tcPr>
          <w:p w14:paraId="0F6C0AA4">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703" w:type="dxa"/>
            <w:tcBorders>
              <w:top w:val="single" w:color="auto" w:sz="4" w:space="0"/>
              <w:left w:val="single" w:color="auto" w:sz="4" w:space="0"/>
              <w:bottom w:val="single" w:color="auto" w:sz="4" w:space="0"/>
              <w:right w:val="single" w:color="auto" w:sz="4" w:space="0"/>
            </w:tcBorders>
            <w:vAlign w:val="center"/>
          </w:tcPr>
          <w:p w14:paraId="14049A62">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805" w:type="dxa"/>
            <w:tcBorders>
              <w:top w:val="single" w:color="auto" w:sz="4" w:space="0"/>
              <w:left w:val="single" w:color="auto" w:sz="4" w:space="0"/>
              <w:bottom w:val="single" w:color="auto" w:sz="4" w:space="0"/>
              <w:right w:val="single" w:color="auto" w:sz="4" w:space="0"/>
            </w:tcBorders>
            <w:vAlign w:val="center"/>
          </w:tcPr>
          <w:p w14:paraId="39FF131A">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695" w:type="dxa"/>
            <w:tcBorders>
              <w:top w:val="single" w:color="auto" w:sz="4" w:space="0"/>
              <w:left w:val="single" w:color="auto" w:sz="4" w:space="0"/>
              <w:bottom w:val="single" w:color="auto" w:sz="4" w:space="0"/>
              <w:right w:val="single" w:color="auto" w:sz="4" w:space="0"/>
            </w:tcBorders>
            <w:vAlign w:val="center"/>
          </w:tcPr>
          <w:p w14:paraId="318D5F66">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892" w:type="dxa"/>
            <w:tcBorders>
              <w:top w:val="single" w:color="auto" w:sz="4" w:space="0"/>
              <w:left w:val="single" w:color="auto" w:sz="4" w:space="0"/>
              <w:bottom w:val="single" w:color="auto" w:sz="4" w:space="0"/>
              <w:right w:val="single" w:color="auto" w:sz="4" w:space="0"/>
            </w:tcBorders>
            <w:vAlign w:val="center"/>
          </w:tcPr>
          <w:p w14:paraId="69F03A04">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c>
          <w:tcPr>
            <w:tcW w:w="947" w:type="dxa"/>
            <w:tcBorders>
              <w:top w:val="single" w:color="auto" w:sz="4" w:space="0"/>
              <w:left w:val="single" w:color="auto" w:sz="4" w:space="0"/>
              <w:bottom w:val="single" w:color="auto" w:sz="4" w:space="0"/>
              <w:right w:val="single" w:color="auto" w:sz="4" w:space="0"/>
            </w:tcBorders>
            <w:vAlign w:val="center"/>
          </w:tcPr>
          <w:p w14:paraId="22C96086">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A—60</w:t>
            </w:r>
          </w:p>
        </w:tc>
        <w:tc>
          <w:tcPr>
            <w:tcW w:w="964" w:type="dxa"/>
            <w:tcBorders>
              <w:top w:val="single" w:color="auto" w:sz="4" w:space="0"/>
              <w:left w:val="single" w:color="auto" w:sz="4" w:space="0"/>
              <w:bottom w:val="single" w:color="auto" w:sz="4" w:space="0"/>
              <w:right w:val="single" w:color="auto" w:sz="4" w:space="0"/>
            </w:tcBorders>
            <w:vAlign w:val="center"/>
          </w:tcPr>
          <w:p w14:paraId="6F107A9B">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655" w:type="dxa"/>
            <w:tcBorders>
              <w:top w:val="single" w:color="auto" w:sz="4" w:space="0"/>
              <w:left w:val="single" w:color="auto" w:sz="4" w:space="0"/>
              <w:bottom w:val="single" w:color="auto" w:sz="4" w:space="0"/>
              <w:right w:val="single" w:color="auto" w:sz="4" w:space="0"/>
            </w:tcBorders>
            <w:vAlign w:val="center"/>
          </w:tcPr>
          <w:p w14:paraId="39BDF7E7">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kern w:val="0"/>
                <w:sz w:val="13"/>
                <w:szCs w:val="13"/>
                <w:highlight w:val="none"/>
              </w:rPr>
              <w:t>—</w:t>
            </w:r>
          </w:p>
        </w:tc>
        <w:tc>
          <w:tcPr>
            <w:tcW w:w="821" w:type="dxa"/>
            <w:tcBorders>
              <w:top w:val="single" w:color="auto" w:sz="4" w:space="0"/>
              <w:left w:val="single" w:color="auto" w:sz="4" w:space="0"/>
              <w:bottom w:val="single" w:color="auto" w:sz="4" w:space="0"/>
              <w:right w:val="single" w:color="auto" w:sz="4" w:space="0"/>
            </w:tcBorders>
            <w:vAlign w:val="center"/>
          </w:tcPr>
          <w:p w14:paraId="40E6183E">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A—0</w:t>
            </w:r>
          </w:p>
        </w:tc>
        <w:tc>
          <w:tcPr>
            <w:tcW w:w="708" w:type="dxa"/>
            <w:tcBorders>
              <w:top w:val="single" w:color="auto" w:sz="4" w:space="0"/>
              <w:left w:val="single" w:color="auto" w:sz="4" w:space="0"/>
              <w:bottom w:val="single" w:color="auto" w:sz="4" w:space="0"/>
              <w:right w:val="single" w:color="auto" w:sz="4" w:space="0"/>
            </w:tcBorders>
            <w:vAlign w:val="center"/>
          </w:tcPr>
          <w:p w14:paraId="5BA2C4B4">
            <w:pPr>
              <w:pStyle w:val="522"/>
              <w:keepNext w:val="0"/>
              <w:keepLines w:val="0"/>
              <w:pageBreakBefore w:val="0"/>
              <w:tabs>
                <w:tab w:val="right" w:leader="dot" w:pos="9354"/>
              </w:tabs>
              <w:kinsoku/>
              <w:wordWrap/>
              <w:overflowPunct/>
              <w:topLinePunct w:val="0"/>
              <w:bidi w:val="0"/>
              <w:snapToGrid/>
              <w:ind w:left="0" w:leftChars="0"/>
              <w:jc w:val="center"/>
              <w:textAlignment w:val="auto"/>
              <w:rPr>
                <w:rFonts w:ascii="宋体" w:hAnsi="宋体" w:cs="宋体"/>
                <w:color w:val="auto"/>
                <w:sz w:val="13"/>
                <w:szCs w:val="13"/>
                <w:highlight w:val="none"/>
              </w:rPr>
            </w:pPr>
            <w:r>
              <w:rPr>
                <w:rFonts w:hint="eastAsia" w:ascii="宋体" w:hAnsi="宋体" w:cs="宋体"/>
                <w:color w:val="auto"/>
                <w:sz w:val="13"/>
                <w:szCs w:val="13"/>
                <w:highlight w:val="none"/>
              </w:rPr>
              <w:t>*</w:t>
            </w:r>
          </w:p>
        </w:tc>
      </w:tr>
      <w:tr w14:paraId="4BE53E91">
        <w:tblPrEx>
          <w:tblCellMar>
            <w:top w:w="0" w:type="dxa"/>
            <w:left w:w="0" w:type="dxa"/>
            <w:bottom w:w="0" w:type="dxa"/>
            <w:right w:w="0" w:type="dxa"/>
          </w:tblCellMar>
        </w:tblPrEx>
        <w:trPr>
          <w:trHeight w:val="300" w:hRule="atLeast"/>
        </w:trPr>
        <w:tc>
          <w:tcPr>
            <w:tcW w:w="1004" w:type="dxa"/>
            <w:tcBorders>
              <w:top w:val="single" w:color="auto" w:sz="4" w:space="0"/>
              <w:left w:val="single" w:color="auto" w:sz="4" w:space="0"/>
              <w:bottom w:val="single" w:color="auto" w:sz="4" w:space="0"/>
              <w:right w:val="single" w:color="auto" w:sz="4" w:space="0"/>
            </w:tcBorders>
            <w:vAlign w:val="center"/>
          </w:tcPr>
          <w:p w14:paraId="75900035">
            <w:pPr>
              <w:pStyle w:val="522"/>
              <w:tabs>
                <w:tab w:val="right" w:leader="dot" w:pos="9354"/>
              </w:tabs>
              <w:ind w:left="0" w:leftChars="0"/>
              <w:jc w:val="center"/>
              <w:rPr>
                <w:rFonts w:ascii="宋体" w:hAnsi="宋体" w:cs="宋体"/>
                <w:color w:val="auto"/>
                <w:kern w:val="0"/>
                <w:sz w:val="13"/>
                <w:szCs w:val="13"/>
                <w:highlight w:val="none"/>
              </w:rPr>
            </w:pPr>
            <w:r>
              <w:rPr>
                <w:rFonts w:hint="eastAsia" w:ascii="宋体" w:hAnsi="宋体" w:cs="宋体"/>
                <w:color w:val="auto"/>
                <w:sz w:val="13"/>
                <w:szCs w:val="13"/>
                <w:highlight w:val="none"/>
              </w:rPr>
              <w:t>梯道</w:t>
            </w:r>
            <w:r>
              <w:rPr>
                <w:rFonts w:hint="eastAsia" w:ascii="宋体" w:hAnsi="宋体" w:eastAsia="宋体" w:cs="宋体"/>
                <w:color w:val="auto"/>
                <w:sz w:val="21"/>
                <w:szCs w:val="13"/>
                <w:highlight w:val="none"/>
                <w:vertAlign w:val="superscript"/>
                <w:lang w:val="en-US" w:eastAsia="zh-CN"/>
              </w:rPr>
              <w:t>d</w:t>
            </w:r>
          </w:p>
        </w:tc>
        <w:tc>
          <w:tcPr>
            <w:tcW w:w="671" w:type="dxa"/>
            <w:tcBorders>
              <w:top w:val="single" w:color="auto" w:sz="4" w:space="0"/>
              <w:left w:val="single" w:color="auto" w:sz="4" w:space="0"/>
              <w:bottom w:val="single" w:color="auto" w:sz="4" w:space="0"/>
              <w:right w:val="single" w:color="auto" w:sz="4" w:space="0"/>
            </w:tcBorders>
            <w:vAlign w:val="center"/>
          </w:tcPr>
          <w:p w14:paraId="7DD5CCA2">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703" w:type="dxa"/>
            <w:tcBorders>
              <w:top w:val="single" w:color="auto" w:sz="4" w:space="0"/>
              <w:left w:val="single" w:color="auto" w:sz="4" w:space="0"/>
              <w:bottom w:val="single" w:color="auto" w:sz="4" w:space="0"/>
              <w:right w:val="single" w:color="auto" w:sz="4" w:space="0"/>
            </w:tcBorders>
            <w:vAlign w:val="center"/>
          </w:tcPr>
          <w:p w14:paraId="29C36115">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05" w:type="dxa"/>
            <w:tcBorders>
              <w:top w:val="single" w:color="auto" w:sz="4" w:space="0"/>
              <w:left w:val="single" w:color="auto" w:sz="4" w:space="0"/>
              <w:bottom w:val="single" w:color="auto" w:sz="4" w:space="0"/>
              <w:right w:val="single" w:color="auto" w:sz="4" w:space="0"/>
            </w:tcBorders>
            <w:vAlign w:val="center"/>
          </w:tcPr>
          <w:p w14:paraId="56B407DA">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695" w:type="dxa"/>
            <w:tcBorders>
              <w:top w:val="single" w:color="auto" w:sz="4" w:space="0"/>
              <w:left w:val="single" w:color="auto" w:sz="4" w:space="0"/>
              <w:bottom w:val="single" w:color="auto" w:sz="4" w:space="0"/>
              <w:right w:val="single" w:color="auto" w:sz="4" w:space="0"/>
            </w:tcBorders>
            <w:vAlign w:val="center"/>
          </w:tcPr>
          <w:p w14:paraId="28F20AA5">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92" w:type="dxa"/>
            <w:tcBorders>
              <w:top w:val="single" w:color="auto" w:sz="4" w:space="0"/>
              <w:left w:val="single" w:color="auto" w:sz="4" w:space="0"/>
              <w:bottom w:val="single" w:color="auto" w:sz="4" w:space="0"/>
              <w:right w:val="single" w:color="auto" w:sz="4" w:space="0"/>
            </w:tcBorders>
            <w:vAlign w:val="center"/>
          </w:tcPr>
          <w:p w14:paraId="75C1541F">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947" w:type="dxa"/>
            <w:tcBorders>
              <w:top w:val="single" w:color="auto" w:sz="4" w:space="0"/>
              <w:left w:val="single" w:color="auto" w:sz="4" w:space="0"/>
              <w:bottom w:val="single" w:color="auto" w:sz="4" w:space="0"/>
              <w:right w:val="single" w:color="auto" w:sz="4" w:space="0"/>
            </w:tcBorders>
            <w:vAlign w:val="center"/>
          </w:tcPr>
          <w:p w14:paraId="1D2066C0">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964" w:type="dxa"/>
            <w:tcBorders>
              <w:top w:val="single" w:color="auto" w:sz="4" w:space="0"/>
              <w:left w:val="single" w:color="auto" w:sz="4" w:space="0"/>
              <w:bottom w:val="single" w:color="auto" w:sz="4" w:space="0"/>
              <w:right w:val="single" w:color="auto" w:sz="4" w:space="0"/>
            </w:tcBorders>
            <w:vAlign w:val="center"/>
          </w:tcPr>
          <w:p w14:paraId="6DAB336F">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655" w:type="dxa"/>
            <w:tcBorders>
              <w:top w:val="single" w:color="auto" w:sz="4" w:space="0"/>
              <w:left w:val="single" w:color="auto" w:sz="4" w:space="0"/>
              <w:bottom w:val="single" w:color="auto" w:sz="4" w:space="0"/>
              <w:right w:val="single" w:color="auto" w:sz="4" w:space="0"/>
            </w:tcBorders>
            <w:vAlign w:val="center"/>
          </w:tcPr>
          <w:p w14:paraId="67565171">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21" w:type="dxa"/>
            <w:tcBorders>
              <w:top w:val="single" w:color="auto" w:sz="4" w:space="0"/>
              <w:left w:val="single" w:color="auto" w:sz="4" w:space="0"/>
              <w:bottom w:val="single" w:color="auto" w:sz="4" w:space="0"/>
              <w:right w:val="single" w:color="auto" w:sz="4" w:space="0"/>
            </w:tcBorders>
            <w:vAlign w:val="center"/>
          </w:tcPr>
          <w:p w14:paraId="212D7D14">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708" w:type="dxa"/>
            <w:tcBorders>
              <w:top w:val="single" w:color="auto" w:sz="4" w:space="0"/>
              <w:left w:val="single" w:color="auto" w:sz="4" w:space="0"/>
              <w:bottom w:val="single" w:color="auto" w:sz="4" w:space="0"/>
              <w:right w:val="single" w:color="auto" w:sz="4" w:space="0"/>
            </w:tcBorders>
            <w:vAlign w:val="center"/>
          </w:tcPr>
          <w:p w14:paraId="526258A3">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r>
      <w:tr w14:paraId="5E2DAA26">
        <w:tblPrEx>
          <w:tblCellMar>
            <w:top w:w="0" w:type="dxa"/>
            <w:left w:w="0" w:type="dxa"/>
            <w:bottom w:w="0" w:type="dxa"/>
            <w:right w:w="0" w:type="dxa"/>
          </w:tblCellMar>
        </w:tblPrEx>
        <w:trPr>
          <w:trHeight w:val="634" w:hRule="exact"/>
        </w:trPr>
        <w:tc>
          <w:tcPr>
            <w:tcW w:w="1004" w:type="dxa"/>
            <w:tcBorders>
              <w:top w:val="single" w:color="auto" w:sz="4" w:space="0"/>
              <w:left w:val="single" w:color="auto" w:sz="4" w:space="0"/>
              <w:bottom w:val="single" w:color="auto" w:sz="4" w:space="0"/>
              <w:right w:val="single" w:color="auto" w:sz="4" w:space="0"/>
            </w:tcBorders>
            <w:vAlign w:val="center"/>
          </w:tcPr>
          <w:p w14:paraId="3F86C327">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kern w:val="0"/>
                <w:sz w:val="13"/>
                <w:szCs w:val="13"/>
                <w:highlight w:val="none"/>
              </w:rPr>
            </w:pPr>
            <w:r>
              <w:rPr>
                <w:rFonts w:hint="eastAsia" w:ascii="宋体" w:hAnsi="宋体" w:cs="宋体"/>
                <w:color w:val="auto"/>
                <w:sz w:val="13"/>
                <w:szCs w:val="13"/>
                <w:highlight w:val="none"/>
              </w:rPr>
              <w:t>失火危险较小的服务处所</w:t>
            </w:r>
            <w:r>
              <w:rPr>
                <w:rFonts w:hint="eastAsia" w:ascii="宋体" w:hAnsi="宋体" w:eastAsia="宋体" w:cs="宋体"/>
                <w:color w:val="auto"/>
                <w:sz w:val="21"/>
                <w:szCs w:val="13"/>
                <w:highlight w:val="none"/>
                <w:vertAlign w:val="superscript"/>
                <w:lang w:val="en-US" w:eastAsia="zh-CN"/>
              </w:rPr>
              <w:t>e</w:t>
            </w:r>
          </w:p>
        </w:tc>
        <w:tc>
          <w:tcPr>
            <w:tcW w:w="671" w:type="dxa"/>
            <w:tcBorders>
              <w:top w:val="single" w:color="auto" w:sz="4" w:space="0"/>
              <w:left w:val="single" w:color="auto" w:sz="4" w:space="0"/>
              <w:bottom w:val="single" w:color="auto" w:sz="4" w:space="0"/>
              <w:right w:val="single" w:color="auto" w:sz="4" w:space="0"/>
            </w:tcBorders>
            <w:vAlign w:val="center"/>
          </w:tcPr>
          <w:p w14:paraId="40718750">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A—15</w:t>
            </w:r>
          </w:p>
        </w:tc>
        <w:tc>
          <w:tcPr>
            <w:tcW w:w="703" w:type="dxa"/>
            <w:tcBorders>
              <w:top w:val="single" w:color="auto" w:sz="4" w:space="0"/>
              <w:left w:val="single" w:color="auto" w:sz="4" w:space="0"/>
              <w:bottom w:val="single" w:color="auto" w:sz="4" w:space="0"/>
              <w:right w:val="single" w:color="auto" w:sz="4" w:space="0"/>
            </w:tcBorders>
            <w:vAlign w:val="center"/>
          </w:tcPr>
          <w:p w14:paraId="14B35EDF">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05" w:type="dxa"/>
            <w:tcBorders>
              <w:top w:val="single" w:color="auto" w:sz="4" w:space="0"/>
              <w:left w:val="single" w:color="auto" w:sz="4" w:space="0"/>
              <w:bottom w:val="single" w:color="auto" w:sz="4" w:space="0"/>
              <w:right w:val="single" w:color="auto" w:sz="4" w:space="0"/>
            </w:tcBorders>
            <w:vAlign w:val="center"/>
          </w:tcPr>
          <w:p w14:paraId="3E8E9E73">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695" w:type="dxa"/>
            <w:tcBorders>
              <w:top w:val="single" w:color="auto" w:sz="4" w:space="0"/>
              <w:left w:val="single" w:color="auto" w:sz="4" w:space="0"/>
              <w:bottom w:val="single" w:color="auto" w:sz="4" w:space="0"/>
              <w:right w:val="single" w:color="auto" w:sz="4" w:space="0"/>
            </w:tcBorders>
            <w:vAlign w:val="center"/>
          </w:tcPr>
          <w:p w14:paraId="2D49D9DD">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92" w:type="dxa"/>
            <w:tcBorders>
              <w:top w:val="single" w:color="auto" w:sz="4" w:space="0"/>
              <w:left w:val="single" w:color="auto" w:sz="4" w:space="0"/>
              <w:bottom w:val="single" w:color="auto" w:sz="4" w:space="0"/>
              <w:right w:val="single" w:color="auto" w:sz="4" w:space="0"/>
            </w:tcBorders>
            <w:vAlign w:val="center"/>
          </w:tcPr>
          <w:p w14:paraId="48A3C2D2">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947" w:type="dxa"/>
            <w:tcBorders>
              <w:top w:val="single" w:color="auto" w:sz="4" w:space="0"/>
              <w:left w:val="single" w:color="auto" w:sz="4" w:space="0"/>
              <w:bottom w:val="single" w:color="auto" w:sz="4" w:space="0"/>
              <w:right w:val="single" w:color="auto" w:sz="4" w:space="0"/>
            </w:tcBorders>
            <w:vAlign w:val="center"/>
          </w:tcPr>
          <w:p w14:paraId="502EDFD6">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964" w:type="dxa"/>
            <w:tcBorders>
              <w:top w:val="single" w:color="auto" w:sz="4" w:space="0"/>
              <w:left w:val="single" w:color="auto" w:sz="4" w:space="0"/>
              <w:bottom w:val="single" w:color="auto" w:sz="4" w:space="0"/>
              <w:right w:val="single" w:color="auto" w:sz="4" w:space="0"/>
            </w:tcBorders>
            <w:vAlign w:val="center"/>
          </w:tcPr>
          <w:p w14:paraId="09F3FF9D">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655" w:type="dxa"/>
            <w:tcBorders>
              <w:top w:val="single" w:color="auto" w:sz="4" w:space="0"/>
              <w:left w:val="single" w:color="auto" w:sz="4" w:space="0"/>
              <w:bottom w:val="single" w:color="auto" w:sz="4" w:space="0"/>
              <w:right w:val="single" w:color="auto" w:sz="4" w:space="0"/>
            </w:tcBorders>
            <w:vAlign w:val="center"/>
          </w:tcPr>
          <w:p w14:paraId="76844FA6">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21" w:type="dxa"/>
            <w:tcBorders>
              <w:top w:val="single" w:color="auto" w:sz="4" w:space="0"/>
              <w:left w:val="single" w:color="auto" w:sz="4" w:space="0"/>
              <w:bottom w:val="single" w:color="auto" w:sz="4" w:space="0"/>
              <w:right w:val="single" w:color="auto" w:sz="4" w:space="0"/>
            </w:tcBorders>
            <w:vAlign w:val="center"/>
          </w:tcPr>
          <w:p w14:paraId="3904BB91">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708" w:type="dxa"/>
            <w:tcBorders>
              <w:top w:val="single" w:color="auto" w:sz="4" w:space="0"/>
              <w:left w:val="single" w:color="auto" w:sz="4" w:space="0"/>
              <w:bottom w:val="single" w:color="auto" w:sz="4" w:space="0"/>
              <w:right w:val="single" w:color="auto" w:sz="4" w:space="0"/>
            </w:tcBorders>
            <w:vAlign w:val="center"/>
          </w:tcPr>
          <w:p w14:paraId="537EE2C9">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r>
      <w:tr w14:paraId="245FB776">
        <w:tblPrEx>
          <w:tblCellMar>
            <w:top w:w="0" w:type="dxa"/>
            <w:left w:w="0" w:type="dxa"/>
            <w:bottom w:w="0" w:type="dxa"/>
            <w:right w:w="0" w:type="dxa"/>
          </w:tblCellMar>
        </w:tblPrEx>
        <w:trPr>
          <w:trHeight w:val="300" w:hRule="exact"/>
        </w:trPr>
        <w:tc>
          <w:tcPr>
            <w:tcW w:w="1004" w:type="dxa"/>
            <w:tcBorders>
              <w:top w:val="single" w:color="auto" w:sz="4" w:space="0"/>
              <w:left w:val="single" w:color="auto" w:sz="4" w:space="0"/>
              <w:bottom w:val="single" w:color="auto" w:sz="4" w:space="0"/>
              <w:right w:val="single" w:color="auto" w:sz="4" w:space="0"/>
            </w:tcBorders>
            <w:vAlign w:val="center"/>
          </w:tcPr>
          <w:p w14:paraId="1FEC448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kern w:val="0"/>
                <w:sz w:val="13"/>
                <w:szCs w:val="13"/>
                <w:highlight w:val="none"/>
              </w:rPr>
            </w:pPr>
            <w:r>
              <w:rPr>
                <w:rFonts w:hint="eastAsia" w:ascii="宋体" w:hAnsi="宋体" w:cs="宋体"/>
                <w:color w:val="auto"/>
                <w:sz w:val="13"/>
                <w:szCs w:val="13"/>
                <w:highlight w:val="none"/>
              </w:rPr>
              <w:t>A类机器处所</w:t>
            </w:r>
            <w:r>
              <w:rPr>
                <w:rFonts w:hint="eastAsia" w:ascii="宋体" w:hAnsi="宋体" w:eastAsia="宋体" w:cs="宋体"/>
                <w:color w:val="auto"/>
                <w:sz w:val="21"/>
                <w:szCs w:val="13"/>
                <w:highlight w:val="none"/>
                <w:vertAlign w:val="superscript"/>
                <w:lang w:val="en-US" w:eastAsia="zh-CN"/>
              </w:rPr>
              <w:t>f</w:t>
            </w:r>
          </w:p>
        </w:tc>
        <w:tc>
          <w:tcPr>
            <w:tcW w:w="671" w:type="dxa"/>
            <w:tcBorders>
              <w:top w:val="single" w:color="auto" w:sz="4" w:space="0"/>
              <w:left w:val="single" w:color="auto" w:sz="4" w:space="0"/>
              <w:bottom w:val="single" w:color="auto" w:sz="4" w:space="0"/>
              <w:right w:val="single" w:color="auto" w:sz="4" w:space="0"/>
            </w:tcBorders>
            <w:vAlign w:val="center"/>
          </w:tcPr>
          <w:p w14:paraId="3A1FF4D7">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703" w:type="dxa"/>
            <w:tcBorders>
              <w:top w:val="single" w:color="auto" w:sz="4" w:space="0"/>
              <w:left w:val="single" w:color="auto" w:sz="4" w:space="0"/>
              <w:bottom w:val="single" w:color="auto" w:sz="4" w:space="0"/>
              <w:right w:val="single" w:color="auto" w:sz="4" w:space="0"/>
            </w:tcBorders>
            <w:vAlign w:val="center"/>
          </w:tcPr>
          <w:p w14:paraId="3E2F07B2">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805" w:type="dxa"/>
            <w:tcBorders>
              <w:top w:val="single" w:color="auto" w:sz="4" w:space="0"/>
              <w:left w:val="single" w:color="auto" w:sz="4" w:space="0"/>
              <w:bottom w:val="single" w:color="auto" w:sz="4" w:space="0"/>
              <w:right w:val="single" w:color="auto" w:sz="4" w:space="0"/>
            </w:tcBorders>
            <w:vAlign w:val="center"/>
          </w:tcPr>
          <w:p w14:paraId="5364ECB1">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695" w:type="dxa"/>
            <w:tcBorders>
              <w:top w:val="single" w:color="auto" w:sz="4" w:space="0"/>
              <w:left w:val="single" w:color="auto" w:sz="4" w:space="0"/>
              <w:bottom w:val="single" w:color="auto" w:sz="4" w:space="0"/>
              <w:right w:val="single" w:color="auto" w:sz="4" w:space="0"/>
            </w:tcBorders>
            <w:vAlign w:val="center"/>
          </w:tcPr>
          <w:p w14:paraId="21CE469B">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892" w:type="dxa"/>
            <w:tcBorders>
              <w:top w:val="single" w:color="auto" w:sz="4" w:space="0"/>
              <w:left w:val="single" w:color="auto" w:sz="4" w:space="0"/>
              <w:bottom w:val="single" w:color="auto" w:sz="4" w:space="0"/>
              <w:right w:val="single" w:color="auto" w:sz="4" w:space="0"/>
            </w:tcBorders>
            <w:vAlign w:val="center"/>
          </w:tcPr>
          <w:p w14:paraId="49BCAE2C">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947" w:type="dxa"/>
            <w:tcBorders>
              <w:top w:val="single" w:color="auto" w:sz="4" w:space="0"/>
              <w:left w:val="single" w:color="auto" w:sz="4" w:space="0"/>
              <w:bottom w:val="single" w:color="auto" w:sz="4" w:space="0"/>
              <w:right w:val="single" w:color="auto" w:sz="4" w:space="0"/>
            </w:tcBorders>
            <w:vAlign w:val="center"/>
          </w:tcPr>
          <w:p w14:paraId="4B197646">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 xml:space="preserve"> </w:t>
            </w:r>
            <w:r>
              <w:rPr>
                <w:rFonts w:hint="eastAsia" w:ascii="宋体" w:hAnsi="宋体" w:cs="宋体"/>
                <w:color w:val="auto"/>
                <w:kern w:val="0"/>
                <w:sz w:val="13"/>
                <w:szCs w:val="13"/>
                <w:highlight w:val="none"/>
              </w:rPr>
              <w:t>*</w:t>
            </w:r>
          </w:p>
        </w:tc>
        <w:tc>
          <w:tcPr>
            <w:tcW w:w="964" w:type="dxa"/>
            <w:tcBorders>
              <w:top w:val="single" w:color="auto" w:sz="4" w:space="0"/>
              <w:left w:val="single" w:color="auto" w:sz="4" w:space="0"/>
              <w:bottom w:val="single" w:color="auto" w:sz="4" w:space="0"/>
              <w:right w:val="single" w:color="auto" w:sz="4" w:space="0"/>
            </w:tcBorders>
            <w:vAlign w:val="center"/>
          </w:tcPr>
          <w:p w14:paraId="719089B1">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r>
              <w:rPr>
                <w:rFonts w:hint="eastAsia" w:ascii="宋体" w:hAnsi="宋体" w:cs="宋体"/>
                <w:color w:val="auto"/>
                <w:sz w:val="13"/>
                <w:szCs w:val="13"/>
                <w:highlight w:val="none"/>
                <w:vertAlign w:val="superscript"/>
              </w:rPr>
              <w:t>〔</w:t>
            </w:r>
            <w:r>
              <w:rPr>
                <w:rFonts w:hint="eastAsia" w:ascii="宋体" w:hAnsi="宋体" w:cs="宋体"/>
                <w:color w:val="auto"/>
                <w:sz w:val="13"/>
                <w:szCs w:val="13"/>
                <w:highlight w:val="none"/>
                <w:vertAlign w:val="superscript"/>
                <w:lang w:val="en-US" w:eastAsia="zh-CN"/>
              </w:rPr>
              <w:t>5</w:t>
            </w:r>
            <w:r>
              <w:rPr>
                <w:rFonts w:hint="eastAsia" w:ascii="宋体" w:hAnsi="宋体" w:cs="宋体"/>
                <w:color w:val="auto"/>
                <w:sz w:val="13"/>
                <w:szCs w:val="13"/>
                <w:highlight w:val="none"/>
                <w:vertAlign w:val="superscript"/>
              </w:rPr>
              <w:t>〕</w:t>
            </w:r>
          </w:p>
        </w:tc>
        <w:tc>
          <w:tcPr>
            <w:tcW w:w="655" w:type="dxa"/>
            <w:tcBorders>
              <w:top w:val="single" w:color="auto" w:sz="4" w:space="0"/>
              <w:left w:val="single" w:color="auto" w:sz="4" w:space="0"/>
              <w:bottom w:val="single" w:color="auto" w:sz="4" w:space="0"/>
              <w:right w:val="single" w:color="auto" w:sz="4" w:space="0"/>
            </w:tcBorders>
            <w:vAlign w:val="center"/>
          </w:tcPr>
          <w:p w14:paraId="5C33078B">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21" w:type="dxa"/>
            <w:tcBorders>
              <w:top w:val="single" w:color="auto" w:sz="4" w:space="0"/>
              <w:left w:val="single" w:color="auto" w:sz="4" w:space="0"/>
              <w:bottom w:val="single" w:color="auto" w:sz="4" w:space="0"/>
              <w:right w:val="single" w:color="auto" w:sz="4" w:space="0"/>
            </w:tcBorders>
            <w:vAlign w:val="center"/>
          </w:tcPr>
          <w:p w14:paraId="44B413D7">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708" w:type="dxa"/>
            <w:tcBorders>
              <w:top w:val="single" w:color="auto" w:sz="4" w:space="0"/>
              <w:left w:val="single" w:color="auto" w:sz="4" w:space="0"/>
              <w:bottom w:val="single" w:color="auto" w:sz="4" w:space="0"/>
              <w:right w:val="single" w:color="auto" w:sz="4" w:space="0"/>
            </w:tcBorders>
            <w:vAlign w:val="center"/>
          </w:tcPr>
          <w:p w14:paraId="76BED20A">
            <w:pPr>
              <w:keepNext w:val="0"/>
              <w:keepLines w:val="0"/>
              <w:pageBreakBefore w:val="0"/>
              <w:widowControl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r>
      <w:tr w14:paraId="56ADDE1D">
        <w:tblPrEx>
          <w:tblCellMar>
            <w:top w:w="0" w:type="dxa"/>
            <w:left w:w="0" w:type="dxa"/>
            <w:bottom w:w="0" w:type="dxa"/>
            <w:right w:w="0" w:type="dxa"/>
          </w:tblCellMar>
        </w:tblPrEx>
        <w:trPr>
          <w:trHeight w:val="578" w:hRule="exact"/>
        </w:trPr>
        <w:tc>
          <w:tcPr>
            <w:tcW w:w="1004" w:type="dxa"/>
            <w:tcBorders>
              <w:top w:val="single" w:color="auto" w:sz="4" w:space="0"/>
              <w:left w:val="single" w:color="auto" w:sz="4" w:space="0"/>
              <w:bottom w:val="single" w:color="auto" w:sz="4" w:space="0"/>
              <w:right w:val="single" w:color="auto" w:sz="4" w:space="0"/>
            </w:tcBorders>
            <w:vAlign w:val="center"/>
          </w:tcPr>
          <w:p w14:paraId="26F75919">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kern w:val="0"/>
                <w:sz w:val="13"/>
                <w:szCs w:val="13"/>
                <w:highlight w:val="none"/>
              </w:rPr>
            </w:pPr>
            <w:r>
              <w:rPr>
                <w:rFonts w:hint="eastAsia" w:ascii="宋体" w:hAnsi="宋体" w:cs="宋体"/>
                <w:color w:val="auto"/>
                <w:sz w:val="13"/>
                <w:szCs w:val="13"/>
                <w:highlight w:val="none"/>
              </w:rPr>
              <w:t>其他机器处所</w:t>
            </w:r>
            <w:r>
              <w:rPr>
                <w:rFonts w:hint="eastAsia" w:ascii="宋体" w:hAnsi="宋体" w:eastAsia="宋体" w:cs="宋体"/>
                <w:color w:val="auto"/>
                <w:sz w:val="21"/>
                <w:szCs w:val="13"/>
                <w:highlight w:val="none"/>
                <w:vertAlign w:val="superscript"/>
                <w:lang w:val="en-US" w:eastAsia="zh-CN"/>
              </w:rPr>
              <w:t>g</w:t>
            </w:r>
          </w:p>
        </w:tc>
        <w:tc>
          <w:tcPr>
            <w:tcW w:w="671" w:type="dxa"/>
            <w:tcBorders>
              <w:top w:val="single" w:color="auto" w:sz="4" w:space="0"/>
              <w:left w:val="single" w:color="auto" w:sz="4" w:space="0"/>
              <w:bottom w:val="single" w:color="auto" w:sz="4" w:space="0"/>
              <w:right w:val="single" w:color="auto" w:sz="4" w:space="0"/>
            </w:tcBorders>
            <w:vAlign w:val="center"/>
          </w:tcPr>
          <w:p w14:paraId="22C77B0E">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A—15</w:t>
            </w:r>
          </w:p>
        </w:tc>
        <w:tc>
          <w:tcPr>
            <w:tcW w:w="703" w:type="dxa"/>
            <w:tcBorders>
              <w:top w:val="single" w:color="auto" w:sz="4" w:space="0"/>
              <w:left w:val="single" w:color="auto" w:sz="4" w:space="0"/>
              <w:bottom w:val="single" w:color="auto" w:sz="4" w:space="0"/>
              <w:right w:val="single" w:color="auto" w:sz="4" w:space="0"/>
            </w:tcBorders>
            <w:vAlign w:val="center"/>
          </w:tcPr>
          <w:p w14:paraId="3CBC90D3">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05" w:type="dxa"/>
            <w:tcBorders>
              <w:top w:val="single" w:color="auto" w:sz="4" w:space="0"/>
              <w:left w:val="single" w:color="auto" w:sz="4" w:space="0"/>
              <w:bottom w:val="single" w:color="auto" w:sz="4" w:space="0"/>
              <w:right w:val="single" w:color="auto" w:sz="4" w:space="0"/>
            </w:tcBorders>
            <w:vAlign w:val="center"/>
          </w:tcPr>
          <w:p w14:paraId="7501473D">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695" w:type="dxa"/>
            <w:tcBorders>
              <w:top w:val="single" w:color="auto" w:sz="4" w:space="0"/>
              <w:left w:val="single" w:color="auto" w:sz="4" w:space="0"/>
              <w:bottom w:val="single" w:color="auto" w:sz="4" w:space="0"/>
              <w:right w:val="single" w:color="auto" w:sz="4" w:space="0"/>
            </w:tcBorders>
            <w:vAlign w:val="center"/>
          </w:tcPr>
          <w:p w14:paraId="642DC796">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92" w:type="dxa"/>
            <w:tcBorders>
              <w:top w:val="single" w:color="auto" w:sz="4" w:space="0"/>
              <w:left w:val="single" w:color="auto" w:sz="4" w:space="0"/>
              <w:bottom w:val="single" w:color="auto" w:sz="4" w:space="0"/>
              <w:right w:val="single" w:color="auto" w:sz="4" w:space="0"/>
            </w:tcBorders>
            <w:vAlign w:val="center"/>
          </w:tcPr>
          <w:p w14:paraId="33551D7B">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947" w:type="dxa"/>
            <w:tcBorders>
              <w:top w:val="single" w:color="auto" w:sz="4" w:space="0"/>
              <w:left w:val="single" w:color="auto" w:sz="4" w:space="0"/>
              <w:bottom w:val="single" w:color="auto" w:sz="4" w:space="0"/>
              <w:right w:val="single" w:color="auto" w:sz="4" w:space="0"/>
            </w:tcBorders>
            <w:vAlign w:val="center"/>
          </w:tcPr>
          <w:p w14:paraId="22081446">
            <w:pPr>
              <w:ind w:firstLine="0" w:firstLineChars="0"/>
              <w:jc w:val="center"/>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964" w:type="dxa"/>
            <w:tcBorders>
              <w:top w:val="single" w:color="auto" w:sz="4" w:space="0"/>
              <w:left w:val="single" w:color="auto" w:sz="4" w:space="0"/>
              <w:bottom w:val="single" w:color="auto" w:sz="4" w:space="0"/>
              <w:right w:val="single" w:color="auto" w:sz="4" w:space="0"/>
            </w:tcBorders>
            <w:vAlign w:val="center"/>
          </w:tcPr>
          <w:p w14:paraId="3346A14E">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lang w:val="en-US" w:eastAsia="zh-CN"/>
              </w:rPr>
              <w:t xml:space="preserve"> </w:t>
            </w:r>
            <w:r>
              <w:rPr>
                <w:rFonts w:hint="eastAsia" w:ascii="宋体" w:hAnsi="宋体" w:cs="宋体"/>
                <w:color w:val="auto"/>
                <w:kern w:val="0"/>
                <w:sz w:val="13"/>
                <w:szCs w:val="13"/>
                <w:highlight w:val="none"/>
              </w:rPr>
              <w:t>*</w:t>
            </w:r>
          </w:p>
        </w:tc>
        <w:tc>
          <w:tcPr>
            <w:tcW w:w="655" w:type="dxa"/>
            <w:tcBorders>
              <w:top w:val="single" w:color="auto" w:sz="4" w:space="0"/>
              <w:left w:val="single" w:color="auto" w:sz="4" w:space="0"/>
              <w:bottom w:val="single" w:color="auto" w:sz="4" w:space="0"/>
              <w:right w:val="single" w:color="auto" w:sz="4" w:space="0"/>
            </w:tcBorders>
            <w:vAlign w:val="center"/>
          </w:tcPr>
          <w:p w14:paraId="75FE4B0C">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21" w:type="dxa"/>
            <w:tcBorders>
              <w:top w:val="single" w:color="auto" w:sz="4" w:space="0"/>
              <w:left w:val="single" w:color="auto" w:sz="4" w:space="0"/>
              <w:bottom w:val="single" w:color="auto" w:sz="4" w:space="0"/>
              <w:right w:val="single" w:color="auto" w:sz="4" w:space="0"/>
            </w:tcBorders>
            <w:vAlign w:val="center"/>
          </w:tcPr>
          <w:p w14:paraId="3AF8F440">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708" w:type="dxa"/>
            <w:tcBorders>
              <w:top w:val="single" w:color="auto" w:sz="4" w:space="0"/>
              <w:left w:val="single" w:color="auto" w:sz="4" w:space="0"/>
              <w:bottom w:val="single" w:color="auto" w:sz="4" w:space="0"/>
              <w:right w:val="single" w:color="auto" w:sz="4" w:space="0"/>
            </w:tcBorders>
            <w:vAlign w:val="center"/>
          </w:tcPr>
          <w:p w14:paraId="6D41A120">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r>
      <w:tr w14:paraId="0118D3D2">
        <w:tblPrEx>
          <w:tblCellMar>
            <w:top w:w="0" w:type="dxa"/>
            <w:left w:w="0" w:type="dxa"/>
            <w:bottom w:w="0" w:type="dxa"/>
            <w:right w:w="0" w:type="dxa"/>
          </w:tblCellMar>
        </w:tblPrEx>
        <w:trPr>
          <w:trHeight w:val="300" w:hRule="exact"/>
        </w:trPr>
        <w:tc>
          <w:tcPr>
            <w:tcW w:w="1004" w:type="dxa"/>
            <w:tcBorders>
              <w:top w:val="single" w:color="auto" w:sz="4" w:space="0"/>
              <w:left w:val="single" w:color="auto" w:sz="4" w:space="0"/>
              <w:bottom w:val="single" w:color="auto" w:sz="4" w:space="0"/>
              <w:right w:val="single" w:color="auto" w:sz="4" w:space="0"/>
            </w:tcBorders>
            <w:vAlign w:val="center"/>
          </w:tcPr>
          <w:p w14:paraId="51155DA1">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kern w:val="0"/>
                <w:sz w:val="13"/>
                <w:szCs w:val="13"/>
                <w:highlight w:val="none"/>
              </w:rPr>
            </w:pPr>
            <w:r>
              <w:rPr>
                <w:rFonts w:hint="eastAsia" w:ascii="宋体" w:hAnsi="宋体" w:cs="宋体"/>
                <w:color w:val="auto"/>
                <w:sz w:val="13"/>
                <w:szCs w:val="13"/>
                <w:highlight w:val="none"/>
                <w:lang w:val="en-US" w:eastAsia="zh-CN"/>
              </w:rPr>
              <w:t>原油泵舱</w:t>
            </w:r>
            <w:r>
              <w:rPr>
                <w:rFonts w:hint="eastAsia" w:ascii="宋体" w:hAnsi="宋体" w:eastAsia="宋体" w:cs="宋体"/>
                <w:color w:val="auto"/>
                <w:sz w:val="21"/>
                <w:szCs w:val="13"/>
                <w:highlight w:val="none"/>
                <w:vertAlign w:val="superscript"/>
                <w:lang w:val="en-US" w:eastAsia="zh-CN"/>
              </w:rPr>
              <w:t>h</w:t>
            </w:r>
          </w:p>
        </w:tc>
        <w:tc>
          <w:tcPr>
            <w:tcW w:w="671" w:type="dxa"/>
            <w:tcBorders>
              <w:top w:val="single" w:color="auto" w:sz="4" w:space="0"/>
              <w:left w:val="single" w:color="auto" w:sz="4" w:space="0"/>
              <w:bottom w:val="single" w:color="auto" w:sz="4" w:space="0"/>
              <w:right w:val="single" w:color="auto" w:sz="4" w:space="0"/>
            </w:tcBorders>
            <w:vAlign w:val="center"/>
          </w:tcPr>
          <w:p w14:paraId="4AC68BCB">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703" w:type="dxa"/>
            <w:tcBorders>
              <w:top w:val="single" w:color="auto" w:sz="4" w:space="0"/>
              <w:left w:val="single" w:color="auto" w:sz="4" w:space="0"/>
              <w:bottom w:val="single" w:color="auto" w:sz="4" w:space="0"/>
              <w:right w:val="single" w:color="auto" w:sz="4" w:space="0"/>
            </w:tcBorders>
            <w:vAlign w:val="center"/>
          </w:tcPr>
          <w:p w14:paraId="44054CEC">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05" w:type="dxa"/>
            <w:tcBorders>
              <w:top w:val="single" w:color="auto" w:sz="4" w:space="0"/>
              <w:left w:val="single" w:color="auto" w:sz="4" w:space="0"/>
              <w:bottom w:val="single" w:color="auto" w:sz="4" w:space="0"/>
              <w:right w:val="single" w:color="auto" w:sz="4" w:space="0"/>
            </w:tcBorders>
            <w:vAlign w:val="center"/>
          </w:tcPr>
          <w:p w14:paraId="3B33A1CC">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695" w:type="dxa"/>
            <w:tcBorders>
              <w:top w:val="single" w:color="auto" w:sz="4" w:space="0"/>
              <w:left w:val="single" w:color="auto" w:sz="4" w:space="0"/>
              <w:bottom w:val="single" w:color="auto" w:sz="4" w:space="0"/>
              <w:right w:val="single" w:color="auto" w:sz="4" w:space="0"/>
            </w:tcBorders>
            <w:vAlign w:val="center"/>
          </w:tcPr>
          <w:p w14:paraId="0FD8C932">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92" w:type="dxa"/>
            <w:tcBorders>
              <w:top w:val="single" w:color="auto" w:sz="4" w:space="0"/>
              <w:left w:val="single" w:color="auto" w:sz="4" w:space="0"/>
              <w:bottom w:val="single" w:color="auto" w:sz="4" w:space="0"/>
              <w:right w:val="single" w:color="auto" w:sz="4" w:space="0"/>
            </w:tcBorders>
            <w:vAlign w:val="center"/>
          </w:tcPr>
          <w:p w14:paraId="4CE422E3">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947" w:type="dxa"/>
            <w:tcBorders>
              <w:top w:val="single" w:color="auto" w:sz="4" w:space="0"/>
              <w:left w:val="single" w:color="auto" w:sz="4" w:space="0"/>
              <w:bottom w:val="single" w:color="auto" w:sz="4" w:space="0"/>
              <w:right w:val="single" w:color="auto" w:sz="4" w:space="0"/>
            </w:tcBorders>
            <w:vAlign w:val="center"/>
          </w:tcPr>
          <w:p w14:paraId="55DB3B93">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r>
              <w:rPr>
                <w:rFonts w:hint="eastAsia" w:ascii="宋体" w:hAnsi="宋体" w:cs="宋体"/>
                <w:color w:val="auto"/>
                <w:sz w:val="13"/>
                <w:szCs w:val="13"/>
                <w:highlight w:val="none"/>
                <w:vertAlign w:val="superscript"/>
              </w:rPr>
              <w:t>〔</w:t>
            </w:r>
            <w:r>
              <w:rPr>
                <w:rFonts w:hint="eastAsia" w:ascii="宋体" w:hAnsi="宋体" w:cs="宋体"/>
                <w:color w:val="auto"/>
                <w:sz w:val="13"/>
                <w:szCs w:val="13"/>
                <w:highlight w:val="none"/>
                <w:vertAlign w:val="superscript"/>
                <w:lang w:val="en-US" w:eastAsia="zh-CN"/>
              </w:rPr>
              <w:t>4</w:t>
            </w:r>
            <w:r>
              <w:rPr>
                <w:rFonts w:hint="eastAsia" w:ascii="宋体" w:hAnsi="宋体" w:cs="宋体"/>
                <w:color w:val="auto"/>
                <w:sz w:val="13"/>
                <w:szCs w:val="13"/>
                <w:highlight w:val="none"/>
                <w:vertAlign w:val="superscript"/>
              </w:rPr>
              <w:t>〕</w:t>
            </w:r>
          </w:p>
        </w:tc>
        <w:tc>
          <w:tcPr>
            <w:tcW w:w="964" w:type="dxa"/>
            <w:tcBorders>
              <w:top w:val="single" w:color="auto" w:sz="4" w:space="0"/>
              <w:left w:val="single" w:color="auto" w:sz="4" w:space="0"/>
              <w:bottom w:val="single" w:color="auto" w:sz="4" w:space="0"/>
              <w:right w:val="single" w:color="auto" w:sz="4" w:space="0"/>
            </w:tcBorders>
            <w:vAlign w:val="center"/>
          </w:tcPr>
          <w:p w14:paraId="3D4F26E4">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655" w:type="dxa"/>
            <w:tcBorders>
              <w:top w:val="single" w:color="auto" w:sz="4" w:space="0"/>
              <w:left w:val="single" w:color="auto" w:sz="4" w:space="0"/>
              <w:bottom w:val="single" w:color="auto" w:sz="4" w:space="0"/>
              <w:right w:val="single" w:color="auto" w:sz="4" w:space="0"/>
            </w:tcBorders>
            <w:vAlign w:val="center"/>
          </w:tcPr>
          <w:p w14:paraId="02403D93">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21" w:type="dxa"/>
            <w:tcBorders>
              <w:top w:val="single" w:color="auto" w:sz="4" w:space="0"/>
              <w:left w:val="single" w:color="auto" w:sz="4" w:space="0"/>
              <w:bottom w:val="single" w:color="auto" w:sz="4" w:space="0"/>
              <w:right w:val="single" w:color="auto" w:sz="4" w:space="0"/>
            </w:tcBorders>
            <w:vAlign w:val="center"/>
          </w:tcPr>
          <w:p w14:paraId="17E5BB51">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708" w:type="dxa"/>
            <w:tcBorders>
              <w:top w:val="single" w:color="auto" w:sz="4" w:space="0"/>
              <w:left w:val="single" w:color="auto" w:sz="4" w:space="0"/>
              <w:bottom w:val="single" w:color="auto" w:sz="4" w:space="0"/>
              <w:right w:val="single" w:color="auto" w:sz="4" w:space="0"/>
            </w:tcBorders>
            <w:vAlign w:val="center"/>
          </w:tcPr>
          <w:p w14:paraId="6CDFBB06">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r>
      <w:tr w14:paraId="69FD577F">
        <w:tblPrEx>
          <w:tblCellMar>
            <w:top w:w="0" w:type="dxa"/>
            <w:left w:w="0" w:type="dxa"/>
            <w:bottom w:w="0" w:type="dxa"/>
            <w:right w:w="0" w:type="dxa"/>
          </w:tblCellMar>
        </w:tblPrEx>
        <w:trPr>
          <w:trHeight w:val="737" w:hRule="exact"/>
        </w:trPr>
        <w:tc>
          <w:tcPr>
            <w:tcW w:w="1004" w:type="dxa"/>
            <w:tcBorders>
              <w:top w:val="single" w:color="auto" w:sz="4" w:space="0"/>
              <w:left w:val="single" w:color="auto" w:sz="4" w:space="0"/>
              <w:bottom w:val="single" w:color="auto" w:sz="4" w:space="0"/>
              <w:right w:val="single" w:color="auto" w:sz="4" w:space="0"/>
            </w:tcBorders>
            <w:vAlign w:val="center"/>
          </w:tcPr>
          <w:p w14:paraId="34F4A162">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kern w:val="0"/>
                <w:sz w:val="13"/>
                <w:szCs w:val="13"/>
                <w:highlight w:val="none"/>
              </w:rPr>
            </w:pPr>
            <w:r>
              <w:rPr>
                <w:rFonts w:hint="eastAsia" w:ascii="宋体" w:hAnsi="宋体" w:cs="宋体"/>
                <w:color w:val="auto"/>
                <w:sz w:val="13"/>
                <w:szCs w:val="13"/>
                <w:highlight w:val="none"/>
              </w:rPr>
              <w:t>失火危险较大的服务处所</w:t>
            </w:r>
            <w:r>
              <w:rPr>
                <w:rFonts w:hint="eastAsia" w:ascii="宋体" w:hAnsi="宋体" w:eastAsia="宋体" w:cs="宋体"/>
                <w:color w:val="auto"/>
                <w:sz w:val="21"/>
                <w:szCs w:val="13"/>
                <w:highlight w:val="none"/>
                <w:vertAlign w:val="superscript"/>
                <w:lang w:val="en-US" w:eastAsia="zh-CN"/>
              </w:rPr>
              <w:t>i</w:t>
            </w:r>
          </w:p>
        </w:tc>
        <w:tc>
          <w:tcPr>
            <w:tcW w:w="671" w:type="dxa"/>
            <w:tcBorders>
              <w:top w:val="single" w:color="auto" w:sz="4" w:space="0"/>
              <w:left w:val="single" w:color="auto" w:sz="4" w:space="0"/>
              <w:bottom w:val="single" w:color="auto" w:sz="4" w:space="0"/>
              <w:right w:val="single" w:color="auto" w:sz="4" w:space="0"/>
            </w:tcBorders>
            <w:vAlign w:val="center"/>
          </w:tcPr>
          <w:p w14:paraId="4428AB6D">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A—60</w:t>
            </w:r>
          </w:p>
        </w:tc>
        <w:tc>
          <w:tcPr>
            <w:tcW w:w="703" w:type="dxa"/>
            <w:tcBorders>
              <w:top w:val="single" w:color="auto" w:sz="4" w:space="0"/>
              <w:left w:val="single" w:color="auto" w:sz="4" w:space="0"/>
              <w:bottom w:val="single" w:color="auto" w:sz="4" w:space="0"/>
              <w:right w:val="single" w:color="auto" w:sz="4" w:space="0"/>
            </w:tcBorders>
            <w:vAlign w:val="center"/>
          </w:tcPr>
          <w:p w14:paraId="1997806A">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05" w:type="dxa"/>
            <w:tcBorders>
              <w:top w:val="single" w:color="auto" w:sz="4" w:space="0"/>
              <w:left w:val="single" w:color="auto" w:sz="4" w:space="0"/>
              <w:bottom w:val="single" w:color="auto" w:sz="4" w:space="0"/>
              <w:right w:val="single" w:color="auto" w:sz="4" w:space="0"/>
            </w:tcBorders>
            <w:vAlign w:val="center"/>
          </w:tcPr>
          <w:p w14:paraId="10089251">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695" w:type="dxa"/>
            <w:tcBorders>
              <w:top w:val="single" w:color="auto" w:sz="4" w:space="0"/>
              <w:left w:val="single" w:color="auto" w:sz="4" w:space="0"/>
              <w:bottom w:val="single" w:color="auto" w:sz="4" w:space="0"/>
              <w:right w:val="single" w:color="auto" w:sz="4" w:space="0"/>
            </w:tcBorders>
            <w:vAlign w:val="center"/>
          </w:tcPr>
          <w:p w14:paraId="17B8E539">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892" w:type="dxa"/>
            <w:tcBorders>
              <w:top w:val="single" w:color="auto" w:sz="4" w:space="0"/>
              <w:left w:val="single" w:color="auto" w:sz="4" w:space="0"/>
              <w:bottom w:val="single" w:color="auto" w:sz="4" w:space="0"/>
              <w:right w:val="single" w:color="auto" w:sz="4" w:space="0"/>
            </w:tcBorders>
            <w:vAlign w:val="center"/>
          </w:tcPr>
          <w:p w14:paraId="0CD99741">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947" w:type="dxa"/>
            <w:tcBorders>
              <w:top w:val="single" w:color="auto" w:sz="4" w:space="0"/>
              <w:left w:val="single" w:color="auto" w:sz="4" w:space="0"/>
              <w:bottom w:val="single" w:color="auto" w:sz="4" w:space="0"/>
              <w:right w:val="single" w:color="auto" w:sz="4" w:space="0"/>
            </w:tcBorders>
            <w:vAlign w:val="center"/>
          </w:tcPr>
          <w:p w14:paraId="1BE6E4F1">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w:t>
            </w:r>
            <w:r>
              <w:rPr>
                <w:rFonts w:hint="eastAsia" w:ascii="宋体" w:hAnsi="宋体" w:cs="宋体"/>
                <w:color w:val="auto"/>
                <w:kern w:val="0"/>
                <w:sz w:val="13"/>
                <w:szCs w:val="13"/>
                <w:highlight w:val="none"/>
                <w:lang w:val="en-US" w:eastAsia="zh-CN"/>
              </w:rPr>
              <w:t>6</w:t>
            </w:r>
            <w:r>
              <w:rPr>
                <w:rFonts w:hint="eastAsia" w:ascii="宋体" w:hAnsi="宋体" w:cs="宋体"/>
                <w:color w:val="auto"/>
                <w:kern w:val="0"/>
                <w:sz w:val="13"/>
                <w:szCs w:val="13"/>
                <w:highlight w:val="none"/>
              </w:rPr>
              <w:t>0</w:t>
            </w:r>
          </w:p>
        </w:tc>
        <w:tc>
          <w:tcPr>
            <w:tcW w:w="964" w:type="dxa"/>
            <w:tcBorders>
              <w:top w:val="single" w:color="auto" w:sz="4" w:space="0"/>
              <w:left w:val="single" w:color="auto" w:sz="4" w:space="0"/>
              <w:bottom w:val="single" w:color="auto" w:sz="4" w:space="0"/>
              <w:right w:val="single" w:color="auto" w:sz="4" w:space="0"/>
            </w:tcBorders>
            <w:vAlign w:val="center"/>
          </w:tcPr>
          <w:p w14:paraId="7F4CED0C">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p>
        </w:tc>
        <w:tc>
          <w:tcPr>
            <w:tcW w:w="655" w:type="dxa"/>
            <w:tcBorders>
              <w:top w:val="single" w:color="auto" w:sz="4" w:space="0"/>
              <w:left w:val="single" w:color="auto" w:sz="4" w:space="0"/>
              <w:bottom w:val="single" w:color="auto" w:sz="4" w:space="0"/>
              <w:right w:val="single" w:color="auto" w:sz="4" w:space="0"/>
            </w:tcBorders>
            <w:vAlign w:val="center"/>
          </w:tcPr>
          <w:p w14:paraId="6A913241">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21" w:type="dxa"/>
            <w:tcBorders>
              <w:top w:val="single" w:color="auto" w:sz="4" w:space="0"/>
              <w:left w:val="single" w:color="auto" w:sz="4" w:space="0"/>
              <w:bottom w:val="single" w:color="auto" w:sz="4" w:space="0"/>
              <w:right w:val="single" w:color="auto" w:sz="4" w:space="0"/>
            </w:tcBorders>
            <w:vAlign w:val="center"/>
          </w:tcPr>
          <w:p w14:paraId="12F053A4">
            <w:pPr>
              <w:ind w:firstLine="260" w:firstLineChars="200"/>
              <w:rPr>
                <w:rFonts w:ascii="宋体" w:hAnsi="宋体" w:cs="宋体"/>
                <w:color w:val="auto"/>
                <w:kern w:val="0"/>
                <w:sz w:val="13"/>
                <w:szCs w:val="13"/>
                <w:highlight w:val="none"/>
              </w:rPr>
            </w:pPr>
            <w:r>
              <w:rPr>
                <w:rFonts w:hint="eastAsia" w:ascii="宋体" w:hAnsi="宋体" w:cs="宋体"/>
                <w:color w:val="auto"/>
                <w:kern w:val="0"/>
                <w:sz w:val="13"/>
                <w:szCs w:val="13"/>
                <w:highlight w:val="none"/>
              </w:rPr>
              <w:t>A—0</w:t>
            </w:r>
            <w:r>
              <w:rPr>
                <w:rFonts w:hint="eastAsia" w:ascii="宋体" w:hAnsi="宋体" w:cs="宋体"/>
                <w:color w:val="auto"/>
                <w:sz w:val="13"/>
                <w:szCs w:val="13"/>
                <w:highlight w:val="none"/>
                <w:vertAlign w:val="superscript"/>
              </w:rPr>
              <w:t>〔</w:t>
            </w:r>
            <w:r>
              <w:rPr>
                <w:rFonts w:hint="eastAsia" w:ascii="宋体" w:hAnsi="宋体" w:cs="宋体"/>
                <w:color w:val="auto"/>
                <w:sz w:val="13"/>
                <w:szCs w:val="13"/>
                <w:highlight w:val="none"/>
                <w:vertAlign w:val="superscript"/>
                <w:lang w:val="en-US" w:eastAsia="zh-CN"/>
              </w:rPr>
              <w:t>2</w:t>
            </w:r>
            <w:r>
              <w:rPr>
                <w:rFonts w:hint="eastAsia" w:ascii="宋体" w:hAnsi="宋体" w:cs="宋体"/>
                <w:color w:val="auto"/>
                <w:sz w:val="13"/>
                <w:szCs w:val="13"/>
                <w:highlight w:val="none"/>
                <w:vertAlign w:val="superscript"/>
              </w:rPr>
              <w:t>〕</w:t>
            </w:r>
          </w:p>
        </w:tc>
        <w:tc>
          <w:tcPr>
            <w:tcW w:w="708" w:type="dxa"/>
            <w:tcBorders>
              <w:top w:val="single" w:color="auto" w:sz="4" w:space="0"/>
              <w:left w:val="single" w:color="auto" w:sz="4" w:space="0"/>
              <w:bottom w:val="single" w:color="auto" w:sz="4" w:space="0"/>
              <w:right w:val="single" w:color="auto" w:sz="4" w:space="0"/>
            </w:tcBorders>
            <w:vAlign w:val="center"/>
          </w:tcPr>
          <w:p w14:paraId="30E480BD">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r>
      <w:tr w14:paraId="3E076A11">
        <w:tblPrEx>
          <w:tblCellMar>
            <w:top w:w="0" w:type="dxa"/>
            <w:left w:w="0" w:type="dxa"/>
            <w:bottom w:w="0" w:type="dxa"/>
            <w:right w:w="0" w:type="dxa"/>
          </w:tblCellMar>
        </w:tblPrEx>
        <w:trPr>
          <w:trHeight w:val="300" w:hRule="atLeast"/>
        </w:trPr>
        <w:tc>
          <w:tcPr>
            <w:tcW w:w="1004" w:type="dxa"/>
            <w:tcBorders>
              <w:top w:val="single" w:color="auto" w:sz="4" w:space="0"/>
              <w:left w:val="single" w:color="auto" w:sz="4" w:space="0"/>
              <w:bottom w:val="single" w:color="auto" w:sz="4" w:space="0"/>
              <w:right w:val="single" w:color="auto" w:sz="4" w:space="0"/>
            </w:tcBorders>
            <w:vAlign w:val="center"/>
          </w:tcPr>
          <w:p w14:paraId="31D8C758">
            <w:pPr>
              <w:pStyle w:val="522"/>
              <w:keepNext w:val="0"/>
              <w:keepLines w:val="0"/>
              <w:pageBreakBefore w:val="0"/>
              <w:widowControl/>
              <w:tabs>
                <w:tab w:val="right" w:leader="dot" w:pos="9354"/>
              </w:tabs>
              <w:kinsoku/>
              <w:wordWrap/>
              <w:overflowPunct/>
              <w:topLinePunct w:val="0"/>
              <w:autoSpaceDE/>
              <w:autoSpaceDN/>
              <w:bidi w:val="0"/>
              <w:adjustRightInd/>
              <w:snapToGrid/>
              <w:spacing w:line="240" w:lineRule="exact"/>
              <w:ind w:left="0" w:leftChars="0"/>
              <w:jc w:val="center"/>
              <w:textAlignment w:val="auto"/>
              <w:rPr>
                <w:rFonts w:ascii="宋体" w:hAnsi="宋体" w:cs="宋体"/>
                <w:color w:val="auto"/>
                <w:kern w:val="0"/>
                <w:sz w:val="13"/>
                <w:szCs w:val="13"/>
                <w:highlight w:val="none"/>
              </w:rPr>
            </w:pPr>
            <w:r>
              <w:rPr>
                <w:rFonts w:hint="eastAsia" w:ascii="宋体" w:hAnsi="宋体" w:cs="宋体"/>
                <w:color w:val="auto"/>
                <w:sz w:val="13"/>
                <w:szCs w:val="13"/>
                <w:highlight w:val="none"/>
              </w:rPr>
              <w:t>开敞甲板处所</w:t>
            </w:r>
            <w:r>
              <w:rPr>
                <w:rFonts w:hint="eastAsia" w:ascii="宋体" w:hAnsi="宋体" w:eastAsia="宋体" w:cs="宋体"/>
                <w:color w:val="auto"/>
                <w:sz w:val="21"/>
                <w:szCs w:val="13"/>
                <w:highlight w:val="none"/>
                <w:vertAlign w:val="superscript"/>
                <w:lang w:val="en-US" w:eastAsia="zh-CN"/>
              </w:rPr>
              <w:t>j</w:t>
            </w:r>
          </w:p>
        </w:tc>
        <w:tc>
          <w:tcPr>
            <w:tcW w:w="671" w:type="dxa"/>
            <w:tcBorders>
              <w:top w:val="single" w:color="auto" w:sz="4" w:space="0"/>
              <w:left w:val="single" w:color="auto" w:sz="4" w:space="0"/>
              <w:bottom w:val="single" w:color="auto" w:sz="4" w:space="0"/>
              <w:right w:val="single" w:color="auto" w:sz="4" w:space="0"/>
            </w:tcBorders>
            <w:vAlign w:val="center"/>
          </w:tcPr>
          <w:p w14:paraId="355DD570">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703" w:type="dxa"/>
            <w:tcBorders>
              <w:top w:val="single" w:color="auto" w:sz="4" w:space="0"/>
              <w:left w:val="single" w:color="auto" w:sz="4" w:space="0"/>
              <w:bottom w:val="single" w:color="auto" w:sz="4" w:space="0"/>
              <w:right w:val="single" w:color="auto" w:sz="4" w:space="0"/>
            </w:tcBorders>
            <w:vAlign w:val="center"/>
          </w:tcPr>
          <w:p w14:paraId="45ED20E7">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05" w:type="dxa"/>
            <w:tcBorders>
              <w:top w:val="single" w:color="auto" w:sz="4" w:space="0"/>
              <w:left w:val="single" w:color="auto" w:sz="4" w:space="0"/>
              <w:bottom w:val="single" w:color="auto" w:sz="4" w:space="0"/>
              <w:right w:val="single" w:color="auto" w:sz="4" w:space="0"/>
            </w:tcBorders>
            <w:vAlign w:val="center"/>
          </w:tcPr>
          <w:p w14:paraId="656B00E5">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695" w:type="dxa"/>
            <w:tcBorders>
              <w:top w:val="single" w:color="auto" w:sz="4" w:space="0"/>
              <w:left w:val="single" w:color="auto" w:sz="4" w:space="0"/>
              <w:bottom w:val="single" w:color="auto" w:sz="4" w:space="0"/>
              <w:right w:val="single" w:color="auto" w:sz="4" w:space="0"/>
            </w:tcBorders>
            <w:vAlign w:val="center"/>
          </w:tcPr>
          <w:p w14:paraId="4CFC7DDD">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92" w:type="dxa"/>
            <w:tcBorders>
              <w:top w:val="single" w:color="auto" w:sz="4" w:space="0"/>
              <w:left w:val="single" w:color="auto" w:sz="4" w:space="0"/>
              <w:bottom w:val="single" w:color="auto" w:sz="4" w:space="0"/>
              <w:right w:val="single" w:color="auto" w:sz="4" w:space="0"/>
            </w:tcBorders>
            <w:vAlign w:val="center"/>
          </w:tcPr>
          <w:p w14:paraId="3F7816F3">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947" w:type="dxa"/>
            <w:tcBorders>
              <w:top w:val="single" w:color="auto" w:sz="4" w:space="0"/>
              <w:left w:val="single" w:color="auto" w:sz="4" w:space="0"/>
              <w:bottom w:val="single" w:color="auto" w:sz="4" w:space="0"/>
              <w:right w:val="single" w:color="auto" w:sz="4" w:space="0"/>
            </w:tcBorders>
            <w:vAlign w:val="center"/>
          </w:tcPr>
          <w:p w14:paraId="49DD1285">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964" w:type="dxa"/>
            <w:tcBorders>
              <w:top w:val="single" w:color="auto" w:sz="4" w:space="0"/>
              <w:left w:val="single" w:color="auto" w:sz="4" w:space="0"/>
              <w:bottom w:val="single" w:color="auto" w:sz="4" w:space="0"/>
              <w:right w:val="single" w:color="auto" w:sz="4" w:space="0"/>
            </w:tcBorders>
            <w:vAlign w:val="center"/>
          </w:tcPr>
          <w:p w14:paraId="5049AABA">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655" w:type="dxa"/>
            <w:tcBorders>
              <w:top w:val="single" w:color="auto" w:sz="4" w:space="0"/>
              <w:left w:val="single" w:color="auto" w:sz="4" w:space="0"/>
              <w:bottom w:val="single" w:color="auto" w:sz="4" w:space="0"/>
              <w:right w:val="single" w:color="auto" w:sz="4" w:space="0"/>
            </w:tcBorders>
            <w:vAlign w:val="center"/>
          </w:tcPr>
          <w:p w14:paraId="714CE73A">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821" w:type="dxa"/>
            <w:tcBorders>
              <w:top w:val="single" w:color="auto" w:sz="4" w:space="0"/>
              <w:left w:val="single" w:color="auto" w:sz="4" w:space="0"/>
              <w:bottom w:val="single" w:color="auto" w:sz="4" w:space="0"/>
              <w:right w:val="single" w:color="auto" w:sz="4" w:space="0"/>
            </w:tcBorders>
            <w:vAlign w:val="center"/>
          </w:tcPr>
          <w:p w14:paraId="2B34F507">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c>
          <w:tcPr>
            <w:tcW w:w="708" w:type="dxa"/>
            <w:tcBorders>
              <w:top w:val="single" w:color="auto" w:sz="4" w:space="0"/>
              <w:left w:val="single" w:color="auto" w:sz="4" w:space="0"/>
              <w:bottom w:val="single" w:color="auto" w:sz="4" w:space="0"/>
              <w:right w:val="single" w:color="auto" w:sz="4" w:space="0"/>
            </w:tcBorders>
            <w:vAlign w:val="center"/>
          </w:tcPr>
          <w:p w14:paraId="3FC8EE64">
            <w:pPr>
              <w:keepNext w:val="0"/>
              <w:keepLines w:val="0"/>
              <w:pageBreakBefore w:val="0"/>
              <w:kinsoku/>
              <w:wordWrap/>
              <w:overflowPunct/>
              <w:topLinePunct w:val="0"/>
              <w:autoSpaceDE w:val="0"/>
              <w:autoSpaceDN w:val="0"/>
              <w:bidi w:val="0"/>
              <w:adjustRightInd w:val="0"/>
              <w:snapToGrid/>
              <w:jc w:val="center"/>
              <w:textAlignment w:val="auto"/>
              <w:rPr>
                <w:rFonts w:ascii="宋体" w:hAnsi="宋体" w:cs="宋体"/>
                <w:color w:val="auto"/>
                <w:kern w:val="0"/>
                <w:sz w:val="13"/>
                <w:szCs w:val="13"/>
                <w:highlight w:val="none"/>
              </w:rPr>
            </w:pPr>
            <w:r>
              <w:rPr>
                <w:rFonts w:hint="eastAsia" w:ascii="宋体" w:hAnsi="宋体" w:cs="宋体"/>
                <w:color w:val="auto"/>
                <w:kern w:val="0"/>
                <w:sz w:val="13"/>
                <w:szCs w:val="13"/>
                <w:highlight w:val="none"/>
              </w:rPr>
              <w:t>—</w:t>
            </w:r>
          </w:p>
        </w:tc>
      </w:tr>
      <w:tr w14:paraId="163A49DB">
        <w:tblPrEx>
          <w:tblCellMar>
            <w:top w:w="0" w:type="dxa"/>
            <w:left w:w="0" w:type="dxa"/>
            <w:bottom w:w="0" w:type="dxa"/>
            <w:right w:w="0" w:type="dxa"/>
          </w:tblCellMar>
        </w:tblPrEx>
        <w:trPr>
          <w:trHeight w:val="300" w:hRule="atLeast"/>
        </w:trPr>
        <w:tc>
          <w:tcPr>
            <w:tcW w:w="8865" w:type="dxa"/>
            <w:gridSpan w:val="11"/>
            <w:tcBorders>
              <w:top w:val="single" w:color="auto" w:sz="4" w:space="0"/>
              <w:left w:val="single" w:color="auto" w:sz="4" w:space="0"/>
              <w:bottom w:val="single" w:color="auto" w:sz="4" w:space="0"/>
              <w:right w:val="single" w:color="auto" w:sz="4" w:space="0"/>
            </w:tcBorders>
            <w:vAlign w:val="center"/>
          </w:tcPr>
          <w:p w14:paraId="2D9C6F1C">
            <w:pPr>
              <w:keepNext w:val="0"/>
              <w:keepLines w:val="0"/>
              <w:pageBreakBefore w:val="0"/>
              <w:kinsoku/>
              <w:wordWrap/>
              <w:overflowPunct/>
              <w:topLinePunct w:val="0"/>
              <w:bidi w:val="0"/>
              <w:snapToGrid/>
              <w:ind w:firstLine="130" w:firstLineChars="100"/>
              <w:textAlignment w:val="auto"/>
              <w:rPr>
                <w:rFonts w:hint="eastAsia" w:ascii="宋体" w:hAnsi="宋体" w:cs="宋体"/>
                <w:color w:val="auto"/>
                <w:kern w:val="0"/>
                <w:sz w:val="13"/>
                <w:szCs w:val="13"/>
                <w:highlight w:val="none"/>
              </w:rPr>
            </w:pPr>
            <w:r>
              <w:rPr>
                <w:rFonts w:ascii="黑体" w:hAnsi="黑体" w:eastAsia="黑体" w:cs="宋体"/>
                <w:color w:val="auto"/>
                <w:kern w:val="0"/>
                <w:sz w:val="13"/>
                <w:szCs w:val="13"/>
                <w:highlight w:val="none"/>
              </w:rPr>
              <w:t>注：</w:t>
            </w:r>
            <w:r>
              <w:rPr>
                <w:rFonts w:hint="eastAsia" w:ascii="宋体" w:hAnsi="宋体" w:cs="宋体"/>
                <w:color w:val="auto"/>
                <w:kern w:val="0"/>
                <w:sz w:val="13"/>
                <w:szCs w:val="13"/>
                <w:highlight w:val="none"/>
                <w:lang w:val="en-US" w:eastAsia="zh-CN"/>
              </w:rPr>
              <w:t>见A1的注释。</w:t>
            </w:r>
          </w:p>
        </w:tc>
      </w:tr>
    </w:tbl>
    <w:p w14:paraId="2105E16F">
      <w:pPr>
        <w:jc w:val="center"/>
        <w:rPr>
          <w:rFonts w:hint="eastAsia" w:ascii="黑体" w:hAnsi="黑体" w:eastAsia="黑体" w:cs="黑体"/>
          <w:color w:val="auto"/>
          <w:sz w:val="21"/>
          <w:highlight w:val="none"/>
          <w:lang w:val="en-US" w:eastAsia="zh-CN"/>
        </w:rPr>
      </w:pPr>
    </w:p>
    <w:p w14:paraId="730726BA">
      <w:pPr>
        <w:rPr>
          <w:color w:val="auto"/>
          <w:highlight w:val="none"/>
        </w:rPr>
      </w:pPr>
    </w:p>
    <w:p w14:paraId="61945838">
      <w:pPr>
        <w:pStyle w:val="326"/>
        <w:numPr>
          <w:ilvl w:val="2"/>
          <w:numId w:val="0"/>
        </w:numPr>
        <w:jc w:val="both"/>
        <w:rPr>
          <w:rFonts w:hint="default" w:ascii="Times New Roman" w:hAnsi="Times New Roman" w:cs="Times New Roman"/>
          <w:color w:val="auto"/>
          <w:highlight w:val="none"/>
        </w:rPr>
      </w:pPr>
    </w:p>
    <w:p w14:paraId="0E28E410">
      <w:pPr>
        <w:pStyle w:val="326"/>
        <w:numPr>
          <w:ilvl w:val="2"/>
          <w:numId w:val="0"/>
        </w:numPr>
        <w:rPr>
          <w:rFonts w:hint="default" w:ascii="Times New Roman" w:hAnsi="Times New Roman" w:cs="Times New Roman"/>
          <w:color w:val="auto"/>
          <w:highlight w:val="none"/>
        </w:rPr>
      </w:pPr>
    </w:p>
    <w:p w14:paraId="1AB9063A">
      <w:pPr>
        <w:pStyle w:val="326"/>
        <w:numPr>
          <w:ilvl w:val="2"/>
          <w:numId w:val="0"/>
        </w:numPr>
        <w:rPr>
          <w:rFonts w:hint="default" w:ascii="Times New Roman" w:hAnsi="Times New Roman" w:cs="Times New Roman"/>
          <w:color w:val="auto"/>
          <w:highlight w:val="none"/>
        </w:rPr>
      </w:pPr>
    </w:p>
    <w:p w14:paraId="03FA7DC9">
      <w:pPr>
        <w:pStyle w:val="326"/>
        <w:numPr>
          <w:ilvl w:val="2"/>
          <w:numId w:val="0"/>
        </w:numPr>
        <w:rPr>
          <w:rFonts w:hint="default" w:ascii="Times New Roman" w:hAnsi="Times New Roman" w:cs="Times New Roman"/>
          <w:color w:val="auto"/>
          <w:highlight w:val="none"/>
        </w:rPr>
      </w:pPr>
    </w:p>
    <w:p w14:paraId="1F93EE03">
      <w:pPr>
        <w:pStyle w:val="326"/>
        <w:numPr>
          <w:ilvl w:val="2"/>
          <w:numId w:val="0"/>
        </w:numPr>
        <w:rPr>
          <w:rFonts w:hint="default" w:ascii="Times New Roman" w:hAnsi="Times New Roman" w:cs="Times New Roman"/>
          <w:color w:val="auto"/>
          <w:highlight w:val="none"/>
        </w:rPr>
      </w:pPr>
    </w:p>
    <w:p w14:paraId="287C3DBD">
      <w:pPr>
        <w:pStyle w:val="326"/>
        <w:numPr>
          <w:ilvl w:val="2"/>
          <w:numId w:val="0"/>
        </w:numPr>
        <w:rPr>
          <w:rFonts w:hint="default" w:ascii="Times New Roman" w:hAnsi="Times New Roman" w:cs="Times New Roman"/>
          <w:color w:val="auto"/>
          <w:highlight w:val="none"/>
        </w:rPr>
      </w:pPr>
    </w:p>
    <w:p w14:paraId="261CB4C4">
      <w:pPr>
        <w:pStyle w:val="326"/>
        <w:numPr>
          <w:ilvl w:val="2"/>
          <w:numId w:val="0"/>
        </w:numPr>
        <w:rPr>
          <w:rFonts w:hint="default" w:ascii="Times New Roman" w:hAnsi="Times New Roman" w:cs="Times New Roman"/>
          <w:color w:val="auto"/>
          <w:highlight w:val="none"/>
        </w:rPr>
      </w:pPr>
    </w:p>
    <w:p w14:paraId="005910C0">
      <w:pPr>
        <w:pStyle w:val="326"/>
        <w:numPr>
          <w:ilvl w:val="2"/>
          <w:numId w:val="0"/>
        </w:numPr>
        <w:rPr>
          <w:rFonts w:hint="default" w:ascii="Times New Roman" w:hAnsi="Times New Roman" w:cs="Times New Roman"/>
          <w:color w:val="auto"/>
          <w:highlight w:val="none"/>
        </w:rPr>
      </w:pPr>
    </w:p>
    <w:p w14:paraId="72195727">
      <w:pPr>
        <w:pStyle w:val="326"/>
        <w:numPr>
          <w:ilvl w:val="2"/>
          <w:numId w:val="0"/>
        </w:numPr>
        <w:rPr>
          <w:rFonts w:hint="default" w:ascii="Times New Roman" w:hAnsi="Times New Roman" w:cs="Times New Roman"/>
          <w:color w:val="auto"/>
          <w:highlight w:val="none"/>
        </w:rPr>
      </w:pPr>
    </w:p>
    <w:p w14:paraId="0A0AE47A">
      <w:pPr>
        <w:pStyle w:val="326"/>
        <w:numPr>
          <w:ilvl w:val="2"/>
          <w:numId w:val="0"/>
        </w:numPr>
        <w:rPr>
          <w:rFonts w:hint="default" w:ascii="Times New Roman" w:hAnsi="Times New Roman" w:cs="Times New Roman"/>
          <w:color w:val="auto"/>
          <w:highlight w:val="none"/>
        </w:rPr>
      </w:pPr>
    </w:p>
    <w:p w14:paraId="45D0662C">
      <w:pPr>
        <w:pStyle w:val="326"/>
        <w:numPr>
          <w:ilvl w:val="2"/>
          <w:numId w:val="0"/>
        </w:numPr>
        <w:rPr>
          <w:rFonts w:hint="default" w:ascii="Times New Roman" w:hAnsi="Times New Roman" w:cs="Times New Roman"/>
          <w:color w:val="auto"/>
          <w:highlight w:val="none"/>
        </w:rPr>
      </w:pPr>
    </w:p>
    <w:p w14:paraId="087222AD">
      <w:pPr>
        <w:pStyle w:val="326"/>
        <w:numPr>
          <w:ilvl w:val="2"/>
          <w:numId w:val="0"/>
        </w:numPr>
        <w:rPr>
          <w:rFonts w:hint="default" w:ascii="Times New Roman" w:hAnsi="Times New Roman" w:cs="Times New Roman"/>
          <w:color w:val="auto"/>
          <w:highlight w:val="none"/>
        </w:rPr>
      </w:pPr>
    </w:p>
    <w:p w14:paraId="23DB7444">
      <w:pPr>
        <w:pStyle w:val="326"/>
        <w:numPr>
          <w:ilvl w:val="2"/>
          <w:numId w:val="0"/>
        </w:numPr>
        <w:rPr>
          <w:rFonts w:hint="default" w:ascii="Times New Roman" w:hAnsi="Times New Roman" w:cs="Times New Roman"/>
          <w:color w:val="auto"/>
          <w:highlight w:val="none"/>
        </w:rPr>
      </w:pPr>
    </w:p>
    <w:p w14:paraId="6269CA71">
      <w:pPr>
        <w:pStyle w:val="326"/>
        <w:numPr>
          <w:ilvl w:val="2"/>
          <w:numId w:val="0"/>
        </w:numPr>
        <w:rPr>
          <w:rFonts w:hint="default" w:ascii="Times New Roman" w:hAnsi="Times New Roman" w:cs="Times New Roman"/>
          <w:color w:val="auto"/>
          <w:highlight w:val="none"/>
        </w:rPr>
      </w:pPr>
    </w:p>
    <w:p w14:paraId="262A071C">
      <w:pPr>
        <w:pStyle w:val="326"/>
        <w:numPr>
          <w:ilvl w:val="2"/>
          <w:numId w:val="0"/>
        </w:numPr>
        <w:rPr>
          <w:rFonts w:hint="default" w:ascii="Times New Roman" w:hAnsi="Times New Roman" w:cs="Times New Roman"/>
          <w:color w:val="auto"/>
          <w:highlight w:val="none"/>
        </w:rPr>
      </w:pPr>
    </w:p>
    <w:p w14:paraId="071C5B0F">
      <w:pPr>
        <w:pStyle w:val="326"/>
        <w:numPr>
          <w:ilvl w:val="2"/>
          <w:numId w:val="0"/>
        </w:numPr>
        <w:rPr>
          <w:rFonts w:hint="default" w:ascii="Times New Roman" w:hAnsi="Times New Roman" w:cs="Times New Roman"/>
          <w:color w:val="auto"/>
          <w:highlight w:val="none"/>
        </w:rPr>
      </w:pPr>
    </w:p>
    <w:p w14:paraId="2D136C68">
      <w:pPr>
        <w:pStyle w:val="326"/>
        <w:numPr>
          <w:ilvl w:val="2"/>
          <w:numId w:val="0"/>
        </w:numPr>
        <w:rPr>
          <w:rFonts w:hint="default" w:ascii="Times New Roman" w:hAnsi="Times New Roman" w:cs="Times New Roman"/>
          <w:color w:val="auto"/>
          <w:highlight w:val="none"/>
        </w:rPr>
      </w:pPr>
    </w:p>
    <w:p w14:paraId="56818C14">
      <w:pPr>
        <w:pStyle w:val="326"/>
        <w:numPr>
          <w:ilvl w:val="2"/>
          <w:numId w:val="0"/>
        </w:numPr>
        <w:rPr>
          <w:rFonts w:hint="default" w:ascii="Times New Roman" w:hAnsi="Times New Roman" w:cs="Times New Roman"/>
          <w:color w:val="auto"/>
          <w:highlight w:val="none"/>
        </w:rPr>
      </w:pPr>
    </w:p>
    <w:p w14:paraId="48460362">
      <w:pPr>
        <w:pStyle w:val="326"/>
        <w:numPr>
          <w:ilvl w:val="2"/>
          <w:numId w:val="0"/>
        </w:numPr>
        <w:rPr>
          <w:rFonts w:hint="default" w:ascii="Times New Roman" w:hAnsi="Times New Roman" w:cs="Times New Roman"/>
          <w:color w:val="auto"/>
          <w:highlight w:val="none"/>
        </w:rPr>
      </w:pPr>
    </w:p>
    <w:p w14:paraId="06F4A502">
      <w:pPr>
        <w:pStyle w:val="326"/>
        <w:numPr>
          <w:ilvl w:val="2"/>
          <w:numId w:val="0"/>
        </w:numPr>
        <w:rPr>
          <w:rFonts w:hint="default" w:ascii="Times New Roman" w:hAnsi="Times New Roman" w:cs="Times New Roman"/>
          <w:color w:val="auto"/>
          <w:highlight w:val="none"/>
        </w:rPr>
      </w:pPr>
    </w:p>
    <w:p w14:paraId="581DD886">
      <w:pPr>
        <w:pStyle w:val="326"/>
        <w:numPr>
          <w:ilvl w:val="2"/>
          <w:numId w:val="0"/>
        </w:numPr>
        <w:rPr>
          <w:rFonts w:hint="default" w:ascii="Times New Roman" w:hAnsi="Times New Roman" w:cs="Times New Roman"/>
          <w:color w:val="auto"/>
          <w:highlight w:val="none"/>
        </w:rPr>
      </w:pPr>
    </w:p>
    <w:p w14:paraId="42961CD1">
      <w:pPr>
        <w:pStyle w:val="257"/>
        <w:numPr>
          <w:ilvl w:val="255"/>
          <w:numId w:val="0"/>
        </w:numPr>
        <w:ind w:firstLine="420" w:firstLineChars="200"/>
        <w:rPr>
          <w:color w:val="auto"/>
          <w:highlight w:val="none"/>
        </w:rPr>
      </w:pPr>
      <w:bookmarkStart w:id="2253" w:name="_Toc20929"/>
      <w:bookmarkStart w:id="2254" w:name="_Toc577"/>
      <w:bookmarkStart w:id="2255" w:name="_Toc17818"/>
      <w:bookmarkStart w:id="2256" w:name="_Toc17025"/>
      <w:bookmarkStart w:id="2257" w:name="_Toc26252"/>
      <w:bookmarkStart w:id="2258" w:name="_Toc8167"/>
      <w:bookmarkStart w:id="2259" w:name="_Toc2082"/>
      <w:bookmarkStart w:id="2260" w:name="_Toc9156"/>
      <w:bookmarkStart w:id="2261" w:name="_Toc21362"/>
      <w:bookmarkStart w:id="2262" w:name="_Toc29522"/>
      <w:r>
        <w:rPr>
          <w:rFonts w:hint="eastAsia"/>
          <w:color w:val="auto"/>
          <w:highlight w:val="none"/>
        </w:rPr>
        <w:t>参  考  文  献</w:t>
      </w:r>
      <w:bookmarkEnd w:id="2253"/>
      <w:bookmarkEnd w:id="2254"/>
      <w:bookmarkEnd w:id="2255"/>
      <w:bookmarkEnd w:id="2256"/>
      <w:bookmarkEnd w:id="2257"/>
      <w:bookmarkEnd w:id="2258"/>
      <w:bookmarkEnd w:id="2259"/>
      <w:bookmarkEnd w:id="2260"/>
      <w:bookmarkEnd w:id="2261"/>
      <w:bookmarkEnd w:id="2262"/>
    </w:p>
    <w:p w14:paraId="68D7FAB6">
      <w:pPr>
        <w:pStyle w:val="258"/>
        <w:numPr>
          <w:ilvl w:val="0"/>
          <w:numId w:val="120"/>
        </w:numPr>
        <w:autoSpaceDE w:val="0"/>
        <w:autoSpaceDN w:val="0"/>
        <w:ind w:firstLine="420"/>
        <w:rPr>
          <w:rFonts w:ascii="宋体" w:hAnsi="宋体" w:cs="宋体"/>
          <w:color w:val="auto"/>
          <w:highlight w:val="none"/>
        </w:rPr>
      </w:pPr>
      <w:r>
        <w:rPr>
          <w:rFonts w:hint="eastAsia" w:ascii="宋体" w:hAnsi="宋体" w:cs="宋体"/>
          <w:color w:val="auto"/>
          <w:highlight w:val="none"/>
        </w:rPr>
        <w:t>GB/T 156 标准电压</w:t>
      </w:r>
    </w:p>
    <w:p w14:paraId="55E7C1E3">
      <w:pPr>
        <w:pStyle w:val="258"/>
        <w:numPr>
          <w:ilvl w:val="0"/>
          <w:numId w:val="120"/>
        </w:numPr>
        <w:autoSpaceDE w:val="0"/>
        <w:autoSpaceDN w:val="0"/>
        <w:ind w:firstLine="420"/>
        <w:rPr>
          <w:color w:val="auto"/>
          <w:highlight w:val="none"/>
        </w:rPr>
      </w:pPr>
      <w:r>
        <w:rPr>
          <w:rFonts w:hint="eastAsia"/>
          <w:color w:val="auto"/>
          <w:highlight w:val="none"/>
        </w:rPr>
        <w:t>GB/T 14090</w:t>
      </w:r>
      <w:r>
        <w:rPr>
          <w:rFonts w:hint="eastAsia"/>
          <w:color w:val="auto"/>
          <w:highlight w:val="none"/>
          <w:lang w:val="en-US" w:eastAsia="zh-CN"/>
        </w:rPr>
        <w:t xml:space="preserve"> </w:t>
      </w:r>
      <w:r>
        <w:rPr>
          <w:rFonts w:hint="eastAsia"/>
          <w:color w:val="auto"/>
          <w:highlight w:val="none"/>
        </w:rPr>
        <w:t>海上油气开发工程术语</w:t>
      </w:r>
    </w:p>
    <w:p w14:paraId="657A9826">
      <w:pPr>
        <w:pStyle w:val="258"/>
        <w:numPr>
          <w:ilvl w:val="0"/>
          <w:numId w:val="120"/>
        </w:numPr>
        <w:autoSpaceDE w:val="0"/>
        <w:autoSpaceDN w:val="0"/>
        <w:ind w:firstLine="420"/>
        <w:rPr>
          <w:color w:val="auto"/>
          <w:highlight w:val="none"/>
        </w:rPr>
      </w:pPr>
      <w:r>
        <w:rPr>
          <w:rFonts w:hint="eastAsia"/>
          <w:color w:val="auto"/>
          <w:highlight w:val="none"/>
        </w:rPr>
        <w:t>GB/T 11651</w:t>
      </w:r>
      <w:r>
        <w:rPr>
          <w:rFonts w:hint="eastAsia"/>
          <w:color w:val="auto"/>
          <w:highlight w:val="none"/>
          <w:lang w:val="en-US" w:eastAsia="zh-CN"/>
        </w:rPr>
        <w:t xml:space="preserve"> </w:t>
      </w:r>
      <w:r>
        <w:rPr>
          <w:rFonts w:hint="eastAsia"/>
          <w:color w:val="auto"/>
          <w:highlight w:val="none"/>
        </w:rPr>
        <w:t>个体防护装备选用规范</w:t>
      </w:r>
    </w:p>
    <w:p w14:paraId="223B1F51">
      <w:pPr>
        <w:pStyle w:val="258"/>
        <w:numPr>
          <w:ilvl w:val="0"/>
          <w:numId w:val="120"/>
        </w:numPr>
        <w:autoSpaceDE w:val="0"/>
        <w:autoSpaceDN w:val="0"/>
        <w:ind w:firstLine="420"/>
        <w:rPr>
          <w:color w:val="auto"/>
          <w:highlight w:val="none"/>
        </w:rPr>
      </w:pPr>
      <w:r>
        <w:rPr>
          <w:rFonts w:hint="eastAsia"/>
          <w:color w:val="auto"/>
          <w:highlight w:val="none"/>
        </w:rPr>
        <w:t>GB/T 20132  船舶和海上技术 客船低位照明布置</w:t>
      </w:r>
    </w:p>
    <w:p w14:paraId="066C3804">
      <w:pPr>
        <w:pStyle w:val="258"/>
        <w:numPr>
          <w:ilvl w:val="0"/>
          <w:numId w:val="120"/>
        </w:numPr>
        <w:autoSpaceDE w:val="0"/>
        <w:autoSpaceDN w:val="0"/>
        <w:ind w:firstLine="420"/>
        <w:rPr>
          <w:rFonts w:hint="eastAsia" w:ascii="宋体" w:hAnsi="宋体" w:eastAsia="宋体" w:cs="宋体"/>
          <w:color w:val="auto"/>
          <w:highlight w:val="none"/>
        </w:rPr>
      </w:pPr>
      <w:r>
        <w:rPr>
          <w:rFonts w:hint="eastAsia"/>
          <w:color w:val="auto"/>
          <w:highlight w:val="none"/>
        </w:rPr>
        <w:t>GB/T 20660  石油天然气工业 海上生产设施的火灾、爆炸控制、削减措施要求和指南</w:t>
      </w:r>
    </w:p>
    <w:p w14:paraId="2ECA9EFC">
      <w:pPr>
        <w:pStyle w:val="258"/>
        <w:numPr>
          <w:ilvl w:val="0"/>
          <w:numId w:val="120"/>
        </w:numPr>
        <w:autoSpaceDE w:val="0"/>
        <w:autoSpaceDN w:val="0"/>
        <w:ind w:firstLine="420"/>
        <w:rPr>
          <w:color w:val="auto"/>
          <w:highlight w:val="none"/>
        </w:rPr>
      </w:pPr>
      <w:r>
        <w:rPr>
          <w:rFonts w:hint="eastAsia"/>
          <w:color w:val="auto"/>
          <w:highlight w:val="none"/>
          <w:lang w:val="en-US" w:eastAsia="zh-CN"/>
        </w:rPr>
        <w:t>G</w:t>
      </w:r>
      <w:r>
        <w:rPr>
          <w:rFonts w:hint="default" w:ascii="宋体" w:hAnsi="宋体" w:cs="宋体"/>
          <w:color w:val="auto"/>
          <w:highlight w:val="none"/>
          <w:lang w:val="en-US" w:eastAsia="zh-CN"/>
        </w:rPr>
        <w:t>B/T 42034</w:t>
      </w:r>
      <w:r>
        <w:rPr>
          <w:rFonts w:hint="eastAsia" w:ascii="宋体" w:hAnsi="宋体" w:cs="宋体"/>
          <w:color w:val="auto"/>
          <w:highlight w:val="none"/>
          <w:lang w:val="en-US" w:eastAsia="zh-CN"/>
        </w:rPr>
        <w:t xml:space="preserve">  </w:t>
      </w:r>
      <w:r>
        <w:rPr>
          <w:rFonts w:hint="eastAsia" w:hAnsi="宋体" w:cs="宋体"/>
          <w:color w:val="auto"/>
          <w:highlight w:val="none"/>
          <w:lang w:val="en-US" w:eastAsia="zh-CN"/>
        </w:rPr>
        <w:t>浮式生产储油装置</w:t>
      </w:r>
      <w:r>
        <w:rPr>
          <w:rFonts w:hint="eastAsia" w:ascii="宋体" w:hAnsi="宋体" w:cs="宋体"/>
          <w:color w:val="auto"/>
          <w:highlight w:val="none"/>
          <w:lang w:val="en-US" w:eastAsia="zh-CN"/>
        </w:rPr>
        <w:t>总体设计规范</w:t>
      </w:r>
    </w:p>
    <w:p w14:paraId="167912D6">
      <w:pPr>
        <w:pStyle w:val="258"/>
        <w:numPr>
          <w:ilvl w:val="0"/>
          <w:numId w:val="120"/>
        </w:numPr>
        <w:autoSpaceDE w:val="0"/>
        <w:autoSpaceDN w:val="0"/>
        <w:ind w:firstLine="420"/>
        <w:rPr>
          <w:color w:val="auto"/>
          <w:highlight w:val="none"/>
        </w:rPr>
      </w:pPr>
      <w:r>
        <w:rPr>
          <w:rFonts w:hint="eastAsia"/>
          <w:color w:val="auto"/>
          <w:highlight w:val="none"/>
        </w:rPr>
        <w:t>GB 50052 供配电系统设计规范</w:t>
      </w:r>
    </w:p>
    <w:p w14:paraId="275E35DB">
      <w:pPr>
        <w:pStyle w:val="258"/>
        <w:numPr>
          <w:ilvl w:val="0"/>
          <w:numId w:val="120"/>
        </w:numPr>
        <w:autoSpaceDE w:val="0"/>
        <w:autoSpaceDN w:val="0"/>
        <w:ind w:firstLine="420"/>
        <w:rPr>
          <w:color w:val="auto"/>
          <w:highlight w:val="none"/>
        </w:rPr>
      </w:pPr>
      <w:r>
        <w:rPr>
          <w:rFonts w:hint="eastAsia"/>
          <w:color w:val="auto"/>
          <w:highlight w:val="none"/>
        </w:rPr>
        <w:t>GB 50140</w:t>
      </w:r>
      <w:r>
        <w:rPr>
          <w:rFonts w:hint="eastAsia"/>
          <w:color w:val="auto"/>
          <w:highlight w:val="none"/>
          <w:lang w:val="en-US" w:eastAsia="zh-CN"/>
        </w:rPr>
        <w:t xml:space="preserve"> </w:t>
      </w:r>
      <w:r>
        <w:rPr>
          <w:rFonts w:hint="eastAsia"/>
          <w:color w:val="auto"/>
          <w:highlight w:val="none"/>
        </w:rPr>
        <w:t>建筑灭火器配置设计规范</w:t>
      </w:r>
    </w:p>
    <w:p w14:paraId="6C846F83">
      <w:pPr>
        <w:pStyle w:val="258"/>
        <w:numPr>
          <w:ilvl w:val="0"/>
          <w:numId w:val="120"/>
        </w:numPr>
        <w:autoSpaceDE w:val="0"/>
        <w:autoSpaceDN w:val="0"/>
        <w:ind w:firstLine="420"/>
        <w:rPr>
          <w:color w:val="auto"/>
          <w:highlight w:val="none"/>
        </w:rPr>
      </w:pPr>
      <w:r>
        <w:rPr>
          <w:rFonts w:hint="eastAsia"/>
          <w:color w:val="auto"/>
          <w:highlight w:val="none"/>
        </w:rPr>
        <w:t>GB 50151 泡沫灭火系统技术标准</w:t>
      </w:r>
    </w:p>
    <w:p w14:paraId="6FCF4B22">
      <w:pPr>
        <w:pStyle w:val="258"/>
        <w:numPr>
          <w:ilvl w:val="0"/>
          <w:numId w:val="120"/>
        </w:numPr>
        <w:autoSpaceDE w:val="0"/>
        <w:autoSpaceDN w:val="0"/>
        <w:ind w:firstLine="420"/>
        <w:rPr>
          <w:color w:val="auto"/>
          <w:highlight w:val="none"/>
        </w:rPr>
      </w:pPr>
      <w:r>
        <w:rPr>
          <w:rFonts w:hint="eastAsia"/>
          <w:color w:val="auto"/>
          <w:highlight w:val="none"/>
        </w:rPr>
        <w:t>GB 50219 水喷雾灭火系统技术规范</w:t>
      </w:r>
    </w:p>
    <w:p w14:paraId="1AEE4B86">
      <w:pPr>
        <w:pStyle w:val="258"/>
        <w:numPr>
          <w:ilvl w:val="0"/>
          <w:numId w:val="120"/>
        </w:numPr>
        <w:autoSpaceDE w:val="0"/>
        <w:autoSpaceDN w:val="0"/>
        <w:ind w:firstLine="420"/>
        <w:rPr>
          <w:color w:val="auto"/>
          <w:highlight w:val="none"/>
        </w:rPr>
      </w:pPr>
      <w:r>
        <w:rPr>
          <w:rFonts w:hint="eastAsia"/>
          <w:color w:val="auto"/>
          <w:highlight w:val="none"/>
        </w:rPr>
        <w:t>GB 50370</w:t>
      </w:r>
      <w:r>
        <w:rPr>
          <w:rFonts w:hint="eastAsia"/>
          <w:color w:val="auto"/>
          <w:highlight w:val="none"/>
          <w:lang w:val="en-US" w:eastAsia="zh-CN"/>
        </w:rPr>
        <w:t xml:space="preserve"> </w:t>
      </w:r>
      <w:r>
        <w:rPr>
          <w:rFonts w:hint="eastAsia"/>
          <w:color w:val="auto"/>
          <w:highlight w:val="none"/>
        </w:rPr>
        <w:t>气体灭火系统设计规范</w:t>
      </w:r>
    </w:p>
    <w:p w14:paraId="41034E69">
      <w:pPr>
        <w:pStyle w:val="258"/>
        <w:numPr>
          <w:ilvl w:val="0"/>
          <w:numId w:val="120"/>
        </w:numPr>
        <w:autoSpaceDE w:val="0"/>
        <w:autoSpaceDN w:val="0"/>
        <w:ind w:firstLine="420"/>
        <w:rPr>
          <w:color w:val="auto"/>
          <w:highlight w:val="none"/>
        </w:rPr>
      </w:pPr>
      <w:r>
        <w:rPr>
          <w:rFonts w:hint="eastAsia"/>
          <w:color w:val="auto"/>
          <w:highlight w:val="none"/>
        </w:rPr>
        <w:t>GB 50898</w:t>
      </w:r>
      <w:r>
        <w:rPr>
          <w:rFonts w:hint="eastAsia"/>
          <w:color w:val="auto"/>
          <w:highlight w:val="none"/>
          <w:lang w:val="en-US" w:eastAsia="zh-CN"/>
        </w:rPr>
        <w:t xml:space="preserve"> </w:t>
      </w:r>
      <w:r>
        <w:rPr>
          <w:rFonts w:hint="eastAsia"/>
          <w:color w:val="auto"/>
          <w:highlight w:val="none"/>
        </w:rPr>
        <w:t>细水雾灭火系统技术规范</w:t>
      </w:r>
    </w:p>
    <w:p w14:paraId="0504F1FD">
      <w:pPr>
        <w:pStyle w:val="258"/>
        <w:numPr>
          <w:ilvl w:val="0"/>
          <w:numId w:val="120"/>
        </w:numPr>
        <w:autoSpaceDE w:val="0"/>
        <w:autoSpaceDN w:val="0"/>
        <w:ind w:firstLine="420"/>
        <w:rPr>
          <w:color w:val="auto"/>
          <w:highlight w:val="none"/>
        </w:rPr>
      </w:pPr>
      <w:r>
        <w:rPr>
          <w:rFonts w:hint="eastAsia"/>
          <w:color w:val="auto"/>
          <w:highlight w:val="none"/>
        </w:rPr>
        <w:t>GB 50974</w:t>
      </w:r>
      <w:r>
        <w:rPr>
          <w:rFonts w:hint="eastAsia"/>
          <w:color w:val="auto"/>
          <w:highlight w:val="none"/>
          <w:lang w:val="en-US" w:eastAsia="zh-CN"/>
        </w:rPr>
        <w:t xml:space="preserve"> </w:t>
      </w:r>
      <w:r>
        <w:rPr>
          <w:rFonts w:hint="eastAsia"/>
          <w:color w:val="auto"/>
          <w:highlight w:val="none"/>
        </w:rPr>
        <w:t>消防给水及消火栓系统技术规范</w:t>
      </w:r>
    </w:p>
    <w:p w14:paraId="1CC1BC38">
      <w:pPr>
        <w:pStyle w:val="258"/>
        <w:numPr>
          <w:ilvl w:val="0"/>
          <w:numId w:val="120"/>
        </w:numPr>
        <w:autoSpaceDE w:val="0"/>
        <w:autoSpaceDN w:val="0"/>
        <w:ind w:firstLine="420"/>
        <w:rPr>
          <w:color w:val="auto"/>
          <w:highlight w:val="none"/>
        </w:rPr>
      </w:pPr>
      <w:r>
        <w:rPr>
          <w:rFonts w:hint="eastAsia"/>
          <w:color w:val="auto"/>
          <w:highlight w:val="none"/>
        </w:rPr>
        <w:t>SY/T 6277</w:t>
      </w:r>
      <w:r>
        <w:rPr>
          <w:rFonts w:hint="eastAsia"/>
          <w:color w:val="auto"/>
          <w:highlight w:val="none"/>
          <w:lang w:val="en-US" w:eastAsia="zh-CN"/>
        </w:rPr>
        <w:t xml:space="preserve"> </w:t>
      </w:r>
      <w:r>
        <w:rPr>
          <w:rFonts w:hint="eastAsia"/>
          <w:color w:val="auto"/>
          <w:highlight w:val="none"/>
        </w:rPr>
        <w:t>硫化氢环境人身防护规范</w:t>
      </w:r>
    </w:p>
    <w:p w14:paraId="765F65CC">
      <w:pPr>
        <w:pStyle w:val="258"/>
        <w:numPr>
          <w:ilvl w:val="0"/>
          <w:numId w:val="120"/>
        </w:numPr>
        <w:autoSpaceDE w:val="0"/>
        <w:autoSpaceDN w:val="0"/>
        <w:ind w:firstLine="420"/>
        <w:rPr>
          <w:color w:val="auto"/>
          <w:highlight w:val="none"/>
        </w:rPr>
      </w:pPr>
      <w:r>
        <w:rPr>
          <w:rFonts w:hint="eastAsia" w:ascii="宋体" w:eastAsia="宋体"/>
          <w:color w:val="auto"/>
          <w:highlight w:val="none"/>
        </w:rPr>
        <w:t>SY/T 6671</w:t>
      </w:r>
      <w:r>
        <w:rPr>
          <w:rFonts w:hint="eastAsia"/>
          <w:color w:val="auto"/>
          <w:highlight w:val="none"/>
          <w:lang w:val="en-US" w:eastAsia="zh-CN"/>
        </w:rPr>
        <w:t xml:space="preserve"> </w:t>
      </w:r>
      <w:r>
        <w:rPr>
          <w:rFonts w:hint="default" w:ascii="宋体" w:eastAsia="宋体"/>
          <w:color w:val="auto"/>
          <w:highlight w:val="none"/>
        </w:rPr>
        <w:t>石油设施电气设备场所</w:t>
      </w:r>
      <w:r>
        <w:rPr>
          <w:rFonts w:hint="eastAsia" w:ascii="宋体" w:hAnsi="宋体" w:eastAsia="宋体" w:cs="宋体"/>
          <w:color w:val="auto"/>
          <w:highlight w:val="none"/>
        </w:rPr>
        <w:t>Ⅰ</w:t>
      </w:r>
      <w:r>
        <w:rPr>
          <w:rFonts w:hint="default" w:ascii="宋体" w:eastAsia="宋体"/>
          <w:color w:val="auto"/>
          <w:highlight w:val="none"/>
        </w:rPr>
        <w:t>级0区、1区和2区的分类推荐作法</w:t>
      </w:r>
    </w:p>
    <w:p w14:paraId="5EC0EC4A">
      <w:pPr>
        <w:pStyle w:val="258"/>
        <w:numPr>
          <w:ilvl w:val="0"/>
          <w:numId w:val="120"/>
        </w:numPr>
        <w:autoSpaceDE w:val="0"/>
        <w:autoSpaceDN w:val="0"/>
        <w:ind w:firstLine="420"/>
        <w:rPr>
          <w:color w:val="auto"/>
          <w:highlight w:val="none"/>
        </w:rPr>
      </w:pPr>
      <w:r>
        <w:rPr>
          <w:rFonts w:hint="eastAsia"/>
          <w:color w:val="auto"/>
          <w:highlight w:val="none"/>
        </w:rPr>
        <w:t xml:space="preserve">AQ 3009 </w:t>
      </w:r>
      <w:r>
        <w:rPr>
          <w:rFonts w:hint="eastAsia"/>
          <w:color w:val="auto"/>
          <w:highlight w:val="none"/>
          <w:lang w:eastAsia="zh-CN"/>
        </w:rPr>
        <w:t>危险</w:t>
      </w:r>
      <w:r>
        <w:rPr>
          <w:rFonts w:hint="eastAsia"/>
          <w:color w:val="auto"/>
          <w:highlight w:val="none"/>
          <w:lang w:val="en-US" w:eastAsia="zh-CN"/>
        </w:rPr>
        <w:t>场</w:t>
      </w:r>
      <w:r>
        <w:rPr>
          <w:rFonts w:hint="eastAsia"/>
          <w:color w:val="auto"/>
          <w:highlight w:val="none"/>
          <w:lang w:eastAsia="zh-CN"/>
        </w:rPr>
        <w:t>所</w:t>
      </w:r>
      <w:r>
        <w:rPr>
          <w:rFonts w:hint="eastAsia"/>
          <w:color w:val="auto"/>
          <w:highlight w:val="none"/>
        </w:rPr>
        <w:t>电气防爆安全规范</w:t>
      </w:r>
    </w:p>
    <w:p w14:paraId="59F7FB2F">
      <w:pPr>
        <w:pStyle w:val="326"/>
        <w:numPr>
          <w:ilvl w:val="2"/>
          <w:numId w:val="0"/>
        </w:numPr>
        <w:rPr>
          <w:rFonts w:hint="default" w:ascii="Times New Roman" w:hAnsi="Times New Roman" w:eastAsia="宋体" w:cs="Times New Roman"/>
          <w:color w:val="auto"/>
          <w:highlight w:val="none"/>
        </w:rPr>
      </w:pPr>
    </w:p>
    <w:p w14:paraId="645FB4D3">
      <w:pPr>
        <w:pStyle w:val="326"/>
        <w:numPr>
          <w:ilvl w:val="2"/>
          <w:numId w:val="0"/>
        </w:numPr>
        <w:rPr>
          <w:rFonts w:hint="default" w:ascii="Times New Roman" w:hAnsi="Times New Roman" w:eastAsia="宋体" w:cs="Times New Roman"/>
          <w:color w:val="auto"/>
          <w:highlight w:val="none"/>
        </w:rPr>
      </w:pPr>
    </w:p>
    <w:p w14:paraId="636C268B">
      <w:pPr>
        <w:pStyle w:val="326"/>
        <w:numPr>
          <w:ilvl w:val="2"/>
          <w:numId w:val="0"/>
        </w:numPr>
        <w:rPr>
          <w:rFonts w:hint="default" w:ascii="Times New Roman" w:hAnsi="Times New Roman" w:eastAsia="宋体" w:cs="Times New Roman"/>
          <w:color w:val="auto"/>
          <w:highlight w:val="none"/>
        </w:rPr>
      </w:pPr>
    </w:p>
    <w:p w14:paraId="2339F92B">
      <w:pPr>
        <w:pStyle w:val="326"/>
        <w:numPr>
          <w:ilvl w:val="2"/>
          <w:numId w:val="0"/>
        </w:numPr>
        <w:jc w:val="center"/>
        <w:rPr>
          <w:rFonts w:hint="default" w:ascii="Times New Roman" w:hAnsi="Times New Roman" w:cs="Times New Roman"/>
          <w:color w:val="auto"/>
          <w:highlight w:val="none"/>
        </w:rPr>
      </w:pPr>
      <w:bookmarkStart w:id="2263" w:name="BookMark8"/>
      <w:r>
        <w:rPr>
          <w:color w:val="auto"/>
          <w:highlight w:val="none"/>
        </w:rPr>
        <w:drawing>
          <wp:inline distT="0" distB="0" distL="0" distR="0">
            <wp:extent cx="1485900" cy="317500"/>
            <wp:effectExtent l="0" t="0" r="6350" b="0"/>
            <wp:docPr id="2" name="图片 2"/>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263"/>
    </w:p>
    <w:p w14:paraId="1E402A94">
      <w:pPr>
        <w:pStyle w:val="326"/>
        <w:numPr>
          <w:ilvl w:val="2"/>
          <w:numId w:val="0"/>
        </w:numPr>
        <w:rPr>
          <w:rFonts w:hint="default" w:ascii="Times New Roman" w:hAnsi="Times New Roman" w:eastAsia="宋体" w:cs="Times New Roman"/>
          <w:color w:val="auto"/>
          <w:highlight w:val="none"/>
        </w:rPr>
      </w:pPr>
    </w:p>
    <w:p w14:paraId="6B20886C">
      <w:pPr>
        <w:pStyle w:val="326"/>
        <w:numPr>
          <w:ilvl w:val="2"/>
          <w:numId w:val="0"/>
        </w:numPr>
        <w:rPr>
          <w:rFonts w:hint="default" w:ascii="Times New Roman" w:hAnsi="Times New Roman" w:eastAsia="宋体" w:cs="Times New Roman"/>
          <w:color w:val="auto"/>
          <w:highlight w:val="none"/>
        </w:rPr>
        <w:sectPr>
          <w:footerReference r:id="rId16" w:type="default"/>
          <w:footerReference r:id="rId17" w:type="even"/>
          <w:pgSz w:w="11907" w:h="16839"/>
          <w:pgMar w:top="1928" w:right="1134" w:bottom="1134" w:left="1418" w:header="1418" w:footer="1134" w:gutter="0"/>
          <w:pgBorders>
            <w:top w:val="none" w:sz="0" w:space="0"/>
            <w:left w:val="none" w:sz="0" w:space="0"/>
            <w:bottom w:val="none" w:sz="0" w:space="0"/>
            <w:right w:val="none" w:sz="0" w:space="0"/>
          </w:pgBorders>
          <w:lnNumType w:countBy="0" w:restart="continuous"/>
          <w:pgNumType w:start="1"/>
          <w:cols w:space="425" w:num="1"/>
          <w:rtlGutter w:val="0"/>
          <w:docGrid w:type="lines" w:linePitch="312" w:charSpace="0"/>
        </w:sectPr>
      </w:pPr>
    </w:p>
    <w:p w14:paraId="1F10CE92">
      <w:pPr>
        <w:pageBreakBefore w:val="0"/>
        <w:widowControl/>
        <w:kinsoku/>
        <w:wordWrap/>
        <w:overflowPunct/>
        <w:topLinePunct w:val="0"/>
        <w:autoSpaceDE/>
        <w:autoSpaceDN/>
        <w:bidi w:val="0"/>
        <w:adjustRightInd/>
        <w:spacing w:line="240" w:lineRule="auto"/>
        <w:jc w:val="center"/>
        <w:textAlignment w:val="auto"/>
        <w:rPr>
          <w:rFonts w:eastAsia="华文中宋"/>
          <w:sz w:val="44"/>
          <w:szCs w:val="44"/>
        </w:rPr>
      </w:pPr>
    </w:p>
    <w:p w14:paraId="6B6AE0E3">
      <w:pPr>
        <w:pStyle w:val="7"/>
        <w:pageBreakBefore w:val="0"/>
        <w:widowControl/>
        <w:kinsoku/>
        <w:wordWrap/>
        <w:overflowPunct/>
        <w:topLinePunct w:val="0"/>
        <w:autoSpaceDE/>
        <w:autoSpaceDN/>
        <w:bidi w:val="0"/>
        <w:adjustRightInd/>
        <w:spacing w:before="0" w:after="0" w:line="240" w:lineRule="auto"/>
        <w:textAlignment w:val="auto"/>
        <w:rPr>
          <w:rFonts w:ascii="Times New Roman" w:hAnsi="Times New Roman"/>
        </w:rPr>
      </w:pPr>
    </w:p>
    <w:p w14:paraId="4170C7B2">
      <w:pPr>
        <w:pageBreakBefore w:val="0"/>
        <w:widowControl/>
        <w:kinsoku/>
        <w:wordWrap/>
        <w:overflowPunct/>
        <w:topLinePunct w:val="0"/>
        <w:autoSpaceDE/>
        <w:autoSpaceDN/>
        <w:bidi w:val="0"/>
        <w:adjustRightInd/>
        <w:spacing w:line="240" w:lineRule="auto"/>
        <w:textAlignment w:val="auto"/>
        <w:rPr>
          <w:sz w:val="44"/>
          <w:szCs w:val="44"/>
        </w:rPr>
      </w:pPr>
    </w:p>
    <w:p w14:paraId="7330ABD9">
      <w:pPr>
        <w:pStyle w:val="7"/>
        <w:pageBreakBefore w:val="0"/>
        <w:widowControl/>
        <w:kinsoku/>
        <w:wordWrap/>
        <w:overflowPunct/>
        <w:topLinePunct w:val="0"/>
        <w:autoSpaceDE/>
        <w:autoSpaceDN/>
        <w:bidi w:val="0"/>
        <w:adjustRightInd/>
        <w:spacing w:before="0" w:after="0" w:line="240" w:lineRule="auto"/>
        <w:textAlignment w:val="auto"/>
        <w:rPr>
          <w:rFonts w:ascii="Times New Roman" w:hAnsi="Times New Roman"/>
        </w:rPr>
      </w:pPr>
    </w:p>
    <w:p w14:paraId="28F80083">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eastAsia="黑体"/>
          <w:b/>
          <w:spacing w:val="44"/>
          <w:sz w:val="52"/>
          <w:szCs w:val="52"/>
        </w:rPr>
      </w:pPr>
      <w:r>
        <w:rPr>
          <w:rFonts w:hint="eastAsia" w:eastAsia="黑体"/>
          <w:b/>
          <w:spacing w:val="44"/>
          <w:sz w:val="52"/>
          <w:szCs w:val="52"/>
        </w:rPr>
        <w:t>《浮式生产储油装置（FPSO）安全规范》</w:t>
      </w:r>
    </w:p>
    <w:p w14:paraId="0428EB81">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eastAsia" w:eastAsia="黑体"/>
          <w:b/>
          <w:spacing w:val="44"/>
          <w:sz w:val="52"/>
          <w:szCs w:val="52"/>
        </w:rPr>
      </w:pPr>
      <w:r>
        <w:rPr>
          <w:rFonts w:hint="eastAsia" w:eastAsia="黑体"/>
          <w:b/>
          <w:spacing w:val="44"/>
          <w:sz w:val="52"/>
          <w:szCs w:val="52"/>
        </w:rPr>
        <w:t>（</w:t>
      </w:r>
      <w:r>
        <w:rPr>
          <w:rFonts w:hint="eastAsia" w:eastAsia="黑体"/>
          <w:b/>
          <w:spacing w:val="44"/>
          <w:sz w:val="52"/>
          <w:szCs w:val="52"/>
          <w:lang w:val="en-US" w:eastAsia="zh-CN"/>
        </w:rPr>
        <w:t>征求意见</w:t>
      </w:r>
      <w:r>
        <w:rPr>
          <w:rFonts w:hint="eastAsia" w:eastAsia="黑体"/>
          <w:b/>
          <w:spacing w:val="44"/>
          <w:sz w:val="52"/>
          <w:szCs w:val="52"/>
        </w:rPr>
        <w:t>稿）</w:t>
      </w:r>
    </w:p>
    <w:p w14:paraId="371BA8B2">
      <w:pPr>
        <w:pStyle w:val="7"/>
      </w:pPr>
    </w:p>
    <w:p w14:paraId="40457D55">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eastAsia="黑体"/>
          <w:b/>
          <w:spacing w:val="44"/>
          <w:sz w:val="52"/>
          <w:szCs w:val="52"/>
        </w:rPr>
      </w:pPr>
      <w:r>
        <w:rPr>
          <w:rFonts w:hint="eastAsia" w:eastAsia="黑体"/>
          <w:b/>
          <w:spacing w:val="44"/>
          <w:sz w:val="52"/>
          <w:szCs w:val="52"/>
        </w:rPr>
        <w:t>编制说明</w:t>
      </w:r>
    </w:p>
    <w:p w14:paraId="2E41E307">
      <w:pPr>
        <w:pageBreakBefore w:val="0"/>
        <w:widowControl/>
        <w:kinsoku/>
        <w:wordWrap/>
        <w:overflowPunct/>
        <w:topLinePunct w:val="0"/>
        <w:autoSpaceDE/>
        <w:autoSpaceDN/>
        <w:bidi w:val="0"/>
        <w:adjustRightInd/>
        <w:spacing w:line="240" w:lineRule="auto"/>
        <w:jc w:val="center"/>
        <w:textAlignment w:val="auto"/>
        <w:rPr>
          <w:spacing w:val="44"/>
          <w:sz w:val="32"/>
          <w:szCs w:val="32"/>
        </w:rPr>
      </w:pPr>
    </w:p>
    <w:p w14:paraId="171F6D89">
      <w:pPr>
        <w:pageBreakBefore w:val="0"/>
        <w:widowControl/>
        <w:kinsoku/>
        <w:wordWrap/>
        <w:overflowPunct/>
        <w:topLinePunct w:val="0"/>
        <w:autoSpaceDE/>
        <w:autoSpaceDN/>
        <w:bidi w:val="0"/>
        <w:adjustRightInd/>
        <w:spacing w:line="240" w:lineRule="auto"/>
        <w:jc w:val="center"/>
        <w:textAlignment w:val="auto"/>
        <w:rPr>
          <w:spacing w:val="44"/>
          <w:sz w:val="32"/>
          <w:szCs w:val="32"/>
        </w:rPr>
      </w:pPr>
    </w:p>
    <w:p w14:paraId="69CA8001">
      <w:pPr>
        <w:pageBreakBefore w:val="0"/>
        <w:widowControl/>
        <w:kinsoku/>
        <w:wordWrap/>
        <w:overflowPunct/>
        <w:topLinePunct w:val="0"/>
        <w:autoSpaceDE/>
        <w:autoSpaceDN/>
        <w:bidi w:val="0"/>
        <w:adjustRightInd/>
        <w:spacing w:line="240" w:lineRule="auto"/>
        <w:jc w:val="center"/>
        <w:textAlignment w:val="auto"/>
        <w:rPr>
          <w:spacing w:val="44"/>
          <w:sz w:val="32"/>
          <w:szCs w:val="32"/>
        </w:rPr>
      </w:pPr>
    </w:p>
    <w:p w14:paraId="7C738043">
      <w:pPr>
        <w:pageBreakBefore w:val="0"/>
        <w:widowControl/>
        <w:kinsoku/>
        <w:wordWrap/>
        <w:overflowPunct/>
        <w:topLinePunct w:val="0"/>
        <w:autoSpaceDE/>
        <w:autoSpaceDN/>
        <w:bidi w:val="0"/>
        <w:adjustRightInd/>
        <w:spacing w:line="240" w:lineRule="auto"/>
        <w:jc w:val="center"/>
        <w:textAlignment w:val="auto"/>
        <w:rPr>
          <w:spacing w:val="44"/>
          <w:sz w:val="32"/>
          <w:szCs w:val="32"/>
        </w:rPr>
      </w:pPr>
    </w:p>
    <w:p w14:paraId="39A2AF73">
      <w:pPr>
        <w:pageBreakBefore w:val="0"/>
        <w:widowControl/>
        <w:kinsoku/>
        <w:wordWrap/>
        <w:overflowPunct/>
        <w:topLinePunct w:val="0"/>
        <w:autoSpaceDE/>
        <w:autoSpaceDN/>
        <w:bidi w:val="0"/>
        <w:adjustRightInd/>
        <w:spacing w:line="240" w:lineRule="auto"/>
        <w:jc w:val="center"/>
        <w:textAlignment w:val="auto"/>
        <w:rPr>
          <w:spacing w:val="44"/>
          <w:sz w:val="32"/>
          <w:szCs w:val="32"/>
        </w:rPr>
      </w:pPr>
    </w:p>
    <w:p w14:paraId="463E4C0B">
      <w:pPr>
        <w:pStyle w:val="7"/>
        <w:pageBreakBefore w:val="0"/>
        <w:widowControl/>
        <w:kinsoku/>
        <w:wordWrap/>
        <w:overflowPunct/>
        <w:topLinePunct w:val="0"/>
        <w:autoSpaceDE/>
        <w:autoSpaceDN/>
        <w:bidi w:val="0"/>
        <w:adjustRightInd/>
        <w:spacing w:before="0" w:after="0" w:line="240" w:lineRule="auto"/>
        <w:textAlignment w:val="auto"/>
        <w:rPr>
          <w:rFonts w:ascii="Times New Roman" w:hAnsi="Times New Roman"/>
          <w:spacing w:val="44"/>
          <w:sz w:val="32"/>
          <w:szCs w:val="32"/>
        </w:rPr>
      </w:pPr>
    </w:p>
    <w:p w14:paraId="3E38BF4E">
      <w:pPr>
        <w:pageBreakBefore w:val="0"/>
        <w:widowControl/>
        <w:kinsoku/>
        <w:wordWrap/>
        <w:overflowPunct/>
        <w:topLinePunct w:val="0"/>
        <w:autoSpaceDE/>
        <w:autoSpaceDN/>
        <w:bidi w:val="0"/>
        <w:adjustRightInd/>
        <w:spacing w:line="240" w:lineRule="auto"/>
        <w:textAlignment w:val="auto"/>
        <w:rPr>
          <w:spacing w:val="44"/>
          <w:sz w:val="32"/>
          <w:szCs w:val="32"/>
        </w:rPr>
      </w:pPr>
    </w:p>
    <w:p w14:paraId="49CCFC10">
      <w:pPr>
        <w:pageBreakBefore w:val="0"/>
        <w:widowControl/>
        <w:kinsoku/>
        <w:wordWrap/>
        <w:overflowPunct/>
        <w:topLinePunct w:val="0"/>
        <w:autoSpaceDE/>
        <w:autoSpaceDN/>
        <w:bidi w:val="0"/>
        <w:adjustRightInd/>
        <w:spacing w:line="240" w:lineRule="auto"/>
        <w:jc w:val="center"/>
        <w:textAlignment w:val="auto"/>
        <w:rPr>
          <w:spacing w:val="44"/>
          <w:sz w:val="32"/>
          <w:szCs w:val="32"/>
        </w:rPr>
      </w:pPr>
    </w:p>
    <w:p w14:paraId="7A9ED747">
      <w:pPr>
        <w:pageBreakBefore w:val="0"/>
        <w:widowControl/>
        <w:kinsoku/>
        <w:wordWrap/>
        <w:overflowPunct/>
        <w:topLinePunct w:val="0"/>
        <w:autoSpaceDE/>
        <w:autoSpaceDN/>
        <w:bidi w:val="0"/>
        <w:adjustRightInd/>
        <w:spacing w:line="240" w:lineRule="auto"/>
        <w:jc w:val="center"/>
        <w:textAlignment w:val="auto"/>
        <w:rPr>
          <w:rFonts w:hint="eastAsia"/>
          <w:b/>
          <w:bCs/>
          <w:spacing w:val="44"/>
          <w:sz w:val="32"/>
          <w:szCs w:val="32"/>
        </w:rPr>
      </w:pPr>
      <w:r>
        <w:rPr>
          <w:rFonts w:hint="eastAsia"/>
          <w:b/>
          <w:bCs/>
          <w:spacing w:val="44"/>
          <w:sz w:val="32"/>
          <w:szCs w:val="32"/>
        </w:rPr>
        <w:t>标准编制工作组</w:t>
      </w:r>
    </w:p>
    <w:p w14:paraId="15E1022D">
      <w:pPr>
        <w:pageBreakBefore w:val="0"/>
        <w:widowControl/>
        <w:kinsoku/>
        <w:wordWrap/>
        <w:overflowPunct/>
        <w:topLinePunct w:val="0"/>
        <w:autoSpaceDE/>
        <w:autoSpaceDN/>
        <w:bidi w:val="0"/>
        <w:adjustRightInd/>
        <w:spacing w:line="240" w:lineRule="auto"/>
        <w:jc w:val="center"/>
        <w:textAlignment w:val="auto"/>
        <w:rPr>
          <w:rFonts w:eastAsia="华文中宋"/>
          <w:sz w:val="44"/>
          <w:szCs w:val="44"/>
        </w:rPr>
      </w:pPr>
      <w:r>
        <w:rPr>
          <w:rFonts w:hint="eastAsia"/>
          <w:b/>
          <w:bCs/>
          <w:spacing w:val="44"/>
          <w:sz w:val="32"/>
          <w:szCs w:val="32"/>
        </w:rPr>
        <w:t>二〇二</w:t>
      </w:r>
      <w:r>
        <w:rPr>
          <w:rFonts w:hint="eastAsia"/>
          <w:b/>
          <w:bCs/>
          <w:spacing w:val="44"/>
          <w:sz w:val="32"/>
          <w:szCs w:val="32"/>
          <w:lang w:val="en-US" w:eastAsia="zh-CN"/>
        </w:rPr>
        <w:t>六</w:t>
      </w:r>
      <w:r>
        <w:rPr>
          <w:rFonts w:hint="eastAsia"/>
          <w:b/>
          <w:bCs/>
          <w:spacing w:val="44"/>
          <w:sz w:val="32"/>
          <w:szCs w:val="32"/>
        </w:rPr>
        <w:t>年</w:t>
      </w:r>
      <w:r>
        <w:rPr>
          <w:rFonts w:hint="eastAsia"/>
          <w:b/>
          <w:bCs/>
          <w:spacing w:val="44"/>
          <w:sz w:val="32"/>
          <w:szCs w:val="32"/>
          <w:lang w:val="en-US" w:eastAsia="zh-CN"/>
        </w:rPr>
        <w:t>一</w:t>
      </w:r>
      <w:r>
        <w:rPr>
          <w:rFonts w:hint="eastAsia"/>
          <w:b/>
          <w:bCs/>
          <w:spacing w:val="44"/>
          <w:sz w:val="32"/>
          <w:szCs w:val="32"/>
        </w:rPr>
        <w:t>月</w:t>
      </w:r>
    </w:p>
    <w:p w14:paraId="15613031">
      <w:pPr>
        <w:pStyle w:val="86"/>
        <w:rPr>
          <w:color w:val="auto"/>
          <w:highlight w:val="none"/>
        </w:rPr>
      </w:pPr>
    </w:p>
    <w:p w14:paraId="2B43BCE7">
      <w:pPr>
        <w:rPr>
          <w:rFonts w:ascii="宋体" w:hAnsi="宋体" w:eastAsia="仿宋"/>
          <w:color w:val="auto"/>
          <w:sz w:val="30"/>
          <w:szCs w:val="30"/>
          <w:highlight w:val="none"/>
        </w:rPr>
      </w:pPr>
    </w:p>
    <w:p w14:paraId="40C8309A">
      <w:pPr>
        <w:ind w:firstLine="880" w:firstLineChars="200"/>
        <w:jc w:val="center"/>
        <w:rPr>
          <w:rFonts w:ascii="宋体" w:hAnsi="宋体" w:eastAsia="方正小标宋_GBK" w:cs="方正小标宋_GBK"/>
          <w:color w:val="auto"/>
          <w:sz w:val="44"/>
          <w:szCs w:val="44"/>
          <w:highlight w:val="none"/>
        </w:rPr>
        <w:sectPr>
          <w:headerReference r:id="rId18" w:type="default"/>
          <w:footerReference r:id="rId20" w:type="default"/>
          <w:headerReference r:id="rId19" w:type="even"/>
          <w:footerReference r:id="rId21" w:type="even"/>
          <w:pgSz w:w="11906" w:h="16838"/>
          <w:pgMar w:top="1417" w:right="1134" w:bottom="1134" w:left="141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A231BC5">
      <w:pPr>
        <w:widowControl w:val="0"/>
        <w:adjustRightInd/>
        <w:spacing w:line="560" w:lineRule="exact"/>
        <w:ind w:firstLine="640" w:firstLineChars="200"/>
        <w:jc w:val="left"/>
        <w:outlineLvl w:val="9"/>
        <w:rPr>
          <w:rFonts w:hint="eastAsia" w:ascii="Times New Roman" w:hAnsi="Times New Roman" w:eastAsia="黑体"/>
          <w:sz w:val="32"/>
          <w:szCs w:val="32"/>
        </w:rPr>
      </w:pPr>
      <w:r>
        <w:rPr>
          <w:rFonts w:hint="eastAsia" w:ascii="Times New Roman" w:hAnsi="Times New Roman" w:eastAsia="黑体"/>
          <w:sz w:val="32"/>
          <w:szCs w:val="32"/>
        </w:rPr>
        <w:t>一、工作简况</w:t>
      </w:r>
    </w:p>
    <w:p w14:paraId="21EBEB16">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lang w:eastAsia="zh-CN"/>
        </w:rPr>
      </w:pPr>
      <w:r>
        <w:rPr>
          <w:rFonts w:hint="eastAsia" w:ascii="Times New Roman" w:hAnsi="Times New Roman" w:eastAsia="楷体_GB2312" w:cs="Times New Roman"/>
          <w:b/>
          <w:sz w:val="32"/>
          <w:szCs w:val="32"/>
          <w:lang w:eastAsia="zh-CN"/>
        </w:rPr>
        <w:t>（一）任务来源</w:t>
      </w:r>
    </w:p>
    <w:p w14:paraId="02926DB1">
      <w:pPr>
        <w:widowControl/>
        <w:adjustRightInd w:val="0"/>
        <w:spacing w:line="240" w:lineRule="auto"/>
        <w:ind w:firstLine="640" w:firstLineChars="200"/>
        <w:jc w:val="both"/>
        <w:rPr>
          <w:rFonts w:hint="default" w:ascii="宋体" w:hAnsi="宋体" w:eastAsia="仿宋_GB2312"/>
          <w:sz w:val="32"/>
          <w:szCs w:val="32"/>
          <w:lang w:val="en-US" w:eastAsia="zh-CN"/>
        </w:rPr>
      </w:pPr>
      <w:r>
        <w:rPr>
          <w:rFonts w:hint="eastAsia" w:ascii="宋体" w:hAnsi="宋体" w:eastAsia="仿宋_GB2312"/>
          <w:sz w:val="32"/>
          <w:szCs w:val="32"/>
          <w:lang w:val="en-US" w:eastAsia="zh-CN"/>
        </w:rPr>
        <w:t>国家标准化管理委员会于2024年12月31日发布的《国家标准化管理委员会文件》（国标委发〔2024〕59号），关于下达《汽车密码应用技术要求》等37项强制性国家标准制修订计划及相关标准外文版计划的通知，</w:t>
      </w:r>
      <w:r>
        <w:rPr>
          <w:rFonts w:hint="default" w:ascii="宋体" w:hAnsi="宋体" w:eastAsia="仿宋_GB2312"/>
          <w:sz w:val="32"/>
          <w:szCs w:val="32"/>
          <w:lang w:val="en-US" w:eastAsia="zh-CN"/>
        </w:rPr>
        <w:t>强制性国家标准《浮式生产储油装置（FPSO）安全规范》制定计划正式下达，计划号为20243879-Q-450。</w:t>
      </w:r>
      <w:r>
        <w:rPr>
          <w:rFonts w:hint="eastAsia" w:ascii="宋体" w:hAnsi="宋体" w:eastAsia="仿宋_GB2312"/>
          <w:sz w:val="32"/>
          <w:szCs w:val="32"/>
          <w:lang w:val="en-US" w:eastAsia="zh-CN"/>
        </w:rPr>
        <w:t>本文件</w:t>
      </w:r>
      <w:r>
        <w:rPr>
          <w:rFonts w:hint="default" w:ascii="宋体" w:hAnsi="宋体" w:eastAsia="仿宋_GB2312"/>
          <w:sz w:val="32"/>
          <w:szCs w:val="32"/>
          <w:lang w:val="en-US" w:eastAsia="zh-CN"/>
        </w:rPr>
        <w:t>项目由应急管理部归口，委托SAC TC288/SC10 全国安全生产标准化技术委员会石油天然气开采安全分技术委员会组织</w:t>
      </w:r>
      <w:r>
        <w:rPr>
          <w:rFonts w:hint="eastAsia" w:ascii="宋体" w:hAnsi="宋体" w:eastAsia="仿宋_GB2312"/>
          <w:sz w:val="32"/>
          <w:szCs w:val="32"/>
          <w:lang w:val="en-US" w:eastAsia="zh-CN"/>
        </w:rPr>
        <w:t>起草和审查。</w:t>
      </w:r>
    </w:p>
    <w:p w14:paraId="05B4418D">
      <w:pPr>
        <w:widowControl w:val="0"/>
        <w:adjustRightInd/>
        <w:spacing w:line="360" w:lineRule="auto"/>
        <w:ind w:firstLine="643" w:firstLineChars="200"/>
        <w:jc w:val="left"/>
        <w:outlineLvl w:val="9"/>
        <w:rPr>
          <w:rFonts w:hint="default" w:ascii="Times New Roman" w:hAnsi="Times New Roman" w:eastAsia="楷体_GB2312" w:cs="Times New Roman"/>
          <w:b/>
          <w:sz w:val="32"/>
          <w:szCs w:val="32"/>
          <w:lang w:val="en-US" w:eastAsia="zh-CN"/>
        </w:rPr>
      </w:pPr>
      <w:bookmarkStart w:id="2264" w:name="_Toc9618"/>
      <w:bookmarkStart w:id="2265" w:name="_Toc27170"/>
      <w:bookmarkStart w:id="2266" w:name="_Toc21906"/>
      <w:bookmarkStart w:id="2267" w:name="_Toc4888"/>
      <w:r>
        <w:rPr>
          <w:rFonts w:hint="eastAsia" w:ascii="Times New Roman" w:hAnsi="Times New Roman" w:eastAsia="楷体_GB2312" w:cs="Times New Roman"/>
          <w:b/>
          <w:sz w:val="32"/>
          <w:szCs w:val="32"/>
          <w:lang w:eastAsia="zh-CN"/>
        </w:rPr>
        <w:t>（二）起草单位</w:t>
      </w:r>
      <w:bookmarkEnd w:id="2264"/>
      <w:bookmarkEnd w:id="2265"/>
      <w:bookmarkEnd w:id="2266"/>
      <w:bookmarkEnd w:id="2267"/>
      <w:r>
        <w:rPr>
          <w:rFonts w:hint="eastAsia" w:ascii="Times New Roman" w:hAnsi="Times New Roman" w:eastAsia="楷体_GB2312" w:cs="Times New Roman"/>
          <w:b/>
          <w:sz w:val="32"/>
          <w:szCs w:val="32"/>
          <w:lang w:val="en-US" w:eastAsia="zh-CN"/>
        </w:rPr>
        <w:t>和人员</w:t>
      </w:r>
    </w:p>
    <w:p w14:paraId="527799EC">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根据立项计划，牵头编制单位中国海洋石油集团有限公司组织主要参编单位成立了标准编制工作组（以下简称“工作组”）开展标准编制工作。</w:t>
      </w:r>
      <w:bookmarkStart w:id="2268" w:name="_Toc32741"/>
      <w:bookmarkStart w:id="2269" w:name="_Toc19071"/>
      <w:bookmarkStart w:id="2270" w:name="_Toc24917"/>
    </w:p>
    <w:p w14:paraId="1B05D11C">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lang w:eastAsia="zh-CN"/>
        </w:rPr>
      </w:pPr>
      <w:r>
        <w:rPr>
          <w:rFonts w:hint="eastAsia" w:ascii="Times New Roman" w:hAnsi="Times New Roman" w:eastAsia="楷体_GB2312" w:cs="Times New Roman"/>
          <w:b/>
          <w:sz w:val="32"/>
          <w:szCs w:val="32"/>
          <w:lang w:eastAsia="zh-CN"/>
        </w:rPr>
        <w:t>（三）标准制订的目的及意义</w:t>
      </w:r>
      <w:bookmarkEnd w:id="2268"/>
      <w:bookmarkEnd w:id="2269"/>
      <w:bookmarkEnd w:id="2270"/>
    </w:p>
    <w:p w14:paraId="372D4C1C">
      <w:pPr>
        <w:widowControl/>
        <w:adjustRightInd w:val="0"/>
        <w:spacing w:line="240" w:lineRule="auto"/>
        <w:ind w:firstLine="640" w:firstLineChars="200"/>
        <w:jc w:val="both"/>
        <w:rPr>
          <w:rFonts w:hint="eastAsia" w:ascii="宋体" w:hAnsi="宋体" w:eastAsia="仿宋_GB2312"/>
          <w:sz w:val="32"/>
          <w:szCs w:val="32"/>
          <w:lang w:val="en-US" w:eastAsia="zh-CN"/>
        </w:rPr>
      </w:pPr>
      <w:bookmarkStart w:id="2271" w:name="_Toc39385876"/>
      <w:r>
        <w:rPr>
          <w:rFonts w:hint="eastAsia" w:ascii="宋体" w:hAnsi="宋体" w:eastAsia="仿宋_GB2312"/>
          <w:sz w:val="32"/>
          <w:szCs w:val="32"/>
          <w:lang w:val="en-US" w:eastAsia="zh-CN"/>
        </w:rPr>
        <w:t>为贯彻落实习近平总书记关于全面依法治国和安全生产工作的重要论述精神，完善健全海洋石油天然气开采安全作业活动安全要求，全面规范FPSO从设计、建造、生产运行及弃置各个阶段的安全生产要求，保障海洋石油天然气开采安全形势持续稳定好转，应急管理部计划起草国家标准《浮式生产储油装置（FPSO）安全规范》。</w:t>
      </w:r>
    </w:p>
    <w:p w14:paraId="72E54BE8">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本文件主要解决以下问题：</w:t>
      </w:r>
    </w:p>
    <w:p w14:paraId="5A6BB25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FPSO是一个涉及系泊、船体、油气工艺、机械、电气、仪控、结构、消防、轮机等多专业的系统工程，需要从系统化的角度规范其安全技术要求。我国海洋石油行业发展了近40年，中国海域运营了21艘FPSO，已经积累了服务本专业的技术能力，形成了各自专业相对完整的安全技术要求，但我国以FPSO为规范对象的国家标准建设工作相对滞后。迄今为止，缺少一部以FPSO为规范对象，从“安全”角度出发，系统化阐述FPSO安全技术要求的强制性国家标准，制定本文件将填补上述空白。</w:t>
      </w:r>
    </w:p>
    <w:p w14:paraId="1E93DF0E">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目前FPSO设计、建造、运维等过程按照部门规章《浮式生产储油装置（FPSO）安全规则》进行规范，该安全规则已颁布实施15年，存在引用文件过时、部分要求不具体、技术方法落后、理念不先进等问题，需要进一步出台强制性标准进行规范。</w:t>
      </w:r>
    </w:p>
    <w:p w14:paraId="06DF3AD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3.随着海洋石油行业开发能力的不断提升，国内FPSO的设计、建造水平已达到国际先进水平，我国FPSO走过从改造到新建，从浅海到深远海，从5万吨到30万吨，从船型FPSO到圆筒型FPSO多个发展历程，对FPSO的安全技术要求也达到了一个较高的程度。针对不同海洋环境、气象条件、油品物性、开采方式的差异，加上智能化技术的广泛应用，海洋石油开发已出现了不同功能类型的FPSO。FPSO虽然有近40年的成功运营经验，但在运行过程中仍面临着FPSO锚链断丝、单点系泊系统倒塌等安全事故，单次事故直接经济损失达数十亿元，给国家和企业带来不可估量的经济损失。同时随着世界海洋工程高端油气装备产业向中国转移，为顺应国家深水油气装备产业发展需求，有必要通过本文件的制定做到引领FPSO产业高质量安全发展。针对FPSO技术进步、安全生产及监管需求，需要从国家层面出台一部统筹FPSO安全技术要求的国家标准。</w:t>
      </w:r>
    </w:p>
    <w:p w14:paraId="6DF8943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4.现有部门规章中的强制性技术条款、石油行业类标准和安全类标准，在规范FPSO设计、建造、生产运行等相关作业活动方面，存在专业界限不明、交叉重复使用的情况，急需从国家层面进行规范。</w:t>
      </w:r>
    </w:p>
    <w:p w14:paraId="5F59AB3F">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随着海洋石油相关法律、法规及国家标准的陆续修订和出台，以及FPSO新技术、新方法和新开发模式的应用发展，结合国家防范化解海洋石油重特大事故风险安全要求，需要从国家标准层面出台适应于FPSO的标准，本文件的制订与实施，将为FPSO全生命周期生产活动提供安全及监督管理的技术支撑。</w:t>
      </w:r>
    </w:p>
    <w:p w14:paraId="60F9D9AA">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lang w:eastAsia="zh-CN"/>
        </w:rPr>
      </w:pPr>
      <w:bookmarkStart w:id="2272" w:name="_Toc24522"/>
      <w:bookmarkStart w:id="2273" w:name="_Toc25935"/>
      <w:bookmarkStart w:id="2274" w:name="_Toc21179"/>
      <w:bookmarkStart w:id="2275" w:name="_Toc7448"/>
      <w:r>
        <w:rPr>
          <w:rFonts w:hint="eastAsia" w:ascii="Times New Roman" w:hAnsi="Times New Roman" w:eastAsia="楷体_GB2312" w:cs="Times New Roman"/>
          <w:b/>
          <w:sz w:val="32"/>
          <w:szCs w:val="32"/>
          <w:lang w:eastAsia="zh-CN"/>
        </w:rPr>
        <w:t>（四）标准编制过程</w:t>
      </w:r>
      <w:bookmarkEnd w:id="2272"/>
      <w:bookmarkEnd w:id="2273"/>
      <w:bookmarkEnd w:id="2274"/>
      <w:bookmarkEnd w:id="2275"/>
    </w:p>
    <w:p w14:paraId="27951411">
      <w:pPr>
        <w:widowControl/>
        <w:adjustRightInd w:val="0"/>
        <w:spacing w:line="240" w:lineRule="auto"/>
        <w:ind w:firstLine="640" w:firstLineChars="200"/>
        <w:jc w:val="both"/>
        <w:rPr>
          <w:rFonts w:hint="eastAsia" w:ascii="宋体" w:hAnsi="宋体" w:eastAsia="仿宋_GB2312"/>
          <w:sz w:val="32"/>
          <w:szCs w:val="32"/>
          <w:lang w:val="en-US" w:eastAsia="zh-CN"/>
        </w:rPr>
      </w:pPr>
      <w:bookmarkStart w:id="2276" w:name="_Toc15836"/>
      <w:bookmarkStart w:id="2277" w:name="_Toc6393"/>
      <w:bookmarkStart w:id="2278" w:name="_Toc6900"/>
      <w:bookmarkStart w:id="2279" w:name="_Toc21356"/>
      <w:r>
        <w:rPr>
          <w:rFonts w:hint="eastAsia" w:ascii="宋体" w:hAnsi="宋体" w:eastAsia="仿宋_GB2312"/>
          <w:sz w:val="32"/>
          <w:szCs w:val="32"/>
          <w:lang w:val="en-US" w:eastAsia="zh-CN"/>
        </w:rPr>
        <w:t>立项通知下达后，牵头单位中国海洋石油集团有限公司组织主要参编单位共同商讨标准编制思路，制订本文件总体框架，并成立了由具有丰富海洋工程设计经验和生产运维管理经验的专业技术人员组成的标准工作组。标准工作组组织起草人、专家经过多轮评审、研讨和修改，于2026年1月形成征求意见稿。</w:t>
      </w:r>
    </w:p>
    <w:p w14:paraId="368EF1A4">
      <w:pPr>
        <w:widowControl w:val="0"/>
        <w:adjustRightInd/>
        <w:spacing w:line="560" w:lineRule="exact"/>
        <w:ind w:firstLine="640" w:firstLineChars="200"/>
        <w:jc w:val="left"/>
        <w:outlineLvl w:val="9"/>
        <w:rPr>
          <w:rFonts w:hint="eastAsia" w:ascii="Times New Roman" w:hAnsi="Times New Roman" w:eastAsia="黑体"/>
          <w:sz w:val="32"/>
          <w:szCs w:val="32"/>
        </w:rPr>
      </w:pPr>
      <w:r>
        <w:rPr>
          <w:rFonts w:hint="eastAsia" w:ascii="Times New Roman" w:hAnsi="Times New Roman" w:eastAsia="黑体"/>
          <w:sz w:val="32"/>
          <w:szCs w:val="32"/>
        </w:rPr>
        <w:t>二、编制原则</w:t>
      </w:r>
      <w:r>
        <w:rPr>
          <w:rFonts w:hint="eastAsia" w:ascii="Times New Roman" w:hAnsi="Times New Roman" w:eastAsia="黑体"/>
          <w:sz w:val="32"/>
          <w:szCs w:val="32"/>
          <w:lang w:eastAsia="zh-CN"/>
        </w:rPr>
        <w:t>、</w:t>
      </w:r>
      <w:r>
        <w:rPr>
          <w:rFonts w:hint="eastAsia" w:ascii="Times New Roman" w:hAnsi="Times New Roman" w:eastAsia="黑体"/>
          <w:sz w:val="32"/>
          <w:szCs w:val="32"/>
        </w:rPr>
        <w:t>强制性国家标准主要技术要求</w:t>
      </w:r>
      <w:bookmarkEnd w:id="2271"/>
      <w:bookmarkEnd w:id="2276"/>
      <w:bookmarkEnd w:id="2277"/>
      <w:bookmarkEnd w:id="2278"/>
      <w:bookmarkEnd w:id="2279"/>
      <w:r>
        <w:rPr>
          <w:rFonts w:hint="eastAsia" w:ascii="Times New Roman" w:hAnsi="Times New Roman" w:eastAsia="黑体"/>
          <w:sz w:val="32"/>
          <w:szCs w:val="32"/>
        </w:rPr>
        <w:t>的依据及理由</w:t>
      </w:r>
    </w:p>
    <w:p w14:paraId="1356B7FD">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lang w:eastAsia="zh-CN"/>
        </w:rPr>
      </w:pPr>
      <w:bookmarkStart w:id="2280" w:name="_Toc1866"/>
      <w:bookmarkStart w:id="2281" w:name="_Toc19078"/>
      <w:bookmarkStart w:id="2282" w:name="_Toc6982"/>
      <w:bookmarkStart w:id="2283" w:name="_Toc21650"/>
      <w:bookmarkStart w:id="2284" w:name="_Toc39385877"/>
      <w:r>
        <w:rPr>
          <w:rFonts w:hint="eastAsia" w:ascii="Times New Roman" w:hAnsi="Times New Roman" w:eastAsia="楷体_GB2312" w:cs="Times New Roman"/>
          <w:b/>
          <w:sz w:val="32"/>
          <w:szCs w:val="32"/>
          <w:lang w:eastAsia="zh-CN"/>
        </w:rPr>
        <w:t>（一）标准编制原则</w:t>
      </w:r>
      <w:bookmarkEnd w:id="2280"/>
      <w:bookmarkEnd w:id="2281"/>
      <w:bookmarkEnd w:id="2282"/>
      <w:bookmarkEnd w:id="2283"/>
      <w:bookmarkEnd w:id="2284"/>
    </w:p>
    <w:p w14:paraId="620A1C42">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以我国海洋石油安全生产法律、法规、标准为依据，按照科学性、规范性、协调性和实用性的原则，结合海洋石油行业FPSO安全生产和安全监管现状进行编制，考虑海洋石油行业各单位习惯，仍保持了《浮式生产储油装置（FPSO）安全规则》的内容框架。标准编制按照GB/T 1.1-2020给出的规则进行编写，内容力求简单明了，通俗易懂。</w:t>
      </w:r>
    </w:p>
    <w:p w14:paraId="3528F51C">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本文件制订工作遵循以下原则：</w:t>
      </w:r>
    </w:p>
    <w:p w14:paraId="0C099ECC">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1.符合相关法律法规，满足FPSO作业安全需要的原则。</w:t>
      </w:r>
    </w:p>
    <w:p w14:paraId="5DBD784E">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制订过程中，以我国海洋石油天然气行业安全生产相关法律法规、标准规范为依据，符合《中华人民共和国安全生产法》《海洋石油安全生产规定》《海洋石油安全管理细则》等国家有关法律、法规和方针、政策，同时参考国外同类技术标准中的先进内容，在此基础上充分考虑国内FPSO安全现状和安全监管需求制订标准条款。</w:t>
      </w:r>
    </w:p>
    <w:p w14:paraId="680453C2">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2.保持与其他标准、规范衔接和配套的原则</w:t>
      </w:r>
    </w:p>
    <w:p w14:paraId="1F0F4AA0">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在本文件的适用范围内，引用和提炼出原部门规章、国家标准和安全标准中的成熟技术条款，充分考虑并保持与国家相关标准、规范的整体协调、衔接和配套。对国家推荐标准、行业标准、企业标准中适合于作为强制标准的内容，将其中的具体条款纳入本文件。</w:t>
      </w:r>
    </w:p>
    <w:p w14:paraId="30C5862F">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3.体现普适性、科学性、先进性和可操作性的原则</w:t>
      </w:r>
    </w:p>
    <w:p w14:paraId="36200E3C">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的内容具有普遍适用性，既要考虑FPSO安全生产现状，也要考虑FPSO设计、建造、生产等不同单位的实际情况，同时也要反映当前FPSO智能化、绿色化技术发展的水平，又不限制新技术的发展，总体要求是满足海洋石油风险管控基本要求。</w:t>
      </w:r>
    </w:p>
    <w:p w14:paraId="1B3C6A97">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本文件适用于所有涉及中华人民共和国境内建设和使用的海洋石油FPSO。由于作业海域、设施功能和类型存在差异的特点，对于尚存在较大争议的条款，不纳入本文件。</w:t>
      </w:r>
    </w:p>
    <w:p w14:paraId="02AA023D">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4.按规范化要求编写的原则</w:t>
      </w:r>
    </w:p>
    <w:p w14:paraId="605AAA1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在编写格式及标准用语上，按照国家标准《标准化工作导则 第1部分：标准化文件的结构和起草规则》（GB/T 1.1-2020）的要求进行编写。</w:t>
      </w:r>
    </w:p>
    <w:p w14:paraId="2A256B05">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lang w:eastAsia="zh-CN"/>
        </w:rPr>
      </w:pPr>
      <w:bookmarkStart w:id="2285" w:name="_Toc7587"/>
      <w:bookmarkStart w:id="2286" w:name="_Toc20571"/>
      <w:bookmarkStart w:id="2287" w:name="_Toc27050"/>
      <w:r>
        <w:rPr>
          <w:rFonts w:hint="eastAsia" w:ascii="Times New Roman" w:hAnsi="Times New Roman" w:eastAsia="楷体_GB2312" w:cs="Times New Roman"/>
          <w:b/>
          <w:sz w:val="32"/>
          <w:szCs w:val="32"/>
          <w:lang w:eastAsia="zh-CN"/>
        </w:rPr>
        <w:t>（二）标准框架和主要内容</w:t>
      </w:r>
    </w:p>
    <w:p w14:paraId="2B55CDF1">
      <w:pPr>
        <w:widowControl/>
        <w:adjustRightInd w:val="0"/>
        <w:spacing w:line="240" w:lineRule="auto"/>
        <w:ind w:firstLine="640" w:firstLineChars="200"/>
        <w:jc w:val="both"/>
        <w:rPr>
          <w:rFonts w:hint="default" w:ascii="宋体" w:hAnsi="宋体" w:eastAsia="仿宋_GB2312"/>
          <w:sz w:val="32"/>
          <w:szCs w:val="32"/>
          <w:lang w:val="en-US" w:eastAsia="zh-CN"/>
        </w:rPr>
      </w:pPr>
      <w:r>
        <w:rPr>
          <w:rFonts w:hint="default" w:ascii="宋体" w:hAnsi="宋体" w:eastAsia="仿宋_GB2312"/>
          <w:sz w:val="32"/>
          <w:szCs w:val="32"/>
          <w:lang w:val="en-US" w:eastAsia="zh-CN"/>
        </w:rPr>
        <w:t>本文件共包括22部分的技术内容。</w:t>
      </w:r>
      <w:r>
        <w:rPr>
          <w:rFonts w:hint="eastAsia" w:ascii="宋体" w:hAnsi="宋体" w:eastAsia="仿宋_GB2312"/>
          <w:sz w:val="32"/>
          <w:szCs w:val="32"/>
          <w:lang w:val="en-US" w:eastAsia="zh-CN"/>
        </w:rPr>
        <w:t>包括：范围、规范性引用文件、术语和定义、缩略语、总体原则、总体布置、总体性能、结构、防腐、系泊、外舾装、轮机系统、油气生产工艺和储运、机械设备和管系、暖通、电气、仪表和控制系统、防火系统、救生和逃生系统、助航标志和信号、通信和操作安全要求。</w:t>
      </w:r>
    </w:p>
    <w:p w14:paraId="05D22C22">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1.范围</w:t>
      </w:r>
    </w:p>
    <w:p w14:paraId="0506F628">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规定了浮式生产储油装置在总体布置、总体性能、结构、防腐、系泊、外舾装、轮机系统、油气生产工艺和储运、机械设备和管系、暖通、电气、仪表和控制系统、防火安全、救生和逃生系统、助航标志和信号、通信等有关设计的安全技术要求和操作安全的管理要求，描述了对应的证实方法。</w:t>
      </w:r>
    </w:p>
    <w:p w14:paraId="33E5E683">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本文件适用于中华人民共和国管辖海域内新建、</w:t>
      </w:r>
      <w:r>
        <w:rPr>
          <w:rFonts w:hint="default" w:ascii="宋体" w:hAnsi="宋体" w:eastAsia="仿宋_GB2312"/>
          <w:sz w:val="32"/>
          <w:szCs w:val="32"/>
          <w:lang w:val="en-US" w:eastAsia="zh-CN"/>
        </w:rPr>
        <w:t>改建</w:t>
      </w:r>
      <w:r>
        <w:rPr>
          <w:rFonts w:hint="eastAsia" w:ascii="宋体" w:hAnsi="宋体" w:eastAsia="仿宋_GB2312"/>
          <w:sz w:val="32"/>
          <w:szCs w:val="32"/>
          <w:lang w:val="en-US" w:eastAsia="zh-CN"/>
        </w:rPr>
        <w:t>的FPSO。本文件生效之后新建的FPSO、现有船舶或设施改为FPSO应满足本文件的要求。现有的FPSO在改建（包括改变FPSO主尺度、改变FPSO用途、改变FPSO分舱水平、改变FPSO稳性以及主管部门认为的其他重大改建）时，设施功能、船体结构和安全技术条件发生变化的部分，应满足本文件的要求；现有FPSO至少应继续满足原设计、建造所采用的法律法规和规范的要求。</w:t>
      </w:r>
    </w:p>
    <w:p w14:paraId="1A244CB5">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2.规范性引用文件</w:t>
      </w:r>
    </w:p>
    <w:p w14:paraId="50EB0445">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本文件共引用了《爆炸性环境》（GB 3836）、《海洋石油天然气开采安全规程 第1部分：总则》（GB 40554.1）、《海洋石油天然气开采安全规程 第2部分：海上部分》（GB 40554.2）以及国际海事组织发布的有关规则和公约等多个规范性文件。</w:t>
      </w:r>
    </w:p>
    <w:p w14:paraId="0D085D8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3.术语和定义</w:t>
      </w:r>
    </w:p>
    <w:p w14:paraId="28BBAD8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为了统一和明确行业相关用语表述，本文件列出了文中涉及的行业术语和定义。界定了船体、系泊系统、标准耐火实验、原油区域、控制站等共6个术语和定义。部分根据行业内统一认识并结合专家评审会意见修改相关行业用语的表述。</w:t>
      </w:r>
    </w:p>
    <w:p w14:paraId="013E2749">
      <w:pPr>
        <w:widowControl/>
        <w:adjustRightInd w:val="0"/>
        <w:spacing w:line="240" w:lineRule="auto"/>
        <w:ind w:firstLine="640" w:firstLineChars="200"/>
        <w:jc w:val="both"/>
        <w:rPr>
          <w:rFonts w:hint="default" w:ascii="宋体" w:hAnsi="宋体" w:eastAsia="仿宋_GB2312"/>
          <w:sz w:val="32"/>
          <w:szCs w:val="32"/>
          <w:lang w:val="en-US" w:eastAsia="zh-CN"/>
        </w:rPr>
      </w:pPr>
      <w:r>
        <w:rPr>
          <w:rFonts w:hint="eastAsia" w:ascii="宋体" w:hAnsi="宋体" w:eastAsia="仿宋_GB2312"/>
          <w:sz w:val="32"/>
          <w:szCs w:val="32"/>
          <w:lang w:val="en-US" w:eastAsia="zh-CN"/>
        </w:rPr>
        <w:t>4.缩略语</w:t>
      </w:r>
    </w:p>
    <w:p w14:paraId="0B494449">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本文件中给出了涉及数字选择性呼叫、国际海事组织等共计17个缩略语。</w:t>
      </w:r>
    </w:p>
    <w:p w14:paraId="46918AF6">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5.总体原则</w:t>
      </w:r>
    </w:p>
    <w:p w14:paraId="748C2C57">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规定了FPSO的总体原则，从风险分析原则、发证检验和入级要求、结构设计、环境条件、消防系统和救逃生系统、危险与可操作性分析和安全完整性等级分析等方面规定了总体要求。</w:t>
      </w:r>
    </w:p>
    <w:p w14:paraId="73437236">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6.总体布置</w:t>
      </w:r>
    </w:p>
    <w:p w14:paraId="2A852C1D">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从FPSO总体布置的通则、上部模块布置（公用设备模块、油气水处理模块、起居处所和控制室、直升机甲板、火炬塔、焊接处所）、舱室布置（船体舱室、</w:t>
      </w:r>
      <w:r>
        <w:rPr>
          <w:rFonts w:hint="default" w:ascii="宋体" w:hAnsi="宋体" w:eastAsia="仿宋_GB2312"/>
          <w:sz w:val="32"/>
          <w:szCs w:val="32"/>
          <w:lang w:val="en-US" w:eastAsia="zh-CN"/>
        </w:rPr>
        <w:t>舱壁甲板下的机器处所</w:t>
      </w:r>
      <w:r>
        <w:rPr>
          <w:rFonts w:hint="eastAsia" w:ascii="宋体" w:hAnsi="宋体" w:eastAsia="仿宋_GB2312"/>
          <w:sz w:val="32"/>
          <w:szCs w:val="32"/>
          <w:lang w:val="en-US" w:eastAsia="zh-CN"/>
        </w:rPr>
        <w:t>、</w:t>
      </w:r>
      <w:r>
        <w:rPr>
          <w:rFonts w:hint="default" w:ascii="宋体" w:hAnsi="宋体" w:eastAsia="仿宋_GB2312"/>
          <w:sz w:val="32"/>
          <w:szCs w:val="32"/>
          <w:lang w:val="en-US" w:eastAsia="zh-CN"/>
        </w:rPr>
        <w:t>原油泵舱</w:t>
      </w:r>
      <w:r>
        <w:rPr>
          <w:rFonts w:hint="eastAsia" w:ascii="宋体" w:hAnsi="宋体" w:eastAsia="仿宋_GB2312"/>
          <w:sz w:val="32"/>
          <w:szCs w:val="32"/>
          <w:lang w:val="en-US" w:eastAsia="zh-CN"/>
        </w:rPr>
        <w:t>、货油舱、污油水舱和生产水舱、燃料油舱、边压载舱及双层底、外输区域）等方面对总体布置做出了相关规定。</w:t>
      </w:r>
    </w:p>
    <w:p w14:paraId="3292B343">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7.总体性能</w:t>
      </w:r>
    </w:p>
    <w:p w14:paraId="5CFB3E5B">
      <w:pPr>
        <w:widowControl/>
        <w:adjustRightInd w:val="0"/>
        <w:spacing w:line="240" w:lineRule="auto"/>
        <w:ind w:firstLine="640" w:firstLineChars="200"/>
        <w:jc w:val="both"/>
        <w:rPr>
          <w:rFonts w:hint="default" w:ascii="宋体" w:hAnsi="宋体" w:eastAsia="仿宋_GB2312"/>
          <w:sz w:val="32"/>
          <w:szCs w:val="32"/>
          <w:lang w:val="en-US" w:eastAsia="zh-CN"/>
        </w:rPr>
      </w:pPr>
      <w:r>
        <w:rPr>
          <w:rFonts w:hint="eastAsia" w:ascii="宋体" w:hAnsi="宋体" w:eastAsia="仿宋_GB2312"/>
          <w:sz w:val="32"/>
          <w:szCs w:val="32"/>
          <w:lang w:val="en-US" w:eastAsia="zh-CN"/>
        </w:rPr>
        <w:t>对FPSO总体性能的稳性（完整稳性、破舱稳性、复原力矩、空船重量与重心）、水密及风雨密完整性、载重线和干舷等方面进行了规定。</w:t>
      </w:r>
    </w:p>
    <w:p w14:paraId="065BAA36">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8.结构</w:t>
      </w:r>
    </w:p>
    <w:p w14:paraId="55271FED">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从船体结构（通用要求、结构设计与分析、船型FPSO和</w:t>
      </w:r>
      <w:r>
        <w:rPr>
          <w:rFonts w:hint="default" w:ascii="宋体" w:hAnsi="宋体" w:eastAsia="仿宋_GB2312"/>
          <w:sz w:val="32"/>
          <w:szCs w:val="32"/>
          <w:lang w:val="en-US" w:eastAsia="zh-CN"/>
        </w:rPr>
        <w:t>其他型式FPSO</w:t>
      </w:r>
      <w:r>
        <w:rPr>
          <w:rFonts w:hint="eastAsia" w:ascii="宋体" w:hAnsi="宋体" w:eastAsia="仿宋_GB2312"/>
          <w:sz w:val="32"/>
          <w:szCs w:val="32"/>
          <w:lang w:val="en-US" w:eastAsia="zh-CN"/>
        </w:rPr>
        <w:t>的要求）、组块结构（结构设计、结构分析）、材料、建造和连接三部分进行了规定。</w:t>
      </w:r>
    </w:p>
    <w:p w14:paraId="00BFE443">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9.防腐</w:t>
      </w:r>
    </w:p>
    <w:p w14:paraId="1A09D1E1">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从防腐设计通则、涂层保护、阴极保护等方面对防腐提出了要求。</w:t>
      </w:r>
    </w:p>
    <w:p w14:paraId="0C09CF10">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10.系泊</w:t>
      </w:r>
    </w:p>
    <w:p w14:paraId="04C27BAF">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FPSO系泊系统设计（环境条件和系泊缆设计），单点转塔各系统（结构、物流输送系统、滑环系统、消防系统、电气系统、仪表和控制系统、暖通系统、通道和走道）安全相关要求、以及系泊监测配置等方面进行了规定。</w:t>
      </w:r>
    </w:p>
    <w:p w14:paraId="7C45FA2C">
      <w:pPr>
        <w:widowControl/>
        <w:adjustRightInd w:val="0"/>
        <w:spacing w:line="240" w:lineRule="auto"/>
        <w:ind w:firstLine="640" w:firstLineChars="200"/>
        <w:jc w:val="both"/>
        <w:rPr>
          <w:rFonts w:hint="default" w:ascii="宋体" w:hAnsi="宋体" w:eastAsia="仿宋_GB2312"/>
          <w:sz w:val="32"/>
          <w:szCs w:val="32"/>
          <w:lang w:val="en-US" w:eastAsia="zh-CN"/>
        </w:rPr>
      </w:pPr>
      <w:r>
        <w:rPr>
          <w:rFonts w:hint="eastAsia" w:ascii="宋体" w:hAnsi="宋体" w:eastAsia="仿宋_GB2312"/>
          <w:sz w:val="32"/>
          <w:szCs w:val="32"/>
          <w:lang w:val="en-US" w:eastAsia="zh-CN"/>
        </w:rPr>
        <w:t>11.外舾装</w:t>
      </w:r>
    </w:p>
    <w:p w14:paraId="58F32940">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规定了外舾装涉及码头系泊设备、防碰及护舷设备、永久检验通道和安全通道等4个方面的安全要求。</w:t>
      </w:r>
    </w:p>
    <w:p w14:paraId="3F989B0F">
      <w:pPr>
        <w:widowControl/>
        <w:adjustRightInd w:val="0"/>
        <w:spacing w:line="240" w:lineRule="auto"/>
        <w:ind w:firstLine="640" w:firstLineChars="200"/>
        <w:jc w:val="both"/>
        <w:rPr>
          <w:rFonts w:hint="default" w:ascii="宋体" w:hAnsi="宋体" w:eastAsia="仿宋_GB2312"/>
          <w:sz w:val="32"/>
          <w:szCs w:val="32"/>
          <w:lang w:val="en-US" w:eastAsia="zh-CN"/>
        </w:rPr>
      </w:pPr>
      <w:r>
        <w:rPr>
          <w:rFonts w:hint="eastAsia" w:ascii="宋体" w:hAnsi="宋体" w:eastAsia="仿宋_GB2312"/>
          <w:sz w:val="32"/>
          <w:szCs w:val="32"/>
          <w:lang w:val="en-US" w:eastAsia="zh-CN"/>
        </w:rPr>
        <w:t>12.轮机系统</w:t>
      </w:r>
    </w:p>
    <w:p w14:paraId="2DDAC987">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轮机系统的倾角工作安全通用要求，以及货油系统、外输系统、压载系统、舱底水系统、开式排放系统、惰性气体系统、透气管、溢流管及测量管、洗舱系统、燃油管系、天然气燃料管系、原油燃料管系、直升机加油管系、滑油管系、压缩空气管系、蒸汽管系、导热油系统、冷却水系统、液压系统等泵送系统的安全技术要求。</w:t>
      </w:r>
    </w:p>
    <w:p w14:paraId="3655C2B1">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13.油气生产工艺和储运</w:t>
      </w:r>
    </w:p>
    <w:p w14:paraId="3A97D315">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油气生产工艺设计的通用要求、油气输入系统、安全保护装置、产品及生产物料储存和外输、保温及伴热、工艺安全分析7个方面的安全要求。其中产品及生产物料储存和外输一节中规定了原油和LPG储存和外输安全要求。</w:t>
      </w:r>
    </w:p>
    <w:p w14:paraId="16C9B982">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14.机械设备及管系</w:t>
      </w:r>
    </w:p>
    <w:p w14:paraId="4CAA4DE6">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机械设备的燃料要求、防护设施、设备布置、设备的可使用性、操控位置等通用安全技术要求，以及内燃机、燃气轮机、压缩机、泵、锅炉、压力容器、起重机等通用设备与上部模块设备管系的安全技术要求。</w:t>
      </w:r>
    </w:p>
    <w:p w14:paraId="7C8DEAD6">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15.暖通</w:t>
      </w:r>
    </w:p>
    <w:p w14:paraId="28B670CD">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规定了采暖、通风和空气调节系统的一般安全要求，规定了起居处所、船体舱室和危险处所的通风安全要求。</w:t>
      </w:r>
    </w:p>
    <w:p w14:paraId="249000CE">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16.电气</w:t>
      </w:r>
    </w:p>
    <w:p w14:paraId="5749D3B3">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规定了FPSO电气系统包括主电源系统、应急电源系统、供配电系统、</w:t>
      </w:r>
      <w:r>
        <w:rPr>
          <w:rFonts w:hint="eastAsia" w:ascii="宋体" w:hAnsi="宋体" w:eastAsia="仿宋_GB2312"/>
          <w:sz w:val="32"/>
          <w:szCs w:val="32"/>
          <w:lang w:val="en-US" w:eastAsia="zh-CN"/>
        </w:rPr>
        <w:fldChar w:fldCharType="begin"/>
      </w:r>
      <w:r>
        <w:rPr>
          <w:rFonts w:hint="eastAsia" w:ascii="宋体" w:hAnsi="宋体" w:eastAsia="仿宋_GB2312"/>
          <w:sz w:val="32"/>
          <w:szCs w:val="32"/>
          <w:lang w:val="en-US" w:eastAsia="zh-CN"/>
        </w:rPr>
        <w:instrText xml:space="preserve"> HYPERLINK \l "_Toc24767" </w:instrText>
      </w:r>
      <w:r>
        <w:rPr>
          <w:rFonts w:hint="eastAsia" w:ascii="宋体" w:hAnsi="宋体" w:eastAsia="仿宋_GB2312"/>
          <w:sz w:val="32"/>
          <w:szCs w:val="32"/>
          <w:lang w:val="en-US" w:eastAsia="zh-CN"/>
        </w:rPr>
        <w:fldChar w:fldCharType="separate"/>
      </w:r>
      <w:r>
        <w:rPr>
          <w:rFonts w:hint="eastAsia" w:ascii="宋体" w:hAnsi="宋体" w:eastAsia="仿宋_GB2312"/>
          <w:sz w:val="32"/>
          <w:szCs w:val="32"/>
          <w:lang w:val="en-US" w:eastAsia="zh-CN"/>
        </w:rPr>
        <w:t>照明</w:t>
      </w:r>
      <w:r>
        <w:rPr>
          <w:rFonts w:hint="eastAsia" w:ascii="宋体" w:hAnsi="宋体" w:eastAsia="仿宋_GB2312"/>
          <w:sz w:val="32"/>
          <w:szCs w:val="32"/>
          <w:lang w:val="en-US" w:eastAsia="zh-CN"/>
        </w:rPr>
        <w:fldChar w:fldCharType="end"/>
      </w:r>
      <w:r>
        <w:rPr>
          <w:rFonts w:hint="eastAsia" w:ascii="宋体" w:hAnsi="宋体" w:eastAsia="仿宋_GB2312"/>
          <w:sz w:val="32"/>
          <w:szCs w:val="32"/>
          <w:lang w:val="en-US" w:eastAsia="zh-CN"/>
        </w:rPr>
        <w:t>、</w:t>
      </w:r>
      <w:r>
        <w:rPr>
          <w:rFonts w:hint="eastAsia" w:ascii="宋体" w:hAnsi="宋体" w:eastAsia="仿宋_GB2312"/>
          <w:sz w:val="32"/>
          <w:szCs w:val="32"/>
          <w:lang w:val="en-US" w:eastAsia="zh-CN"/>
        </w:rPr>
        <w:fldChar w:fldCharType="begin"/>
      </w:r>
      <w:r>
        <w:rPr>
          <w:rFonts w:hint="eastAsia" w:ascii="宋体" w:hAnsi="宋体" w:eastAsia="仿宋_GB2312"/>
          <w:sz w:val="32"/>
          <w:szCs w:val="32"/>
          <w:lang w:val="en-US" w:eastAsia="zh-CN"/>
        </w:rPr>
        <w:instrText xml:space="preserve"> HYPERLINK \l "_Toc28597" </w:instrText>
      </w:r>
      <w:r>
        <w:rPr>
          <w:rFonts w:hint="eastAsia" w:ascii="宋体" w:hAnsi="宋体" w:eastAsia="仿宋_GB2312"/>
          <w:sz w:val="32"/>
          <w:szCs w:val="32"/>
          <w:lang w:val="en-US" w:eastAsia="zh-CN"/>
        </w:rPr>
        <w:fldChar w:fldCharType="separate"/>
      </w:r>
      <w:r>
        <w:rPr>
          <w:rFonts w:hint="eastAsia" w:ascii="宋体" w:hAnsi="宋体" w:eastAsia="仿宋_GB2312"/>
          <w:sz w:val="32"/>
          <w:szCs w:val="32"/>
          <w:lang w:val="en-US" w:eastAsia="zh-CN"/>
        </w:rPr>
        <w:t>电伴热设施和电加热设备</w:t>
      </w:r>
      <w:r>
        <w:rPr>
          <w:rFonts w:hint="eastAsia" w:ascii="宋体" w:hAnsi="宋体" w:eastAsia="仿宋_GB2312"/>
          <w:sz w:val="32"/>
          <w:szCs w:val="32"/>
          <w:lang w:val="en-US" w:eastAsia="zh-CN"/>
        </w:rPr>
        <w:fldChar w:fldCharType="end"/>
      </w:r>
      <w:r>
        <w:rPr>
          <w:rFonts w:hint="eastAsia" w:ascii="宋体" w:hAnsi="宋体" w:eastAsia="仿宋_GB2312"/>
          <w:sz w:val="32"/>
          <w:szCs w:val="32"/>
          <w:lang w:val="en-US" w:eastAsia="zh-CN"/>
        </w:rPr>
        <w:t>、</w:t>
      </w:r>
      <w:r>
        <w:rPr>
          <w:rFonts w:hint="eastAsia" w:ascii="宋体" w:hAnsi="宋体" w:eastAsia="仿宋_GB2312"/>
          <w:sz w:val="32"/>
          <w:szCs w:val="32"/>
          <w:lang w:val="en-US" w:eastAsia="zh-CN"/>
        </w:rPr>
        <w:fldChar w:fldCharType="begin"/>
      </w:r>
      <w:r>
        <w:rPr>
          <w:rFonts w:hint="eastAsia" w:ascii="宋体" w:hAnsi="宋体" w:eastAsia="仿宋_GB2312"/>
          <w:sz w:val="32"/>
          <w:szCs w:val="32"/>
          <w:lang w:val="en-US" w:eastAsia="zh-CN"/>
        </w:rPr>
        <w:instrText xml:space="preserve"> HYPERLINK \l "_Toc23554" </w:instrText>
      </w:r>
      <w:r>
        <w:rPr>
          <w:rFonts w:hint="eastAsia" w:ascii="宋体" w:hAnsi="宋体" w:eastAsia="仿宋_GB2312"/>
          <w:sz w:val="32"/>
          <w:szCs w:val="32"/>
          <w:lang w:val="en-US" w:eastAsia="zh-CN"/>
        </w:rPr>
        <w:fldChar w:fldCharType="separate"/>
      </w:r>
      <w:r>
        <w:rPr>
          <w:rFonts w:hint="eastAsia" w:ascii="宋体" w:hAnsi="宋体" w:eastAsia="仿宋_GB2312"/>
          <w:sz w:val="32"/>
          <w:szCs w:val="32"/>
          <w:lang w:val="en-US" w:eastAsia="zh-CN"/>
        </w:rPr>
        <w:t>电缆</w:t>
      </w:r>
      <w:r>
        <w:rPr>
          <w:rFonts w:hint="eastAsia" w:ascii="宋体" w:hAnsi="宋体" w:eastAsia="仿宋_GB2312"/>
          <w:sz w:val="32"/>
          <w:szCs w:val="32"/>
          <w:lang w:val="en-US" w:eastAsia="zh-CN"/>
        </w:rPr>
        <w:fldChar w:fldCharType="end"/>
      </w:r>
      <w:r>
        <w:rPr>
          <w:rFonts w:hint="eastAsia" w:ascii="宋体" w:hAnsi="宋体" w:eastAsia="仿宋_GB2312"/>
          <w:sz w:val="32"/>
          <w:szCs w:val="32"/>
          <w:lang w:val="en-US" w:eastAsia="zh-CN"/>
        </w:rPr>
        <w:t>、</w:t>
      </w:r>
      <w:r>
        <w:rPr>
          <w:rFonts w:hint="eastAsia" w:ascii="宋体" w:hAnsi="宋体" w:eastAsia="仿宋_GB2312"/>
          <w:sz w:val="32"/>
          <w:szCs w:val="32"/>
          <w:lang w:val="en-US" w:eastAsia="zh-CN"/>
        </w:rPr>
        <w:fldChar w:fldCharType="begin"/>
      </w:r>
      <w:r>
        <w:rPr>
          <w:rFonts w:hint="eastAsia" w:ascii="宋体" w:hAnsi="宋体" w:eastAsia="仿宋_GB2312"/>
          <w:sz w:val="32"/>
          <w:szCs w:val="32"/>
          <w:lang w:val="en-US" w:eastAsia="zh-CN"/>
        </w:rPr>
        <w:instrText xml:space="preserve"> HYPERLINK \l "_Toc30700" </w:instrText>
      </w:r>
      <w:r>
        <w:rPr>
          <w:rFonts w:hint="eastAsia" w:ascii="宋体" w:hAnsi="宋体" w:eastAsia="仿宋_GB2312"/>
          <w:sz w:val="32"/>
          <w:szCs w:val="32"/>
          <w:lang w:val="en-US" w:eastAsia="zh-CN"/>
        </w:rPr>
        <w:fldChar w:fldCharType="separate"/>
      </w:r>
      <w:r>
        <w:rPr>
          <w:rFonts w:hint="eastAsia" w:ascii="宋体" w:hAnsi="宋体" w:eastAsia="仿宋_GB2312"/>
          <w:sz w:val="32"/>
          <w:szCs w:val="32"/>
          <w:lang w:val="en-US" w:eastAsia="zh-CN"/>
        </w:rPr>
        <w:t>接地、防雷及防干扰、危险场所内电气设备等</w:t>
      </w:r>
      <w:r>
        <w:rPr>
          <w:rFonts w:hint="eastAsia" w:ascii="宋体" w:hAnsi="宋体" w:eastAsia="仿宋_GB2312"/>
          <w:sz w:val="32"/>
          <w:szCs w:val="32"/>
          <w:lang w:val="en-US" w:eastAsia="zh-CN"/>
        </w:rPr>
        <w:fldChar w:fldCharType="end"/>
      </w:r>
      <w:r>
        <w:rPr>
          <w:rFonts w:hint="eastAsia" w:ascii="宋体" w:hAnsi="宋体" w:eastAsia="仿宋_GB2312"/>
          <w:sz w:val="32"/>
          <w:szCs w:val="32"/>
          <w:lang w:val="en-US" w:eastAsia="zh-CN"/>
        </w:rPr>
        <w:t>9个方面的安全要求。</w:t>
      </w:r>
    </w:p>
    <w:p w14:paraId="0ED1BFA9">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17.仪表和控制系统</w:t>
      </w:r>
    </w:p>
    <w:p w14:paraId="4099035D">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规定了FPSO仪表及控制系统包括通用要求、系统设置、报警、应急关断系统、火灾与可燃、有毒气体探测报警系统、</w:t>
      </w:r>
      <w:r>
        <w:rPr>
          <w:rFonts w:hint="eastAsia" w:ascii="宋体" w:hAnsi="宋体" w:eastAsia="仿宋_GB2312"/>
          <w:sz w:val="32"/>
          <w:szCs w:val="32"/>
          <w:lang w:val="en-US" w:eastAsia="zh-CN"/>
        </w:rPr>
        <w:fldChar w:fldCharType="begin"/>
      </w:r>
      <w:r>
        <w:rPr>
          <w:rFonts w:hint="eastAsia" w:ascii="宋体" w:hAnsi="宋体" w:eastAsia="仿宋_GB2312"/>
          <w:sz w:val="32"/>
          <w:szCs w:val="32"/>
          <w:lang w:val="en-US" w:eastAsia="zh-CN"/>
        </w:rPr>
        <w:instrText xml:space="preserve"> HYPERLINK \l _Toc30700 </w:instrText>
      </w:r>
      <w:r>
        <w:rPr>
          <w:rFonts w:hint="eastAsia" w:ascii="宋体" w:hAnsi="宋体" w:eastAsia="仿宋_GB2312"/>
          <w:sz w:val="32"/>
          <w:szCs w:val="32"/>
          <w:lang w:val="en-US" w:eastAsia="zh-CN"/>
        </w:rPr>
        <w:fldChar w:fldCharType="separate"/>
      </w:r>
      <w:r>
        <w:rPr>
          <w:rFonts w:hint="eastAsia" w:ascii="宋体" w:hAnsi="宋体" w:eastAsia="仿宋_GB2312"/>
          <w:sz w:val="32"/>
          <w:szCs w:val="32"/>
          <w:lang w:val="en-US" w:eastAsia="zh-CN"/>
        </w:rPr>
        <w:t>控制系统试验、控制电缆、电源、接地等</w:t>
      </w:r>
      <w:r>
        <w:rPr>
          <w:rFonts w:hint="eastAsia" w:ascii="宋体" w:hAnsi="宋体" w:eastAsia="仿宋_GB2312"/>
          <w:sz w:val="32"/>
          <w:szCs w:val="32"/>
          <w:lang w:val="en-US" w:eastAsia="zh-CN"/>
        </w:rPr>
        <w:fldChar w:fldCharType="end"/>
      </w:r>
      <w:r>
        <w:rPr>
          <w:rFonts w:hint="eastAsia" w:ascii="宋体" w:hAnsi="宋体" w:eastAsia="仿宋_GB2312"/>
          <w:sz w:val="32"/>
          <w:szCs w:val="32"/>
          <w:lang w:val="en-US" w:eastAsia="zh-CN"/>
        </w:rPr>
        <w:t>8个方面的安全要求。</w:t>
      </w:r>
    </w:p>
    <w:p w14:paraId="2AF3A6C8">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18.防火系统</w:t>
      </w:r>
    </w:p>
    <w:p w14:paraId="41DCA8A0">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规定了防火分隔配备要求。规定了结构防火包括结构材料和耐火完整性的安全要求。</w:t>
      </w:r>
    </w:p>
    <w:p w14:paraId="5CA34E9F">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明确了消防系统包括水消防系统、固定甲板泡沫灭火系统、气体灭火系统、细水雾灭火系统、直升机甲板消防系统、灭火器和消防员装备的配置和安全要求。。</w:t>
      </w:r>
    </w:p>
    <w:p w14:paraId="0E27772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19.救生和逃生系统</w:t>
      </w:r>
    </w:p>
    <w:p w14:paraId="703B025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从救生艇筏、救助艇、个人救生设备（救生圈、救生衣、防寒救生服）、遇险信号、人员防护设备、无线电救生设备、逃生通道、登艇集合区和临时避难所等10个方面提出了安全要求。</w:t>
      </w:r>
    </w:p>
    <w:p w14:paraId="195EE7F5">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20.助航标志和信号</w:t>
      </w:r>
    </w:p>
    <w:p w14:paraId="441F28E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对</w:t>
      </w:r>
      <w:r>
        <w:rPr>
          <w:rFonts w:hint="default" w:ascii="宋体" w:hAnsi="宋体" w:eastAsia="仿宋_GB2312"/>
          <w:sz w:val="32"/>
          <w:szCs w:val="32"/>
          <w:lang w:val="en-US" w:eastAsia="zh-CN"/>
        </w:rPr>
        <w:t>助航标志和信号设备</w:t>
      </w:r>
      <w:r>
        <w:rPr>
          <w:rFonts w:hint="eastAsia" w:ascii="宋体" w:hAnsi="宋体" w:eastAsia="仿宋_GB2312"/>
          <w:sz w:val="32"/>
          <w:szCs w:val="32"/>
          <w:lang w:val="en-US" w:eastAsia="zh-CN"/>
        </w:rPr>
        <w:t>的配备、安装、光强和射程、闪光特性及控制系统提出了技术要求。规定了雾笛的安装、听程和音响信号、控制系统的技术要求。明确了平台灯光信号和音响信号技术性能、助航标志与信号设备供电电源要求以及危险区的防爆要求。</w:t>
      </w:r>
    </w:p>
    <w:p w14:paraId="123E82E9">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21.通信</w:t>
      </w:r>
    </w:p>
    <w:p w14:paraId="5F55EC9A">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对FPSO的通信设备包括外部通信设备和内部通信设备配置、安全技术要求、电源、天线、电缆接地箱和危险区通信设备的技术条件进行规定</w:t>
      </w:r>
    </w:p>
    <w:p w14:paraId="299B64C1">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22.操作安全要求</w:t>
      </w:r>
    </w:p>
    <w:p w14:paraId="689FBD40">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规定了FPSO生产运维期间的操作安全要求，明确了操作手册、装载手册的内容要求；同时对FPSO典型的外输作业和ROV作业提出了安全要求；规范了FPSO的弃置/处置安全要求。</w:t>
      </w:r>
    </w:p>
    <w:bookmarkEnd w:id="2285"/>
    <w:bookmarkEnd w:id="2286"/>
    <w:bookmarkEnd w:id="2287"/>
    <w:p w14:paraId="73D8F263">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lang w:eastAsia="zh-CN"/>
        </w:rPr>
      </w:pPr>
      <w:r>
        <w:rPr>
          <w:rFonts w:hint="eastAsia" w:ascii="Times New Roman" w:hAnsi="Times New Roman" w:eastAsia="楷体_GB2312" w:cs="Times New Roman"/>
          <w:b/>
          <w:sz w:val="32"/>
          <w:szCs w:val="32"/>
          <w:lang w:eastAsia="zh-CN"/>
        </w:rPr>
        <w:t>（三）主要技术要求的依据及理由</w:t>
      </w:r>
    </w:p>
    <w:p w14:paraId="7CD4651E">
      <w:pPr>
        <w:widowControl/>
        <w:adjustRightInd w:val="0"/>
        <w:spacing w:line="240" w:lineRule="auto"/>
        <w:ind w:firstLine="640" w:firstLineChars="200"/>
        <w:jc w:val="both"/>
        <w:rPr>
          <w:rFonts w:hint="eastAsia" w:ascii="宋体" w:hAnsi="宋体" w:eastAsia="仿宋_GB2312"/>
          <w:sz w:val="32"/>
          <w:szCs w:val="32"/>
          <w:lang w:val="en-US" w:eastAsia="zh-CN"/>
        </w:rPr>
      </w:pPr>
      <w:bookmarkStart w:id="2288" w:name="_Toc27796"/>
      <w:bookmarkStart w:id="2289" w:name="_Toc18137"/>
      <w:bookmarkStart w:id="2290" w:name="_Toc39385878"/>
      <w:bookmarkStart w:id="2291" w:name="_Toc32504"/>
      <w:r>
        <w:rPr>
          <w:rFonts w:hint="eastAsia" w:ascii="宋体" w:hAnsi="宋体" w:eastAsia="仿宋_GB2312"/>
          <w:sz w:val="32"/>
          <w:szCs w:val="32"/>
          <w:lang w:val="en-US" w:eastAsia="zh-CN"/>
        </w:rPr>
        <w:t>1.基于FPSO实施运行多年的经验</w:t>
      </w:r>
    </w:p>
    <w:p w14:paraId="24453E3A">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我国历经近40年的海洋石油开发生产实践，在FPSO安全设计、建造、安装和生产管理方面积累了大量的宝贵经验，形成了从FPSO设计、建造、总装集成、海上安装运维、弃置/处置全生命周期的一套成熟的安全技术和良好作业实践，作为本文件编制的依据和技术支撑。</w:t>
      </w:r>
    </w:p>
    <w:p w14:paraId="5A16902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中国海洋石油集团有限公司作为我国海域作业FPSO的主体单位，中船集团作为FPSO参与的设计单位，中国船级社作为国内唯一的船检机构，均已经形成一套行之有效的企业级安全技术标准和安全生产规范性做法，经过系统化梳理可以上升为本文件的条款。</w:t>
      </w:r>
    </w:p>
    <w:p w14:paraId="45BB52CA">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2.业内成熟做法与专家建议</w:t>
      </w:r>
    </w:p>
    <w:p w14:paraId="39FC649A">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在本文件制订过程中，应急管理部海油安监办及中国海洋石油集团有限公司QHSE部组织多次专家研讨和审查，既有各作业者单位也有设计建造承包者单位，还包括船级社，覆盖了海洋石油FPSO设计、建造、安装、生产以及发证检验各单位的专家，标准各部分内容充分征求了业内专家的意见和建议。</w:t>
      </w:r>
    </w:p>
    <w:bookmarkEnd w:id="2288"/>
    <w:bookmarkEnd w:id="2289"/>
    <w:bookmarkEnd w:id="2290"/>
    <w:bookmarkEnd w:id="2291"/>
    <w:p w14:paraId="070546CF">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292" w:name="_Toc15570"/>
      <w:bookmarkStart w:id="2293" w:name="_Toc2699"/>
      <w:bookmarkStart w:id="2294" w:name="_Toc26536"/>
      <w:bookmarkStart w:id="2295" w:name="_Toc15147"/>
      <w:bookmarkStart w:id="2296" w:name="_Toc28116"/>
      <w:r>
        <w:rPr>
          <w:rFonts w:hint="eastAsia" w:ascii="Times New Roman" w:hAnsi="Times New Roman" w:eastAsia="黑体"/>
          <w:sz w:val="32"/>
          <w:szCs w:val="32"/>
          <w:lang w:eastAsia="zh-CN"/>
        </w:rPr>
        <w:t>三、与有关法律、行政法规和其他强制性标准的关系，配套推荐性标准的制定情况</w:t>
      </w:r>
      <w:bookmarkEnd w:id="2292"/>
      <w:bookmarkEnd w:id="2293"/>
      <w:bookmarkEnd w:id="2294"/>
      <w:bookmarkEnd w:id="2295"/>
      <w:bookmarkEnd w:id="2296"/>
    </w:p>
    <w:p w14:paraId="65ED22D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我国一直是以《安全生产法》《海洋石油安全生产规定》《海洋石油安全管理细则》等法律法规、国家标准、行业标准及企业标准规范海洋石油FPSO各阶段的安全生产。</w:t>
      </w:r>
    </w:p>
    <w:p w14:paraId="09123F27">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法律法规方面。海洋石油天然气开采安全领域尚未制定专门法律法规。正在执行的海洋石油安全管理部门规章主要包括《海上石油天然气生产设施检验规定》、《海洋石油安全生产规定》、《海洋石油安全管理细则》及《浮式生产储油装置（FPSO）安全规则》等。</w:t>
      </w:r>
    </w:p>
    <w:p w14:paraId="435B1C01">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（二）国家标准方面。涉及FPSO的标准有GB/T 42034-2022《浮式生产储油装置总体技术规范》，主要对FPSO的总体、结构、轮机、舾装、电气、防腐等单个系统进行规范。</w:t>
      </w:r>
    </w:p>
    <w:p w14:paraId="65872416">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（三）石油天然气行业标准方面。涉及FPSO的石油天然气行业标准主要有3个，均是针对FPSO的部分设备或作业内容进行规范，SY/T 10029《浮式生产系统规划、设计及建造的推荐作法》和SY/T 10040《浮式结构物定位系统设计与分析的推荐作法》均是采标API的规范，主要是针对设计、建造和服役期间检验；SY/T 7431《深水浮式结构总体性能分析推荐作法》，主要针对浮式结构总体设计，为单一专业的技术要求。现有的关于FPSO的行业标准多为设计、检验要求，无法覆盖FPSO全生命周期的风险管控的安全需要，且该类标准没有强制性。</w:t>
      </w:r>
    </w:p>
    <w:p w14:paraId="6AEEDCD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为海洋石油行业安全领域的基础性、通用性标准。本文件在遵循相关法律法规的基础上，根据FPSO作业特点和需求，提出了更加具体的技术要求，为法律法规的落实提供技术支撑。本文件在制订过程中，充分考虑了现行其他强制性标准的相关要求，与其他强制性相关标准进行了有效衔接，提出了适用于FPSO安全的通用性技术要求，定位明确，与现行标准无冲突。</w:t>
      </w:r>
    </w:p>
    <w:p w14:paraId="2C58A3FC">
      <w:pPr>
        <w:widowControl/>
        <w:adjustRightInd w:val="0"/>
        <w:spacing w:line="240" w:lineRule="auto"/>
        <w:ind w:firstLine="640" w:firstLineChars="200"/>
        <w:jc w:val="both"/>
        <w:rPr>
          <w:rFonts w:hint="default" w:ascii="宋体" w:hAnsi="宋体" w:eastAsia="仿宋_GB2312"/>
          <w:sz w:val="32"/>
          <w:szCs w:val="32"/>
          <w:lang w:val="en-US" w:eastAsia="zh-CN"/>
        </w:rPr>
      </w:pPr>
      <w:r>
        <w:rPr>
          <w:rFonts w:hint="eastAsia" w:ascii="宋体" w:hAnsi="宋体" w:eastAsia="仿宋_GB2312"/>
          <w:sz w:val="32"/>
          <w:szCs w:val="32"/>
          <w:lang w:val="en-US" w:eastAsia="zh-CN"/>
        </w:rPr>
        <w:t>本文件目前尚未有配套推荐性标准的制定计划。</w:t>
      </w:r>
    </w:p>
    <w:p w14:paraId="30A9960E">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297" w:name="_Toc25498"/>
      <w:bookmarkStart w:id="2298" w:name="_Toc32017"/>
      <w:bookmarkStart w:id="2299" w:name="_Toc9359"/>
      <w:bookmarkStart w:id="2300" w:name="_Toc17165"/>
      <w:r>
        <w:rPr>
          <w:rFonts w:hint="eastAsia" w:ascii="Times New Roman" w:hAnsi="Times New Roman" w:eastAsia="黑体"/>
          <w:sz w:val="32"/>
          <w:szCs w:val="32"/>
          <w:lang w:eastAsia="zh-CN"/>
        </w:rPr>
        <w:t>四、与国际标准化组织、其他国家或者地区有关法律法规和标准的比对分析</w:t>
      </w:r>
      <w:bookmarkEnd w:id="2297"/>
      <w:bookmarkEnd w:id="2298"/>
      <w:bookmarkEnd w:id="2299"/>
      <w:bookmarkEnd w:id="2300"/>
    </w:p>
    <w:p w14:paraId="146C05D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目前，国外常用的海上生产设施安全设计与控制相关工业标准主要有国际标准化组织(ISO)、挪威石油标准化组织(NORSOK)、美国石油学会(API)、国际油气生产协会（IOGP）标准、美国国际防腐蚀工程师协会（NACE）等相关标准。其中大部分国外标准已经由SY标准等同采用，如SY/T 10029-2016《浮式生产系统规划、设计及建造的推荐作法》等同采用API RP 2FPS；SY/T 10040-2016《浮式结构物定位系统设计与分析》等同采用API RP 2SK，且API有知识产权要求，后续将无法直接等同采用相关规范；其他标准如ISO 17776-2016《石油和天然气工业.海上生产装置.新装置设计期间的主要事故危害管理》针对海上油气设施各阶段的风险管理技术要求；NORSOK S-001《技术安全》(2018)在挪威海上设施安全技术领域具有基础性的地位，主要适用于海上油气生产设施的结构安全设计和安全风险设计与控制的技术要求；NORSOK Z-013《风险和应急准备分析》规定了海上和陆上油气生产装置的风险和应急准备评估，均是偏重风险管理。</w:t>
      </w:r>
    </w:p>
    <w:p w14:paraId="6630ACB6">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由于国内外海洋环境条件、国家法律法规及发展策略的差异，国外标准并不能很好满足我国FPSO工程设计需求。总体看，本文件的专业技术水平与国外标准水平基本相当，但在系统性、完整性、广泛性、协调性、本质安全性等方面具有优势。</w:t>
      </w:r>
    </w:p>
    <w:p w14:paraId="34B93C75">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301" w:name="_Toc3005"/>
      <w:bookmarkStart w:id="2302" w:name="_Toc27676"/>
      <w:bookmarkStart w:id="2303" w:name="_Toc32343"/>
      <w:bookmarkStart w:id="2304" w:name="_Toc5503"/>
      <w:bookmarkStart w:id="2305" w:name="_Toc2568"/>
      <w:r>
        <w:rPr>
          <w:rFonts w:hint="eastAsia" w:ascii="Times New Roman" w:hAnsi="Times New Roman" w:eastAsia="黑体"/>
          <w:sz w:val="32"/>
          <w:szCs w:val="32"/>
          <w:lang w:eastAsia="zh-CN"/>
        </w:rPr>
        <w:t>五、重大分歧意见的</w:t>
      </w:r>
      <w:bookmarkEnd w:id="2301"/>
      <w:bookmarkEnd w:id="2302"/>
      <w:bookmarkEnd w:id="2303"/>
      <w:bookmarkEnd w:id="2304"/>
      <w:bookmarkEnd w:id="2305"/>
      <w:r>
        <w:rPr>
          <w:rFonts w:hint="eastAsia" w:ascii="Times New Roman" w:hAnsi="Times New Roman" w:eastAsia="黑体"/>
          <w:sz w:val="32"/>
          <w:szCs w:val="32"/>
          <w:lang w:eastAsia="zh-CN"/>
        </w:rPr>
        <w:t>处理过程、处理意见及其依据</w:t>
      </w:r>
    </w:p>
    <w:p w14:paraId="225AC2A2">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本文件无重大分歧意见。</w:t>
      </w:r>
    </w:p>
    <w:p w14:paraId="74CF78FB">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306" w:name="_Toc7432"/>
      <w:bookmarkStart w:id="2307" w:name="_Toc17747"/>
      <w:bookmarkStart w:id="2308" w:name="_Toc11667"/>
      <w:bookmarkStart w:id="2309" w:name="_Toc16565"/>
      <w:bookmarkStart w:id="2310" w:name="_Toc30339"/>
      <w:r>
        <w:rPr>
          <w:rFonts w:hint="eastAsia" w:ascii="Times New Roman" w:hAnsi="Times New Roman" w:eastAsia="黑体"/>
          <w:sz w:val="32"/>
          <w:szCs w:val="32"/>
          <w:lang w:eastAsia="zh-CN"/>
        </w:rPr>
        <w:t>六、强制性国家标准自发布日期至实施日期之间的过渡期的建议及理由</w:t>
      </w:r>
      <w:bookmarkEnd w:id="2306"/>
      <w:bookmarkEnd w:id="2307"/>
      <w:bookmarkEnd w:id="2308"/>
      <w:bookmarkEnd w:id="2309"/>
      <w:bookmarkEnd w:id="2310"/>
    </w:p>
    <w:p w14:paraId="7C1BC38A">
      <w:pPr>
        <w:widowControl/>
        <w:adjustRightInd w:val="0"/>
        <w:spacing w:line="240" w:lineRule="auto"/>
        <w:ind w:firstLine="640" w:firstLineChars="200"/>
        <w:jc w:val="both"/>
        <w:rPr>
          <w:rFonts w:hint="eastAsia" w:ascii="宋体" w:hAnsi="宋体" w:eastAsia="仿宋_GB2312"/>
          <w:sz w:val="32"/>
          <w:szCs w:val="32"/>
          <w:lang w:val="en-US" w:eastAsia="zh-CN"/>
        </w:rPr>
      </w:pPr>
      <w:bookmarkStart w:id="2311" w:name="_Toc39385885"/>
      <w:r>
        <w:rPr>
          <w:rFonts w:hint="eastAsia" w:ascii="宋体" w:hAnsi="宋体" w:eastAsia="仿宋_GB2312"/>
          <w:sz w:val="32"/>
          <w:szCs w:val="32"/>
          <w:lang w:val="en-US" w:eastAsia="zh-CN"/>
        </w:rPr>
        <w:t>考虑标准发布、宣贯所需时间，本文件发布日期至实施日期之间的过渡期建议为6个月。</w:t>
      </w:r>
      <w:bookmarkEnd w:id="2311"/>
    </w:p>
    <w:p w14:paraId="5F1D4545">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理由如下：本文件发布后，需要对设计单位、建造单位、生产单位、第三方机构等进行宣贯和培训，保证相关单位能够更好理解本文件技术内容。通过设置6个月的过渡期，可以确保标准在实施之前得到广泛的宣贯和推广，使相关单位有足够的时间来适应和遵守新标准的要求，从而确保标准的顺利实施。</w:t>
      </w:r>
    </w:p>
    <w:p w14:paraId="6BA3BD41">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312" w:name="_Toc19972"/>
      <w:bookmarkStart w:id="2313" w:name="_Toc15024"/>
      <w:bookmarkStart w:id="2314" w:name="_Toc8691"/>
      <w:bookmarkStart w:id="2315" w:name="_Toc16356"/>
      <w:bookmarkStart w:id="2316" w:name="_Toc24030"/>
      <w:r>
        <w:rPr>
          <w:rFonts w:hint="eastAsia" w:ascii="Times New Roman" w:hAnsi="Times New Roman" w:eastAsia="黑体"/>
          <w:sz w:val="32"/>
          <w:szCs w:val="32"/>
          <w:lang w:eastAsia="zh-CN"/>
        </w:rPr>
        <w:t>七、实施强制性国家标准有关的政策措施</w:t>
      </w:r>
      <w:bookmarkEnd w:id="2312"/>
      <w:bookmarkEnd w:id="2313"/>
      <w:bookmarkEnd w:id="2314"/>
      <w:bookmarkEnd w:id="2315"/>
      <w:bookmarkEnd w:id="2316"/>
    </w:p>
    <w:p w14:paraId="6B8AD645">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（一）实施监督管理部门</w:t>
      </w:r>
    </w:p>
    <w:p w14:paraId="3F256360">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本文件的实施监督管理部门为应急管理部、各级应急管理部门和海油安监办各分部。</w:t>
      </w:r>
    </w:p>
    <w:p w14:paraId="0E0023EE">
      <w:pPr>
        <w:widowControl w:val="0"/>
        <w:adjustRightInd/>
        <w:spacing w:line="360" w:lineRule="auto"/>
        <w:ind w:firstLine="643" w:firstLineChars="200"/>
        <w:jc w:val="left"/>
        <w:outlineLvl w:val="9"/>
        <w:rPr>
          <w:rFonts w:hint="eastAsia" w:ascii="Times New Roman" w:hAnsi="Times New Roman" w:eastAsia="楷体_GB2312" w:cs="Times New Roman"/>
          <w:b/>
          <w:sz w:val="32"/>
          <w:szCs w:val="32"/>
          <w:lang w:val="en-US" w:eastAsia="zh-CN"/>
        </w:rPr>
      </w:pPr>
      <w:r>
        <w:rPr>
          <w:rFonts w:hint="eastAsia" w:ascii="Times New Roman" w:hAnsi="Times New Roman" w:eastAsia="楷体_GB2312" w:cs="Times New Roman"/>
          <w:b/>
          <w:sz w:val="32"/>
          <w:szCs w:val="32"/>
          <w:lang w:val="en-US" w:eastAsia="zh-CN"/>
        </w:rPr>
        <w:t>（二）对违反强制性国家标准的行为进行处理的有关法律、行政法规、部门规章依据等</w:t>
      </w:r>
    </w:p>
    <w:p w14:paraId="73C69650">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对违反强制性国家标准的行为，进行处理所依据的法律为《安全生产法》，部门规章为《海洋石油安全生产规定》以及《海洋石油安全管理细则》。</w:t>
      </w:r>
    </w:p>
    <w:p w14:paraId="519EFFF7">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依据的主要条款包括但不限于：</w:t>
      </w:r>
    </w:p>
    <w:p w14:paraId="4641EF7C">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1.《中华人民共和国安全生产法》</w:t>
      </w:r>
    </w:p>
    <w:p w14:paraId="111CA20D">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第十一条 生产经营单位必须执行依法制定的保障安全生产的国家标准或者行业标准。</w:t>
      </w:r>
    </w:p>
    <w:p w14:paraId="05230FBA">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第二十条 生产经营单位应当具备本法和有关法律、行政法规和国家标准或者行业标准规定的安全生产条件；不具备安全生产条件的，不得从事生产经营活动。</w:t>
      </w:r>
    </w:p>
    <w:p w14:paraId="69ED0DDC">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第三十六条 安全设备的设计、制造、安装、使用、检测、维修、改造和报废，应当符合国家标准或者行业标准。</w:t>
      </w:r>
    </w:p>
    <w:p w14:paraId="09D8562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第三十九条 生产、经营、运输、储存、使用危险物品或者处置废弃危险物品的，由有关主管部门依照有关法律、法规的规定和国家标准或者行业标准审批并实施监督管理。</w:t>
      </w:r>
    </w:p>
    <w:p w14:paraId="60C6CFF8">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14:paraId="6E2A84A1">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第六十三条 负有安全生产监督管理职责的部门依照有关法律、法规的规定，对涉及安全生产的事项需要审查批准（包括批准、核准、许可、注册、认证、颁发证照等）或者验收的，必须严格依照有关法律、法规和国家标准或者行业标准规定的安全生产条件和程序进行审查；不符合有关法律、法规和国家标准或者行业标准规定的安全生产条件的，不得批准或者验收通过。</w:t>
      </w:r>
    </w:p>
    <w:p w14:paraId="018A36E1">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第六十五条 应急管理部门和其他负有安全生产监督管理职责的部门依法开展安全生产行政执法工作，对生产经营单位执行有关安全生产的法律、法规和国家标准或者行业标准的情况进行监督检查，行使以下职权：（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14:paraId="38EDEAC8">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二）安全设备的安装、使用、检测、改造和报废不符合国家标准或者行业标准的。</w:t>
      </w:r>
    </w:p>
    <w:p w14:paraId="2F37307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三）不具备法律、行政法规和国家标准或者行业标准规定的安全生产条件，导致发生重大、特别重大生产安全事故的。</w:t>
      </w:r>
    </w:p>
    <w:p w14:paraId="6438F844">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2.《海洋石油安全生产规定》</w:t>
      </w:r>
    </w:p>
    <w:p w14:paraId="74D412A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第五条 作业者和承包者应当遵守有关安全生产的法律、行政法规、部门规章、国家标准和行业标准，具备安全生产条件。</w:t>
      </w:r>
    </w:p>
    <w:p w14:paraId="26A7B9C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第二十七条 发证检验机构应当依照有关法律、行政法规、部门规章和国家标准、行业标准或者作业者选定的技术标准实施审查、检验，并对审查、检验结果负责。作业者选定的技术标准不得低于国家标准和行业标准。海油安办对发证检验机构实施的设计审查程序、检验程序进行监督。</w:t>
      </w:r>
    </w:p>
    <w:p w14:paraId="46F9D21B">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第三十条 海油安办及其各分部依法对作业者和承包者执行有关安全生产的法律、行政法规和国家标准或者行业标准的情况进行监督检查，行使以下职权：（四）对有根据认为不符合保障安全生产的国家标准或者行业标准的设施、设备、器材予以查封或者扣押，并应当在15日内依法作出处理决定。</w:t>
      </w:r>
    </w:p>
    <w:p w14:paraId="3C1E8CF3">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3.《海洋石油安全管理细则》</w:t>
      </w:r>
    </w:p>
    <w:p w14:paraId="0F7E1919">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第十七条 在海洋石油生产作业中，作业者和承包者应当确保海洋石油生产、作业设施（以下简称设施）安全条件符合法律、法规、规章和相关国家标准、行业标准的要求，并建立完善的安全管理体系。</w:t>
      </w:r>
    </w:p>
    <w:p w14:paraId="4AFDD48E">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第二十一条 设施上的各种设备应当符合国家有关法律、法规、规章、标准的安全要求，有出厂合格证书或者检验合格证书。</w:t>
      </w:r>
    </w:p>
    <w:p w14:paraId="7D0AEB1F">
      <w:pPr>
        <w:widowControl/>
        <w:adjustRightInd w:val="0"/>
        <w:spacing w:line="240" w:lineRule="auto"/>
        <w:ind w:firstLine="640" w:firstLineChars="200"/>
        <w:jc w:val="both"/>
        <w:rPr>
          <w:rFonts w:hint="eastAsia" w:ascii="宋体" w:hAnsi="宋体" w:eastAsia="仿宋_GB2312"/>
          <w:sz w:val="32"/>
          <w:szCs w:val="32"/>
          <w:lang w:val="en-US" w:eastAsia="zh-CN"/>
        </w:rPr>
      </w:pPr>
      <w:r>
        <w:rPr>
          <w:rFonts w:hint="eastAsia" w:ascii="宋体" w:hAnsi="宋体" w:eastAsia="仿宋_GB2312"/>
          <w:sz w:val="32"/>
          <w:szCs w:val="32"/>
          <w:lang w:val="en-US" w:eastAsia="zh-CN"/>
        </w:rPr>
        <w:t>第一百零九条 海油安办及其有关分部应当按照法律、行政法规、规章和标准的规定，依法对海洋石油生产经营单位的安全生产实施监督检查。</w:t>
      </w:r>
    </w:p>
    <w:p w14:paraId="4D2C6AF9">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317" w:name="_Toc11124"/>
      <w:bookmarkStart w:id="2318" w:name="_Toc18601"/>
      <w:bookmarkStart w:id="2319" w:name="_Toc8061"/>
      <w:bookmarkStart w:id="2320" w:name="_Toc20937"/>
      <w:bookmarkStart w:id="2321" w:name="_Toc39385888"/>
      <w:r>
        <w:rPr>
          <w:rFonts w:hint="eastAsia" w:ascii="Times New Roman" w:hAnsi="Times New Roman" w:eastAsia="黑体"/>
          <w:sz w:val="32"/>
          <w:szCs w:val="32"/>
          <w:lang w:eastAsia="zh-CN"/>
        </w:rPr>
        <w:t>八、是否需要对外通报的建议及理由</w:t>
      </w:r>
      <w:bookmarkEnd w:id="2317"/>
      <w:bookmarkEnd w:id="2318"/>
      <w:bookmarkEnd w:id="2319"/>
      <w:bookmarkEnd w:id="2320"/>
    </w:p>
    <w:p w14:paraId="42781017">
      <w:pPr>
        <w:widowControl w:val="0"/>
        <w:adjustRightInd w:val="0"/>
        <w:spacing w:line="360" w:lineRule="auto"/>
        <w:ind w:firstLine="640" w:firstLineChars="200"/>
        <w:jc w:val="both"/>
        <w:rPr>
          <w:rFonts w:hint="eastAsia" w:ascii="宋体" w:hAnsi="宋体" w:eastAsia="方正仿宋_GB2312" w:cs="Times New Roman"/>
          <w:sz w:val="32"/>
          <w:szCs w:val="32"/>
          <w:lang w:val="en-US" w:eastAsia="zh-CN"/>
        </w:rPr>
      </w:pPr>
      <w:r>
        <w:rPr>
          <w:rFonts w:hint="eastAsia" w:ascii="宋体" w:hAnsi="宋体" w:eastAsia="方正仿宋_GB2312" w:cs="Times New Roman"/>
          <w:sz w:val="32"/>
          <w:szCs w:val="32"/>
          <w:lang w:val="en-US" w:eastAsia="zh-CN"/>
        </w:rPr>
        <w:t>无需对外通报，</w:t>
      </w:r>
      <w:r>
        <w:rPr>
          <w:rFonts w:hint="eastAsia" w:ascii="宋体" w:hAnsi="宋体" w:eastAsia="方正仿宋_GB2312"/>
          <w:sz w:val="32"/>
          <w:szCs w:val="32"/>
        </w:rPr>
        <w:t>主要原因为</w:t>
      </w:r>
      <w:r>
        <w:rPr>
          <w:rFonts w:hint="eastAsia" w:ascii="宋体" w:hAnsi="宋体" w:eastAsia="方正仿宋_GB2312"/>
          <w:sz w:val="32"/>
          <w:szCs w:val="32"/>
          <w:lang w:eastAsia="zh-CN"/>
        </w:rPr>
        <w:t>本文件</w:t>
      </w:r>
      <w:r>
        <w:rPr>
          <w:rFonts w:hint="eastAsia" w:ascii="宋体" w:hAnsi="宋体" w:eastAsia="方正仿宋_GB2312"/>
          <w:sz w:val="32"/>
          <w:szCs w:val="32"/>
        </w:rPr>
        <w:t>未直接引用和采用国外标准</w:t>
      </w:r>
      <w:r>
        <w:rPr>
          <w:rFonts w:hint="eastAsia" w:ascii="宋体" w:hAnsi="宋体" w:eastAsia="方正仿宋_GB2312"/>
          <w:sz w:val="32"/>
          <w:szCs w:val="32"/>
          <w:lang w:eastAsia="zh-CN"/>
        </w:rPr>
        <w:t>。</w:t>
      </w:r>
    </w:p>
    <w:bookmarkEnd w:id="2321"/>
    <w:p w14:paraId="3EC84850">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322" w:name="_Toc18998"/>
      <w:bookmarkStart w:id="2323" w:name="_Toc2939"/>
      <w:bookmarkStart w:id="2324" w:name="_Toc8663"/>
      <w:bookmarkStart w:id="2325" w:name="_Toc9465"/>
      <w:bookmarkStart w:id="2326" w:name="_Toc4478"/>
      <w:r>
        <w:rPr>
          <w:rFonts w:hint="eastAsia" w:ascii="Times New Roman" w:hAnsi="Times New Roman" w:eastAsia="黑体"/>
          <w:sz w:val="32"/>
          <w:szCs w:val="32"/>
          <w:lang w:eastAsia="zh-CN"/>
        </w:rPr>
        <w:t>九、废止现行有关标准的建议</w:t>
      </w:r>
      <w:bookmarkEnd w:id="2322"/>
      <w:bookmarkEnd w:id="2323"/>
      <w:bookmarkEnd w:id="2324"/>
      <w:bookmarkEnd w:id="2325"/>
      <w:bookmarkEnd w:id="2326"/>
    </w:p>
    <w:p w14:paraId="68A6D981">
      <w:pPr>
        <w:widowControl w:val="0"/>
        <w:adjustRightInd w:val="0"/>
        <w:spacing w:line="360" w:lineRule="auto"/>
        <w:ind w:firstLine="640" w:firstLineChars="200"/>
        <w:jc w:val="both"/>
        <w:rPr>
          <w:rFonts w:hint="eastAsia" w:ascii="宋体" w:hAnsi="宋体" w:eastAsia="方正仿宋_GB2312" w:cs="Times New Roman"/>
          <w:sz w:val="32"/>
          <w:szCs w:val="32"/>
          <w:lang w:val="en-US" w:eastAsia="zh-CN"/>
        </w:rPr>
      </w:pPr>
      <w:r>
        <w:rPr>
          <w:rFonts w:hint="eastAsia" w:ascii="宋体" w:hAnsi="宋体" w:eastAsia="方正仿宋_GB2312" w:cs="Times New Roman"/>
          <w:sz w:val="32"/>
          <w:szCs w:val="32"/>
          <w:lang w:val="en-US" w:eastAsia="zh-CN"/>
        </w:rPr>
        <w:t>无。</w:t>
      </w:r>
    </w:p>
    <w:p w14:paraId="6C028976">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327" w:name="_Toc2524"/>
      <w:bookmarkStart w:id="2328" w:name="_Toc16613"/>
      <w:bookmarkStart w:id="2329" w:name="_Toc747"/>
      <w:bookmarkStart w:id="2330" w:name="_Toc20557"/>
      <w:bookmarkStart w:id="2331" w:name="_Toc22547"/>
      <w:r>
        <w:rPr>
          <w:rFonts w:hint="eastAsia" w:ascii="Times New Roman" w:hAnsi="Times New Roman" w:eastAsia="黑体"/>
          <w:sz w:val="32"/>
          <w:szCs w:val="32"/>
          <w:lang w:eastAsia="zh-CN"/>
        </w:rPr>
        <w:t>十、涉及专利的有关说明</w:t>
      </w:r>
      <w:bookmarkEnd w:id="2327"/>
      <w:bookmarkEnd w:id="2328"/>
      <w:bookmarkEnd w:id="2329"/>
      <w:bookmarkEnd w:id="2330"/>
      <w:bookmarkEnd w:id="2331"/>
    </w:p>
    <w:p w14:paraId="7231C749">
      <w:pPr>
        <w:widowControl w:val="0"/>
        <w:adjustRightInd w:val="0"/>
        <w:spacing w:line="360" w:lineRule="auto"/>
        <w:ind w:firstLine="640" w:firstLineChars="200"/>
        <w:jc w:val="both"/>
        <w:rPr>
          <w:rFonts w:hint="eastAsia" w:ascii="宋体" w:hAnsi="宋体" w:eastAsia="方正仿宋_GB2312" w:cs="Times New Roman"/>
          <w:sz w:val="32"/>
          <w:szCs w:val="32"/>
          <w:lang w:val="en-US" w:eastAsia="zh-CN"/>
        </w:rPr>
      </w:pPr>
      <w:r>
        <w:rPr>
          <w:rFonts w:hint="eastAsia" w:ascii="宋体" w:hAnsi="宋体" w:eastAsia="方正仿宋_GB2312" w:cs="Times New Roman"/>
          <w:sz w:val="32"/>
          <w:szCs w:val="32"/>
          <w:lang w:val="en-US" w:eastAsia="zh-CN"/>
        </w:rPr>
        <w:t>无。</w:t>
      </w:r>
    </w:p>
    <w:p w14:paraId="694F025F">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332" w:name="_Toc8554"/>
      <w:bookmarkStart w:id="2333" w:name="_Toc4624"/>
      <w:bookmarkStart w:id="2334" w:name="_Toc27716"/>
      <w:bookmarkStart w:id="2335" w:name="_Toc26909"/>
      <w:r>
        <w:rPr>
          <w:rFonts w:hint="eastAsia" w:ascii="Times New Roman" w:hAnsi="Times New Roman" w:eastAsia="黑体"/>
          <w:sz w:val="32"/>
          <w:szCs w:val="32"/>
          <w:lang w:eastAsia="zh-CN"/>
        </w:rPr>
        <w:t>十一、强制性国家标准所涉及的产品、过程和服务目录</w:t>
      </w:r>
      <w:bookmarkEnd w:id="2332"/>
      <w:bookmarkEnd w:id="2333"/>
      <w:bookmarkEnd w:id="2334"/>
      <w:bookmarkEnd w:id="2335"/>
    </w:p>
    <w:p w14:paraId="2209CC74">
      <w:pPr>
        <w:widowControl w:val="0"/>
        <w:adjustRightInd w:val="0"/>
        <w:spacing w:line="360" w:lineRule="auto"/>
        <w:ind w:firstLine="640" w:firstLineChars="200"/>
        <w:jc w:val="both"/>
        <w:rPr>
          <w:rFonts w:hint="eastAsia" w:ascii="宋体" w:hAnsi="宋体" w:eastAsia="方正仿宋_GB2312" w:cs="Times New Roman"/>
          <w:sz w:val="32"/>
          <w:szCs w:val="32"/>
          <w:lang w:val="en-US" w:eastAsia="zh-CN"/>
        </w:rPr>
      </w:pPr>
      <w:r>
        <w:rPr>
          <w:rFonts w:hint="eastAsia" w:ascii="宋体" w:hAnsi="宋体" w:eastAsia="方正仿宋_GB2312" w:cs="Times New Roman"/>
          <w:sz w:val="32"/>
          <w:szCs w:val="32"/>
          <w:lang w:val="en-US" w:eastAsia="zh-CN"/>
        </w:rPr>
        <w:t>涉及FPSO设计、建造、安装和运行过程中使用的单点、系泊系统、柴油机、压缩机、锅炉、起重机等机械设备和消防系统、救逃生系统、仪表及控制系统、通信系统；涉及FPSO设计技术服务和建造、安装、运行。</w:t>
      </w:r>
    </w:p>
    <w:p w14:paraId="2155A922">
      <w:pPr>
        <w:widowControl w:val="0"/>
        <w:adjustRightInd/>
        <w:spacing w:line="560" w:lineRule="exact"/>
        <w:ind w:firstLine="640" w:firstLineChars="200"/>
        <w:jc w:val="left"/>
        <w:outlineLvl w:val="9"/>
        <w:rPr>
          <w:rFonts w:hint="eastAsia" w:ascii="Times New Roman" w:hAnsi="Times New Roman" w:eastAsia="黑体"/>
          <w:sz w:val="32"/>
          <w:szCs w:val="32"/>
          <w:lang w:eastAsia="zh-CN"/>
        </w:rPr>
      </w:pPr>
      <w:bookmarkStart w:id="2336" w:name="_Toc22277"/>
      <w:bookmarkStart w:id="2337" w:name="_Toc4941"/>
      <w:bookmarkStart w:id="2338" w:name="_Toc18948"/>
      <w:bookmarkStart w:id="2339" w:name="_Toc28158"/>
      <w:r>
        <w:rPr>
          <w:rFonts w:hint="eastAsia" w:ascii="Times New Roman" w:hAnsi="Times New Roman" w:eastAsia="黑体"/>
          <w:sz w:val="32"/>
          <w:szCs w:val="32"/>
          <w:lang w:eastAsia="zh-CN"/>
        </w:rPr>
        <w:t>十二、其他应予以说明的事项</w:t>
      </w:r>
      <w:bookmarkEnd w:id="2336"/>
      <w:bookmarkEnd w:id="2337"/>
      <w:bookmarkEnd w:id="2338"/>
      <w:bookmarkEnd w:id="2339"/>
    </w:p>
    <w:p w14:paraId="47500CDF">
      <w:pPr>
        <w:widowControl w:val="0"/>
        <w:adjustRightInd w:val="0"/>
        <w:spacing w:line="360" w:lineRule="auto"/>
        <w:ind w:firstLine="640" w:firstLineChars="200"/>
        <w:jc w:val="both"/>
        <w:rPr>
          <w:rFonts w:hint="default" w:ascii="宋体" w:hAnsi="宋体" w:eastAsia="方正仿宋_GB2312" w:cs="Times New Roman"/>
          <w:color w:val="auto"/>
          <w:highlight w:val="none"/>
        </w:rPr>
      </w:pPr>
      <w:r>
        <w:rPr>
          <w:rFonts w:hint="eastAsia" w:ascii="宋体" w:hAnsi="宋体" w:eastAsia="方正仿宋_GB2312" w:cs="Times New Roman"/>
          <w:sz w:val="32"/>
          <w:szCs w:val="32"/>
          <w:lang w:val="en-US" w:eastAsia="zh-CN"/>
        </w:rPr>
        <w:t>无。</w:t>
      </w:r>
    </w:p>
    <w:sectPr>
      <w:headerReference r:id="rId22" w:type="default"/>
      <w:footerReference r:id="rId24" w:type="default"/>
      <w:headerReference r:id="rId23" w:type="even"/>
      <w:footerReference r:id="rId25" w:type="even"/>
      <w:pgSz w:w="11907" w:h="16839"/>
      <w:pgMar w:top="1701" w:right="1474" w:bottom="1474" w:left="1587" w:header="1418" w:footer="1134" w:gutter="0"/>
      <w:pgBorders>
        <w:top w:val="none" w:sz="0" w:space="0"/>
        <w:left w:val="none" w:sz="0" w:space="0"/>
        <w:bottom w:val="none" w:sz="0" w:space="0"/>
        <w:right w:val="none" w:sz="0" w:space="0"/>
      </w:pgBorders>
      <w:lnNumType w:countBy="0" w:restart="continuous"/>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Microsoft YaHei UI">
    <w:panose1 w:val="020B0503020204020204"/>
    <w:charset w:val="86"/>
    <w:family w:val="swiss"/>
    <w:pitch w:val="default"/>
    <w:sig w:usb0="80000287" w:usb1="28CF3C52" w:usb2="00000016" w:usb3="00000000" w:csb0="0004001F" w:csb1="00000000"/>
  </w:font>
  <w:font w:name="Britannic Bold">
    <w:panose1 w:val="020B0903060703020204"/>
    <w:charset w:val="00"/>
    <w:family w:val="swiss"/>
    <w:pitch w:val="default"/>
    <w:sig w:usb0="00000003" w:usb1="00000000" w:usb2="00000000" w:usb3="00000000" w:csb0="20000001" w:csb1="00000000"/>
  </w:font>
  <w:font w:name="华文细黑">
    <w:panose1 w:val="02010600040101010101"/>
    <w:charset w:val="86"/>
    <w:family w:val="auto"/>
    <w:pitch w:val="default"/>
    <w:sig w:usb0="00000287" w:usb1="080F0000" w:usb2="00000000" w:usb3="00000000" w:csb0="0004009F" w:csb1="DFD70000"/>
  </w:font>
  <w:font w:name="Arial Black">
    <w:panose1 w:val="020B0A04020102020204"/>
    <w:charset w:val="00"/>
    <w:family w:val="swiss"/>
    <w:pitch w:val="default"/>
    <w:sig w:usb0="00000287" w:usb1="00000000" w:usb2="00000000" w:usb3="00000000" w:csb0="2000009F" w:csb1="DFD70000"/>
  </w:font>
  <w:font w:name="TimesNewRomanPSMT">
    <w:altName w:val="Times New Roman"/>
    <w:panose1 w:val="00000000000000000000"/>
    <w:charset w:val="00"/>
    <w:family w:val="auto"/>
    <w:pitch w:val="default"/>
    <w:sig w:usb0="00000000" w:usb1="00000000" w:usb2="00000000" w:usb3="00000000" w:csb0="00040001" w:csb1="00000000"/>
  </w:font>
  <w:font w:name="Univers">
    <w:altName w:val="Segoe Print"/>
    <w:panose1 w:val="00000000000000000000"/>
    <w:charset w:val="00"/>
    <w:family w:val="swiss"/>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crosoft Himalaya">
    <w:panose1 w:val="01010100010101010101"/>
    <w:charset w:val="00"/>
    <w:family w:val="auto"/>
    <w:pitch w:val="default"/>
    <w:sig w:usb0="80000003" w:usb1="00010000" w:usb2="00000040" w:usb3="00000000" w:csb0="00000001"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E4F9A">
    <w:pPr>
      <w:pStyle w:val="58"/>
      <w:framePr w:wrap="around" w:vAnchor="text" w:hAnchor="margin" w:xAlign="outside" w:y="1"/>
      <w:rPr>
        <w:rFonts w:hint="eastAsia" w:eastAsia="宋体"/>
        <w:lang w:eastAsia="zh-CN"/>
      </w:rPr>
    </w:pPr>
    <w:r>
      <w:rPr>
        <w:rStyle w:val="234"/>
        <w:rFonts w:hint="eastAsia"/>
        <w:lang w:eastAsia="zh-CN"/>
      </w:rPr>
      <w:t xml:space="preserve"> </w:t>
    </w:r>
  </w:p>
  <w:p w14:paraId="78C4CD1B">
    <w:pPr>
      <w:pStyle w:val="58"/>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D7262">
    <w:pPr>
      <w:pStyle w:val="251"/>
      <w:ind w:right="360"/>
      <w:jc w:val="right"/>
      <w:rPr>
        <w:rStyle w:val="234"/>
        <w:rFonts w:hint="default" w:eastAsia="宋体"/>
        <w:lang w:val="en-US" w:eastAsia="zh-CN"/>
      </w:rPr>
    </w:pPr>
    <w:r>
      <w:rPr>
        <w:sz w:val="18"/>
      </w:rPr>
      <mc:AlternateContent>
        <mc:Choice Requires="wps">
          <w:drawing>
            <wp:anchor distT="0" distB="0" distL="114300" distR="114300" simplePos="0" relativeHeight="251666432" behindDoc="0" locked="0" layoutInCell="1" allowOverlap="1">
              <wp:simplePos x="0" y="0"/>
              <wp:positionH relativeFrom="margin">
                <wp:posOffset>67310</wp:posOffset>
              </wp:positionH>
              <wp:positionV relativeFrom="paragraph">
                <wp:posOffset>69215</wp:posOffset>
              </wp:positionV>
              <wp:extent cx="255905" cy="18034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55905" cy="180340"/>
                      </a:xfrm>
                      <a:prstGeom prst="rect">
                        <a:avLst/>
                      </a:prstGeom>
                      <a:noFill/>
                      <a:ln>
                        <a:noFill/>
                      </a:ln>
                    </wps:spPr>
                    <wps:txbx>
                      <w:txbxContent>
                        <w:p w14:paraId="65148E46">
                          <w:pPr>
                            <w:pStyle w:val="58"/>
                            <w:ind w:right="0" w:rightChars="0"/>
                            <w:jc w:val="left"/>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I</w:t>
                          </w:r>
                          <w:r>
                            <w:rPr>
                              <w:rFonts w:hint="eastAsia" w:ascii="宋体" w:hAnsi="宋体" w:eastAsia="宋体" w:cs="宋体"/>
                              <w:sz w:val="18"/>
                              <w:szCs w:val="18"/>
                            </w:rPr>
                            <w:fldChar w:fldCharType="end"/>
                          </w:r>
                        </w:p>
                      </w:txbxContent>
                    </wps:txbx>
                    <wps:bodyPr wrap="square" lIns="0" tIns="0" rIns="0" bIns="0" upright="0">
                      <a:noAutofit/>
                    </wps:bodyPr>
                  </wps:wsp>
                </a:graphicData>
              </a:graphic>
            </wp:anchor>
          </w:drawing>
        </mc:Choice>
        <mc:Fallback>
          <w:pict>
            <v:shape id="_x0000_s1026" o:spid="_x0000_s1026" o:spt="202" type="#_x0000_t202" style="position:absolute;left:0pt;margin-left:5.3pt;margin-top:5.45pt;height:14.2pt;width:20.15pt;mso-position-horizontal-relative:margin;z-index:251666432;mso-width-relative:page;mso-height-relative:page;" filled="f" stroked="f" coordsize="21600,21600" o:gfxdata="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cYEwqNQAAAAHAQAADwAAAAAAAAABACAAAAAiAAAAZHJz&#10;L2Rvd25yZXYueG1sUEsBAhQAFAAAAAgAh07iQP1sA4TPAQAAmQMAAA4AAAAAAAAAAQAgAAAAIwEA&#10;AGRycy9lMm9Eb2MueG1sUEsFBgAAAAAGAAYAWQEAAGQFAAAAAA==&#10;">
              <v:fill on="f" focussize="0,0"/>
              <v:stroke on="f"/>
              <v:imagedata o:title=""/>
              <o:lock v:ext="edit" aspectratio="f"/>
              <v:textbox inset="0mm,0mm,0mm,0mm">
                <w:txbxContent>
                  <w:p w14:paraId="65148E46">
                    <w:pPr>
                      <w:pStyle w:val="58"/>
                      <w:ind w:right="0" w:rightChars="0"/>
                      <w:jc w:val="left"/>
                      <w:rPr>
                        <w:rFonts w:hint="eastAsia" w:ascii="宋体" w:hAnsi="宋体" w:eastAsia="宋体" w:cs="宋体"/>
                        <w:sz w:val="18"/>
                        <w:szCs w:val="18"/>
                      </w:rPr>
                    </w:pPr>
                    <w:r>
                      <w:rPr>
                        <w:rFonts w:hint="eastAsia" w:ascii="宋体" w:hAnsi="宋体" w:eastAsia="宋体" w:cs="宋体"/>
                        <w:sz w:val="18"/>
                        <w:szCs w:val="18"/>
                      </w:rPr>
                      <w:fldChar w:fldCharType="begin"/>
                    </w:r>
                    <w:r>
                      <w:rPr>
                        <w:rFonts w:hint="eastAsia" w:ascii="宋体" w:hAnsi="宋体" w:eastAsia="宋体" w:cs="宋体"/>
                        <w:sz w:val="18"/>
                        <w:szCs w:val="18"/>
                      </w:rPr>
                      <w:instrText xml:space="preserve"> PAGE  \* MERGEFORMAT </w:instrText>
                    </w:r>
                    <w:r>
                      <w:rPr>
                        <w:rFonts w:hint="eastAsia" w:ascii="宋体" w:hAnsi="宋体" w:eastAsia="宋体" w:cs="宋体"/>
                        <w:sz w:val="18"/>
                        <w:szCs w:val="18"/>
                      </w:rPr>
                      <w:fldChar w:fldCharType="separate"/>
                    </w:r>
                    <w:r>
                      <w:rPr>
                        <w:rFonts w:hint="eastAsia" w:ascii="宋体" w:hAnsi="宋体" w:eastAsia="宋体" w:cs="宋体"/>
                        <w:sz w:val="18"/>
                        <w:szCs w:val="18"/>
                      </w:rPr>
                      <w:t>I</w:t>
                    </w:r>
                    <w:r>
                      <w:rPr>
                        <w:rFonts w:hint="eastAsia" w:ascii="宋体" w:hAnsi="宋体" w:eastAsia="宋体" w:cs="宋体"/>
                        <w:sz w:val="18"/>
                        <w:szCs w:val="18"/>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FC81A">
    <w:pPr>
      <w:pStyle w:val="58"/>
      <w:rPr>
        <w:rFonts w:hint="default"/>
        <w:lang w:val="en-US" w:eastAsia="zh-CN"/>
      </w:rPr>
    </w:pPr>
    <w:bookmarkStart w:id="2343" w:name="_GoBack"/>
    <w:bookmarkEnd w:id="2343"/>
    <w:r>
      <w:rPr>
        <w:sz w:val="18"/>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963E0">
                          <w:pPr>
                            <w:pStyle w:val="58"/>
                            <w:ind w:right="0" w:rightChars="0"/>
                          </w:pPr>
                          <w:r>
                            <w:fldChar w:fldCharType="begin"/>
                          </w:r>
                          <w:r>
                            <w:instrText xml:space="preserve"> PAGE  \* MERGEFORMAT </w:instrText>
                          </w:r>
                          <w:r>
                            <w:fldChar w:fldCharType="separate"/>
                          </w:r>
                          <w:r>
                            <w:t>XLVII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3A8963E0">
                    <w:pPr>
                      <w:pStyle w:val="58"/>
                      <w:ind w:right="0" w:rightChars="0"/>
                    </w:pPr>
                    <w:r>
                      <w:fldChar w:fldCharType="begin"/>
                    </w:r>
                    <w:r>
                      <w:instrText xml:space="preserve"> PAGE  \* MERGEFORMAT </w:instrText>
                    </w:r>
                    <w:r>
                      <w:fldChar w:fldCharType="separate"/>
                    </w:r>
                    <w:r>
                      <w:t>XLVII</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9427D">
    <w:pPr>
      <w:pStyle w:val="251"/>
      <w:ind w:right="360"/>
      <w:jc w:val="right"/>
      <w:rPr>
        <w:rStyle w:val="234"/>
        <w:rFonts w:hint="default" w:eastAsia="宋体"/>
        <w:lang w:val="en-US" w:eastAsia="zh-CN"/>
      </w:rPr>
    </w:pPr>
    <w:r>
      <w:rPr>
        <w:sz w:val="18"/>
      </w:rPr>
      <mc:AlternateContent>
        <mc:Choice Requires="wps">
          <w:drawing>
            <wp:anchor distT="0" distB="0" distL="114300" distR="114300" simplePos="0" relativeHeight="251670528"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2087C">
                          <w:pPr>
                            <w:pStyle w:val="58"/>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492087C">
                    <w:pPr>
                      <w:pStyle w:val="58"/>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55268">
    <w:pPr>
      <w:pStyle w:val="252"/>
      <w:framePr w:wrap="around" w:vAnchor="text" w:hAnchor="margin" w:xAlign="outside" w:y="-98"/>
      <w:rPr>
        <w:rStyle w:val="234"/>
      </w:rPr>
    </w:pPr>
    <w:r>
      <w:rPr>
        <w:rStyle w:val="234"/>
        <w:rFonts w:hint="eastAsia" w:ascii="宋体" w:hAnsi="宋体" w:eastAsia="宋体" w:cs="宋体"/>
        <w:sz w:val="18"/>
        <w:szCs w:val="20"/>
      </w:rPr>
      <w:fldChar w:fldCharType="begin"/>
    </w:r>
    <w:r>
      <w:rPr>
        <w:rStyle w:val="234"/>
        <w:rFonts w:hint="eastAsia" w:ascii="宋体" w:hAnsi="宋体" w:eastAsia="宋体" w:cs="宋体"/>
        <w:sz w:val="18"/>
        <w:szCs w:val="20"/>
      </w:rPr>
      <w:instrText xml:space="preserve"> PAGE  </w:instrText>
    </w:r>
    <w:r>
      <w:rPr>
        <w:rStyle w:val="234"/>
        <w:rFonts w:hint="eastAsia" w:ascii="宋体" w:hAnsi="宋体" w:eastAsia="宋体" w:cs="宋体"/>
        <w:sz w:val="18"/>
        <w:szCs w:val="20"/>
      </w:rPr>
      <w:fldChar w:fldCharType="separate"/>
    </w:r>
    <w:r>
      <w:rPr>
        <w:rStyle w:val="234"/>
        <w:rFonts w:hint="eastAsia" w:ascii="宋体" w:hAnsi="宋体" w:eastAsia="宋体" w:cs="宋体"/>
        <w:sz w:val="18"/>
        <w:szCs w:val="20"/>
      </w:rPr>
      <w:t>63</w:t>
    </w:r>
    <w:r>
      <w:rPr>
        <w:rStyle w:val="234"/>
        <w:rFonts w:hint="eastAsia" w:ascii="宋体" w:hAnsi="宋体" w:eastAsia="宋体" w:cs="宋体"/>
        <w:sz w:val="18"/>
        <w:szCs w:val="20"/>
      </w:rPr>
      <w:fldChar w:fldCharType="end"/>
    </w:r>
  </w:p>
  <w:p w14:paraId="7B7225D1">
    <w:pPr>
      <w:pStyle w:val="252"/>
      <w:ind w:right="360" w:firstLine="360"/>
      <w:rPr>
        <w:rStyle w:val="234"/>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FB718">
    <w:pPr>
      <w:pStyle w:val="252"/>
      <w:framePr w:wrap="around" w:vAnchor="text" w:hAnchor="page" w:x="1532" w:y="-155"/>
      <w:rPr>
        <w:rStyle w:val="234"/>
      </w:rPr>
    </w:pPr>
    <w:r>
      <w:rPr>
        <w:rStyle w:val="234"/>
        <w:rFonts w:hint="eastAsia" w:ascii="宋体" w:hAnsi="宋体" w:eastAsia="宋体" w:cs="宋体"/>
        <w:sz w:val="18"/>
        <w:szCs w:val="20"/>
      </w:rPr>
      <w:fldChar w:fldCharType="begin"/>
    </w:r>
    <w:r>
      <w:rPr>
        <w:rStyle w:val="234"/>
        <w:rFonts w:hint="eastAsia" w:ascii="宋体" w:hAnsi="宋体" w:eastAsia="宋体" w:cs="宋体"/>
        <w:sz w:val="18"/>
        <w:szCs w:val="20"/>
      </w:rPr>
      <w:instrText xml:space="preserve"> PAGE  </w:instrText>
    </w:r>
    <w:r>
      <w:rPr>
        <w:rStyle w:val="234"/>
        <w:rFonts w:hint="eastAsia" w:ascii="宋体" w:hAnsi="宋体" w:eastAsia="宋体" w:cs="宋体"/>
        <w:sz w:val="18"/>
        <w:szCs w:val="20"/>
      </w:rPr>
      <w:fldChar w:fldCharType="separate"/>
    </w:r>
    <w:r>
      <w:rPr>
        <w:rStyle w:val="234"/>
        <w:rFonts w:hint="eastAsia" w:ascii="宋体" w:hAnsi="宋体" w:eastAsia="宋体" w:cs="宋体"/>
        <w:sz w:val="18"/>
        <w:szCs w:val="20"/>
      </w:rPr>
      <w:t>63</w:t>
    </w:r>
    <w:r>
      <w:rPr>
        <w:rStyle w:val="234"/>
        <w:rFonts w:hint="eastAsia" w:ascii="宋体" w:hAnsi="宋体" w:eastAsia="宋体" w:cs="宋体"/>
        <w:sz w:val="18"/>
        <w:szCs w:val="20"/>
      </w:rPr>
      <w:fldChar w:fldCharType="end"/>
    </w:r>
  </w:p>
  <w:p w14:paraId="7B5334A9">
    <w:pPr>
      <w:pStyle w:val="251"/>
      <w:ind w:right="360"/>
      <w:jc w:val="right"/>
      <w:rPr>
        <w:rStyle w:val="234"/>
        <w:rFonts w:hint="default" w:eastAsia="宋体"/>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5FE0B">
    <w:pPr>
      <w:pStyle w:val="58"/>
      <w:jc w:val="both"/>
    </w:pPr>
    <w:r>
      <w:rPr>
        <w:rStyle w:val="234"/>
      </w:rPr>
      <w:fldChar w:fldCharType="begin"/>
    </w:r>
    <w:r>
      <w:rPr>
        <w:rStyle w:val="234"/>
      </w:rPr>
      <w:instrText xml:space="preserve"> PAGE  </w:instrText>
    </w:r>
    <w:r>
      <w:rPr>
        <w:rStyle w:val="234"/>
      </w:rPr>
      <w:fldChar w:fldCharType="separate"/>
    </w:r>
    <w:r>
      <w:rPr>
        <w:rStyle w:val="234"/>
      </w:rPr>
      <w:t>II</w:t>
    </w:r>
    <w:r>
      <w:rPr>
        <w:rStyle w:val="23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89155">
    <w:pPr>
      <w:pStyle w:val="5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CD614">
    <w:pPr>
      <w:pStyle w:val="58"/>
      <w:framePr w:wrap="around" w:vAnchor="text" w:hAnchor="margin" w:xAlign="outside" w:y="1"/>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2F29CF">
                          <w:pPr>
                            <w:pStyle w:val="58"/>
                            <w:ind w:right="0" w:rightChars="0"/>
                          </w:pPr>
                          <w:r>
                            <w:rPr>
                              <w:rStyle w:val="234"/>
                            </w:rPr>
                            <w:fldChar w:fldCharType="begin"/>
                          </w:r>
                          <w:r>
                            <w:rPr>
                              <w:rStyle w:val="234"/>
                            </w:rPr>
                            <w:instrText xml:space="preserve"> PAGE  </w:instrText>
                          </w:r>
                          <w:r>
                            <w:rPr>
                              <w:rStyle w:val="234"/>
                            </w:rPr>
                            <w:fldChar w:fldCharType="separate"/>
                          </w:r>
                          <w:r>
                            <w:rPr>
                              <w:rStyle w:val="234"/>
                            </w:rPr>
                            <w:t>IV</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42F29CF">
                    <w:pPr>
                      <w:pStyle w:val="58"/>
                      <w:ind w:right="0" w:rightChars="0"/>
                    </w:pPr>
                    <w:r>
                      <w:rPr>
                        <w:rStyle w:val="234"/>
                      </w:rPr>
                      <w:fldChar w:fldCharType="begin"/>
                    </w:r>
                    <w:r>
                      <w:rPr>
                        <w:rStyle w:val="234"/>
                      </w:rPr>
                      <w:instrText xml:space="preserve"> PAGE  </w:instrText>
                    </w:r>
                    <w:r>
                      <w:rPr>
                        <w:rStyle w:val="234"/>
                      </w:rPr>
                      <w:fldChar w:fldCharType="separate"/>
                    </w:r>
                    <w:r>
                      <w:rPr>
                        <w:rStyle w:val="234"/>
                      </w:rPr>
                      <w:t>IV</w:t>
                    </w:r>
                    <w:r>
                      <w:rPr>
                        <w:rStyle w:val="234"/>
                      </w:rPr>
                      <w:fldChar w:fldCharType="end"/>
                    </w:r>
                  </w:p>
                </w:txbxContent>
              </v:textbox>
            </v:shape>
          </w:pict>
        </mc:Fallback>
      </mc:AlternateContent>
    </w:r>
  </w:p>
  <w:p w14:paraId="048A7723">
    <w:pPr>
      <w:pStyle w:val="58"/>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E8836">
    <w:pPr>
      <w:pStyle w:val="58"/>
      <w:jc w:val="both"/>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6E714">
                          <w:pPr>
                            <w:pStyle w:val="58"/>
                            <w:jc w:val="both"/>
                          </w:pPr>
                          <w:r>
                            <w:rPr>
                              <w:rStyle w:val="234"/>
                            </w:rPr>
                            <w:fldChar w:fldCharType="begin"/>
                          </w:r>
                          <w:r>
                            <w:rPr>
                              <w:rStyle w:val="234"/>
                            </w:rPr>
                            <w:instrText xml:space="preserve"> PAGE  </w:instrText>
                          </w:r>
                          <w:r>
                            <w:rPr>
                              <w:rStyle w:val="234"/>
                            </w:rPr>
                            <w:fldChar w:fldCharType="separate"/>
                          </w:r>
                          <w:r>
                            <w:rPr>
                              <w:rStyle w:val="234"/>
                            </w:rPr>
                            <w:t>II</w:t>
                          </w:r>
                          <w:r>
                            <w:rPr>
                              <w:rStyle w:val="23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946E714">
                    <w:pPr>
                      <w:pStyle w:val="58"/>
                      <w:jc w:val="both"/>
                    </w:pPr>
                    <w:r>
                      <w:rPr>
                        <w:rStyle w:val="234"/>
                      </w:rPr>
                      <w:fldChar w:fldCharType="begin"/>
                    </w:r>
                    <w:r>
                      <w:rPr>
                        <w:rStyle w:val="234"/>
                      </w:rPr>
                      <w:instrText xml:space="preserve"> PAGE  </w:instrText>
                    </w:r>
                    <w:r>
                      <w:rPr>
                        <w:rStyle w:val="234"/>
                      </w:rPr>
                      <w:fldChar w:fldCharType="separate"/>
                    </w:r>
                    <w:r>
                      <w:rPr>
                        <w:rStyle w:val="234"/>
                      </w:rPr>
                      <w:t>II</w:t>
                    </w:r>
                    <w:r>
                      <w:rPr>
                        <w:rStyle w:val="23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B0F0E">
    <w:pPr>
      <w:pStyle w:val="58"/>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14:paraId="53CF763A">
    <w:pPr>
      <w:pStyle w:val="58"/>
      <w:ind w:firstLine="360" w:firstLineChars="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DACDC">
    <w:pPr>
      <w:pStyle w:val="58"/>
      <w:framePr w:wrap="around" w:vAnchor="text" w:hAnchor="margin" w:xAlign="outside" w:y="1"/>
    </w:pPr>
    <w: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EB787">
                          <w:pPr>
                            <w:pStyle w:val="58"/>
                          </w:pPr>
                          <w:r>
                            <w:rPr>
                              <w:rStyle w:val="234"/>
                            </w:rPr>
                            <w:fldChar w:fldCharType="begin"/>
                          </w:r>
                          <w:r>
                            <w:rPr>
                              <w:rStyle w:val="234"/>
                            </w:rPr>
                            <w:instrText xml:space="preserve"> PAGE  </w:instrText>
                          </w:r>
                          <w:r>
                            <w:rPr>
                              <w:rStyle w:val="234"/>
                            </w:rPr>
                            <w:fldChar w:fldCharType="separate"/>
                          </w:r>
                          <w:r>
                            <w:rPr>
                              <w:rStyle w:val="234"/>
                            </w:rPr>
                            <w:t>IV</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0DDEB787">
                    <w:pPr>
                      <w:pStyle w:val="58"/>
                    </w:pPr>
                    <w:r>
                      <w:rPr>
                        <w:rStyle w:val="234"/>
                      </w:rPr>
                      <w:fldChar w:fldCharType="begin"/>
                    </w:r>
                    <w:r>
                      <w:rPr>
                        <w:rStyle w:val="234"/>
                      </w:rPr>
                      <w:instrText xml:space="preserve"> PAGE  </w:instrText>
                    </w:r>
                    <w:r>
                      <w:rPr>
                        <w:rStyle w:val="234"/>
                      </w:rPr>
                      <w:fldChar w:fldCharType="separate"/>
                    </w:r>
                    <w:r>
                      <w:rPr>
                        <w:rStyle w:val="234"/>
                      </w:rPr>
                      <w:t>IV</w:t>
                    </w:r>
                    <w:r>
                      <w:rPr>
                        <w:rStyle w:val="234"/>
                      </w:rPr>
                      <w:fldChar w:fldCharType="end"/>
                    </w:r>
                  </w:p>
                </w:txbxContent>
              </v:textbox>
            </v:shape>
          </w:pict>
        </mc:Fallback>
      </mc:AlternateContent>
    </w:r>
  </w:p>
  <w:p w14:paraId="7EEA35F6">
    <w:pPr>
      <w:pStyle w:val="58"/>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A4FF3">
    <w:pPr>
      <w:pStyle w:val="58"/>
      <w:framePr w:wrap="around" w:vAnchor="text" w:hAnchor="margin" w:xAlign="outside" w:y="1"/>
      <w:pBdr>
        <w:top w:val="none" w:color="auto" w:sz="0" w:space="0"/>
        <w:left w:val="none" w:color="auto" w:sz="0" w:space="0"/>
        <w:bottom w:val="none" w:color="auto" w:sz="0" w:space="0"/>
        <w:right w:val="none" w:color="auto" w:sz="0" w:space="0"/>
        <w:between w:val="none" w:color="auto" w:sz="0" w:space="0"/>
      </w:pBdr>
      <w:spacing w:after="0" w:afterLines="0"/>
      <w:rPr>
        <w:rFonts w:hint="default" w:eastAsia="宋体"/>
        <w:lang w:val="en-US" w:eastAsia="zh-CN"/>
      </w:rPr>
    </w:pPr>
    <w:r>
      <w:rPr>
        <w:rFonts w:hint="eastAsia"/>
        <w:lang w:val="en-US" w:eastAsia="zh-CN"/>
      </w:rPr>
      <w:t>VI</w:t>
    </w:r>
  </w:p>
  <w:p w14:paraId="15F6F68C">
    <w:pPr>
      <w:pStyle w:val="58"/>
      <w:jc w:val="both"/>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0291">
    <w:pPr>
      <w:pStyle w:val="252"/>
      <w:framePr w:wrap="around" w:vAnchor="text" w:hAnchor="margin" w:xAlign="outside" w:y="-98"/>
      <w:rPr>
        <w:rStyle w:val="234"/>
        <w:rFonts w:hint="eastAsia" w:ascii="宋体" w:hAnsi="宋体" w:eastAsia="宋体" w:cs="宋体"/>
        <w:sz w:val="18"/>
        <w:szCs w:val="20"/>
      </w:rPr>
    </w:pPr>
    <w:r>
      <w:rPr>
        <w:rStyle w:val="234"/>
        <w:rFonts w:hint="eastAsia" w:ascii="宋体" w:hAnsi="宋体" w:eastAsia="宋体" w:cs="宋体"/>
        <w:sz w:val="18"/>
        <w:szCs w:val="20"/>
      </w:rPr>
      <w:fldChar w:fldCharType="begin"/>
    </w:r>
    <w:r>
      <w:rPr>
        <w:rStyle w:val="234"/>
        <w:rFonts w:hint="eastAsia" w:ascii="宋体" w:hAnsi="宋体" w:eastAsia="宋体" w:cs="宋体"/>
        <w:sz w:val="18"/>
        <w:szCs w:val="20"/>
      </w:rPr>
      <w:instrText xml:space="preserve"> PAGE  </w:instrText>
    </w:r>
    <w:r>
      <w:rPr>
        <w:rStyle w:val="234"/>
        <w:rFonts w:hint="eastAsia" w:ascii="宋体" w:hAnsi="宋体" w:eastAsia="宋体" w:cs="宋体"/>
        <w:sz w:val="18"/>
        <w:szCs w:val="20"/>
      </w:rPr>
      <w:fldChar w:fldCharType="separate"/>
    </w:r>
    <w:r>
      <w:rPr>
        <w:rStyle w:val="234"/>
        <w:rFonts w:hint="eastAsia" w:ascii="宋体" w:hAnsi="宋体" w:eastAsia="宋体" w:cs="宋体"/>
        <w:sz w:val="18"/>
        <w:szCs w:val="20"/>
      </w:rPr>
      <w:t>63</w:t>
    </w:r>
    <w:r>
      <w:rPr>
        <w:rStyle w:val="234"/>
        <w:rFonts w:hint="eastAsia" w:ascii="宋体" w:hAnsi="宋体" w:eastAsia="宋体" w:cs="宋体"/>
        <w:sz w:val="18"/>
        <w:szCs w:val="20"/>
      </w:rPr>
      <w:fldChar w:fldCharType="end"/>
    </w:r>
  </w:p>
  <w:p w14:paraId="3D40AEA5">
    <w:pPr>
      <w:pStyle w:val="252"/>
      <w:ind w:right="360" w:firstLine="360"/>
      <w:rPr>
        <w:rStyle w:val="23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34266">
    <w:pPr>
      <w:pStyle w:val="253"/>
      <w:rPr>
        <w:rFonts w:hint="eastAsia" w:eastAsia="黑体"/>
        <w:lang w:eastAsia="zh-CN"/>
      </w:rPr>
    </w:pPr>
    <w:r>
      <w:rPr>
        <w:rFonts w:hint="eastAsia"/>
        <w:lang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EFF89">
    <w:pPr>
      <w:pStyle w:val="253"/>
      <w:pBdr>
        <w:bottom w:val="none" w:color="auto" w:sz="0" w:space="0"/>
      </w:pBdr>
      <w:jc w:val="both"/>
      <w:rPr>
        <w:rFonts w:hint="eastAsia" w:eastAsia="黑体"/>
        <w:lang w:eastAsia="zh-CN"/>
      </w:rPr>
    </w:pPr>
    <w:r>
      <w:rPr>
        <w:rFonts w:hint="eastAsia" w:ascii="黑体" w:hAnsi="黑体" w:eastAsia="黑体" w:cs="黑体"/>
        <w:b w:val="0"/>
        <w:bCs/>
      </w:rPr>
      <w:t>GB</w:t>
    </w:r>
    <w:r>
      <w:rPr>
        <w:rFonts w:hint="eastAsia" w:ascii="Times New Roman" w:eastAsia="宋体"/>
        <w:b/>
      </w:rPr>
      <w:t xml:space="preserve"> </w:t>
    </w:r>
    <w:r>
      <w:rPr>
        <w:rFonts w:hint="eastAsia" w:hAnsi="黑体" w:cs="黑体"/>
        <w:bCs/>
        <w:lang w:val="en-US" w:eastAsia="zh-CN"/>
      </w:rPr>
      <w:t>XXXXX</w:t>
    </w:r>
    <w:r>
      <w:rPr>
        <w:rFonts w:hint="eastAsia" w:hAnsi="黑体"/>
        <w:lang w:val="en-US" w:eastAsia="zh-CN"/>
      </w:rPr>
      <w:t>—</w:t>
    </w:r>
    <w:r>
      <w:rPr>
        <w:rFonts w:hint="eastAsia" w:hAnsi="黑体" w:cs="黑体"/>
        <w:bCs/>
        <w:lang w:val="en-US" w:eastAsia="zh-CN"/>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6C102">
    <w:pPr>
      <w:pStyle w:val="255"/>
      <w:bidi w:val="0"/>
      <w:rPr>
        <w:rFonts w:hint="eastAsia"/>
        <w:lang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EE54">
    <w:pPr>
      <w:pStyle w:val="253"/>
      <w:pBdr>
        <w:bottom w:val="none" w:color="auto" w:sz="0" w:space="0"/>
      </w:pBdr>
      <w:rPr>
        <w:rFonts w:hint="eastAsia" w:eastAsia="黑体"/>
        <w:lang w:eastAsia="zh-CN"/>
      </w:rPr>
    </w:pPr>
    <w:r>
      <w:rPr>
        <w:rFonts w:hint="eastAsia" w:ascii="黑体" w:hAnsi="黑体" w:eastAsia="黑体" w:cs="黑体"/>
        <w:b w:val="0"/>
        <w:bCs/>
      </w:rPr>
      <w:t>GB</w:t>
    </w:r>
    <w:r>
      <w:rPr>
        <w:rFonts w:hint="eastAsia" w:ascii="Times New Roman" w:eastAsia="宋体"/>
        <w:b/>
      </w:rPr>
      <w:t xml:space="preserve"> </w:t>
    </w:r>
    <w:r>
      <w:rPr>
        <w:rFonts w:hint="eastAsia" w:hAnsi="黑体" w:cs="黑体"/>
        <w:bCs/>
        <w:lang w:val="en-US" w:eastAsia="zh-CN"/>
      </w:rPr>
      <w:t>XXXXX</w:t>
    </w:r>
    <w:r>
      <w:rPr>
        <w:rFonts w:hint="eastAsia" w:hAnsi="黑体"/>
        <w:lang w:val="en-US" w:eastAsia="zh-CN"/>
      </w:rPr>
      <w:t>—</w:t>
    </w:r>
    <w:r>
      <w:rPr>
        <w:rFonts w:hint="eastAsia" w:hAnsi="黑体" w:cs="黑体"/>
        <w:bCs/>
        <w:lang w:val="en-US" w:eastAsia="zh-CN"/>
      </w:rPr>
      <w:t>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5162B">
    <w:pPr>
      <w:pStyle w:val="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664C8">
    <w:pPr>
      <w:pStyle w:val="60"/>
      <w:pBdr>
        <w:top w:val="none" w:color="auto" w:sz="0" w:space="1"/>
        <w:left w:val="none" w:color="auto" w:sz="0" w:space="4"/>
        <w:bottom w:val="none" w:color="auto" w:sz="0" w:space="1"/>
        <w:right w:val="none" w:color="auto" w:sz="0" w:space="4"/>
        <w:between w:val="none" w:color="auto" w:sz="0" w:space="0"/>
      </w:pBdr>
      <w:snapToGrid w:val="0"/>
      <w:jc w:val="center"/>
      <w:rPr>
        <w:rFonts w:hint="eastAsia"/>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762BEF">
    <w:pPr>
      <w:rPr>
        <w:rFonts w:hint="eastAsia"/>
        <w:lang w:eastAsia="zh-C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E24C3">
    <w:pPr>
      <w:pStyle w:val="60"/>
      <w:pBdr>
        <w:top w:val="none" w:color="auto" w:sz="0" w:space="1"/>
        <w:left w:val="none" w:color="auto" w:sz="0" w:space="4"/>
        <w:bottom w:val="none" w:color="auto" w:sz="0" w:space="1"/>
        <w:right w:val="none" w:color="auto" w:sz="0" w:space="4"/>
        <w:between w:val="none" w:color="auto" w:sz="0" w:space="0"/>
      </w:pBdr>
      <w:snapToGrid w:val="0"/>
      <w:jc w:val="center"/>
      <w:rPr>
        <w:rFonts w:hint="eastAsia"/>
        <w:lang w:eastAsia="zh-C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F573F">
    <w:pPr>
      <w:pStyle w:val="60"/>
      <w:pBdr>
        <w:top w:val="none" w:color="auto" w:sz="0" w:space="1"/>
        <w:left w:val="none" w:color="auto" w:sz="0" w:space="4"/>
        <w:bottom w:val="none" w:color="auto" w:sz="0" w:space="1"/>
        <w:right w:val="none" w:color="auto" w:sz="0" w:space="4"/>
        <w:between w:val="none" w:color="auto" w:sz="0" w:space="0"/>
      </w:pBdr>
      <w:snapToGrid w:val="0"/>
      <w:jc w:val="center"/>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FCB417"/>
    <w:multiLevelType w:val="multilevel"/>
    <w:tmpl w:val="81FCB417"/>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82C55F3A"/>
    <w:multiLevelType w:val="multilevel"/>
    <w:tmpl w:val="82C55F3A"/>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87405211"/>
    <w:multiLevelType w:val="multilevel"/>
    <w:tmpl w:val="87405211"/>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88F2600B"/>
    <w:multiLevelType w:val="multilevel"/>
    <w:tmpl w:val="88F2600B"/>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
    <w:nsid w:val="8FC92F9D"/>
    <w:multiLevelType w:val="multilevel"/>
    <w:tmpl w:val="8FC92F9D"/>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9139C82D"/>
    <w:multiLevelType w:val="multilevel"/>
    <w:tmpl w:val="9139C82D"/>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94A2A302"/>
    <w:multiLevelType w:val="multilevel"/>
    <w:tmpl w:val="94A2A302"/>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
    <w:nsid w:val="95CC017D"/>
    <w:multiLevelType w:val="singleLevel"/>
    <w:tmpl w:val="95CC017D"/>
    <w:lvl w:ilvl="0" w:tentative="0">
      <w:start w:val="1"/>
      <w:numFmt w:val="decimal"/>
      <w:lvlText w:val="%1)"/>
      <w:lvlJc w:val="left"/>
      <w:pPr>
        <w:ind w:left="454" w:firstLine="396"/>
      </w:pPr>
      <w:rPr>
        <w:rFonts w:hint="default" w:ascii="宋体" w:hAnsi="宋体" w:eastAsia="宋体" w:cs="宋体"/>
      </w:rPr>
    </w:lvl>
  </w:abstractNum>
  <w:abstractNum w:abstractNumId="8">
    <w:nsid w:val="965C7C56"/>
    <w:multiLevelType w:val="singleLevel"/>
    <w:tmpl w:val="965C7C56"/>
    <w:lvl w:ilvl="0" w:tentative="0">
      <w:start w:val="1"/>
      <w:numFmt w:val="lowerLetter"/>
      <w:suff w:val="space"/>
      <w:lvlText w:val="%1)"/>
      <w:lvlJc w:val="left"/>
      <w:pPr>
        <w:ind w:left="-840"/>
      </w:pPr>
    </w:lvl>
  </w:abstractNum>
  <w:abstractNum w:abstractNumId="9">
    <w:nsid w:val="9D372F98"/>
    <w:multiLevelType w:val="multilevel"/>
    <w:tmpl w:val="9D372F98"/>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9EB2604B"/>
    <w:multiLevelType w:val="multilevel"/>
    <w:tmpl w:val="9EB2604B"/>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
    <w:nsid w:val="A0BA7AD8"/>
    <w:multiLevelType w:val="multilevel"/>
    <w:tmpl w:val="A0BA7AD8"/>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A57B92D3"/>
    <w:multiLevelType w:val="multilevel"/>
    <w:tmpl w:val="A57B92D3"/>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A6B38505"/>
    <w:multiLevelType w:val="multilevel"/>
    <w:tmpl w:val="A6B38505"/>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A8E80811"/>
    <w:multiLevelType w:val="multilevel"/>
    <w:tmpl w:val="A8E80811"/>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B039C01A"/>
    <w:multiLevelType w:val="multilevel"/>
    <w:tmpl w:val="B039C01A"/>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6">
    <w:nsid w:val="B0D5C7D0"/>
    <w:multiLevelType w:val="singleLevel"/>
    <w:tmpl w:val="B0D5C7D0"/>
    <w:lvl w:ilvl="0" w:tentative="0">
      <w:start w:val="1"/>
      <w:numFmt w:val="decimal"/>
      <w:suff w:val="space"/>
      <w:lvlText w:val="[%1]"/>
      <w:lvlJc w:val="left"/>
    </w:lvl>
  </w:abstractNum>
  <w:abstractNum w:abstractNumId="17">
    <w:nsid w:val="B2C2FBBC"/>
    <w:multiLevelType w:val="multilevel"/>
    <w:tmpl w:val="B2C2FBBC"/>
    <w:lvl w:ilvl="0" w:tentative="0">
      <w:start w:val="1"/>
      <w:numFmt w:val="lowerLetter"/>
      <w:pStyle w:val="52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294"/>
      <w:lvlText w:val="%2)"/>
      <w:lvlJc w:val="left"/>
      <w:pPr>
        <w:tabs>
          <w:tab w:val="left" w:pos="1260"/>
        </w:tabs>
        <w:ind w:left="1259" w:hanging="419"/>
      </w:pPr>
      <w:rPr>
        <w:rFonts w:hint="default" w:ascii="Times New Roman" w:hAnsi="Times New Roman" w:cs="Times New Roman"/>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8">
    <w:nsid w:val="B352562E"/>
    <w:multiLevelType w:val="multilevel"/>
    <w:tmpl w:val="B352562E"/>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9">
    <w:nsid w:val="B3C43902"/>
    <w:multiLevelType w:val="multilevel"/>
    <w:tmpl w:val="B3C43902"/>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0">
    <w:nsid w:val="BC10E282"/>
    <w:multiLevelType w:val="multilevel"/>
    <w:tmpl w:val="BC10E282"/>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BC791EE8"/>
    <w:multiLevelType w:val="multilevel"/>
    <w:tmpl w:val="BC791EE8"/>
    <w:lvl w:ilvl="0" w:tentative="0">
      <w:start w:val="1"/>
      <w:numFmt w:val="lowerLetter"/>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2">
    <w:nsid w:val="C068843F"/>
    <w:multiLevelType w:val="multilevel"/>
    <w:tmpl w:val="C068843F"/>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3">
    <w:nsid w:val="C35C157D"/>
    <w:multiLevelType w:val="multilevel"/>
    <w:tmpl w:val="C35C157D"/>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4">
    <w:nsid w:val="C5E96FE0"/>
    <w:multiLevelType w:val="multilevel"/>
    <w:tmpl w:val="C5E96FE0"/>
    <w:lvl w:ilvl="0" w:tentative="0">
      <w:start w:val="1"/>
      <w:numFmt w:val="lowerLetter"/>
      <w:pStyle w:val="305"/>
      <w:lvlText w:val="%1)"/>
      <w:lvlJc w:val="left"/>
      <w:pPr>
        <w:tabs>
          <w:tab w:val="left" w:pos="840"/>
        </w:tabs>
        <w:ind w:left="839" w:hanging="419"/>
      </w:pPr>
      <w:rPr>
        <w:rFonts w:hint="default" w:ascii="Times New Roman" w:hAnsi="Times New Roman"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5">
    <w:nsid w:val="C6832719"/>
    <w:multiLevelType w:val="multilevel"/>
    <w:tmpl w:val="C6832719"/>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6">
    <w:nsid w:val="C6C22506"/>
    <w:multiLevelType w:val="multilevel"/>
    <w:tmpl w:val="C6C22506"/>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7">
    <w:nsid w:val="CDA0FD31"/>
    <w:multiLevelType w:val="multilevel"/>
    <w:tmpl w:val="CDA0FD31"/>
    <w:lvl w:ilvl="0" w:tentative="0">
      <w:start w:val="1"/>
      <w:numFmt w:val="lowerLetter"/>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8">
    <w:nsid w:val="D2E15425"/>
    <w:multiLevelType w:val="multilevel"/>
    <w:tmpl w:val="D2E15425"/>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9">
    <w:nsid w:val="D72C8E1A"/>
    <w:multiLevelType w:val="multilevel"/>
    <w:tmpl w:val="D72C8E1A"/>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0">
    <w:nsid w:val="DBB77972"/>
    <w:multiLevelType w:val="multilevel"/>
    <w:tmpl w:val="DBB77972"/>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1">
    <w:nsid w:val="DE2CB301"/>
    <w:multiLevelType w:val="multilevel"/>
    <w:tmpl w:val="DE2CB301"/>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2">
    <w:nsid w:val="E02AB773"/>
    <w:multiLevelType w:val="multilevel"/>
    <w:tmpl w:val="E02AB773"/>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3">
    <w:nsid w:val="E51E4F11"/>
    <w:multiLevelType w:val="singleLevel"/>
    <w:tmpl w:val="E51E4F11"/>
    <w:lvl w:ilvl="0" w:tentative="0">
      <w:start w:val="1"/>
      <w:numFmt w:val="decimal"/>
      <w:lvlText w:val="%1)"/>
      <w:lvlJc w:val="left"/>
      <w:pPr>
        <w:ind w:left="454" w:firstLine="396"/>
      </w:pPr>
      <w:rPr>
        <w:rFonts w:hint="default"/>
      </w:rPr>
    </w:lvl>
  </w:abstractNum>
  <w:abstractNum w:abstractNumId="34">
    <w:nsid w:val="E6BD2947"/>
    <w:multiLevelType w:val="multilevel"/>
    <w:tmpl w:val="E6BD2947"/>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5">
    <w:nsid w:val="EA6AD0F6"/>
    <w:multiLevelType w:val="multilevel"/>
    <w:tmpl w:val="EA6AD0F6"/>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6">
    <w:nsid w:val="EC45F147"/>
    <w:multiLevelType w:val="multilevel"/>
    <w:tmpl w:val="EC45F147"/>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7">
    <w:nsid w:val="ECA53DBE"/>
    <w:multiLevelType w:val="multilevel"/>
    <w:tmpl w:val="ECA53DBE"/>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8">
    <w:nsid w:val="ED47C4A8"/>
    <w:multiLevelType w:val="multilevel"/>
    <w:tmpl w:val="ED47C4A8"/>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9">
    <w:nsid w:val="F322D82B"/>
    <w:multiLevelType w:val="multilevel"/>
    <w:tmpl w:val="F322D82B"/>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0">
    <w:nsid w:val="F90309A0"/>
    <w:multiLevelType w:val="multilevel"/>
    <w:tmpl w:val="F90309A0"/>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1">
    <w:nsid w:val="FA6C1478"/>
    <w:multiLevelType w:val="singleLevel"/>
    <w:tmpl w:val="FA6C1478"/>
    <w:lvl w:ilvl="0" w:tentative="0">
      <w:start w:val="1"/>
      <w:numFmt w:val="lowerLetter"/>
      <w:suff w:val="space"/>
      <w:lvlText w:val="%1)"/>
      <w:lvlJc w:val="left"/>
      <w:pPr>
        <w:ind w:left="-840"/>
      </w:pPr>
    </w:lvl>
  </w:abstractNum>
  <w:abstractNum w:abstractNumId="42">
    <w:nsid w:val="FC0EC953"/>
    <w:multiLevelType w:val="multilevel"/>
    <w:tmpl w:val="FC0EC953"/>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3">
    <w:nsid w:val="FC686621"/>
    <w:multiLevelType w:val="multilevel"/>
    <w:tmpl w:val="FC686621"/>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44">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45">
    <w:nsid w:val="FFFFFF7D"/>
    <w:multiLevelType w:val="singleLevel"/>
    <w:tmpl w:val="FFFFFF7D"/>
    <w:lvl w:ilvl="0" w:tentative="0">
      <w:start w:val="1"/>
      <w:numFmt w:val="decimal"/>
      <w:pStyle w:val="50"/>
      <w:lvlText w:val="%1."/>
      <w:lvlJc w:val="left"/>
      <w:pPr>
        <w:tabs>
          <w:tab w:val="left" w:pos="1620"/>
        </w:tabs>
        <w:ind w:left="1620" w:leftChars="600" w:hanging="360" w:hangingChars="200"/>
      </w:pPr>
    </w:lvl>
  </w:abstractNum>
  <w:abstractNum w:abstractNumId="46">
    <w:nsid w:val="FFFFFF7E"/>
    <w:multiLevelType w:val="singleLevel"/>
    <w:tmpl w:val="FFFFFF7E"/>
    <w:lvl w:ilvl="0" w:tentative="0">
      <w:start w:val="1"/>
      <w:numFmt w:val="decimal"/>
      <w:pStyle w:val="41"/>
      <w:lvlText w:val="%1."/>
      <w:lvlJc w:val="left"/>
      <w:pPr>
        <w:tabs>
          <w:tab w:val="left" w:pos="1200"/>
        </w:tabs>
        <w:ind w:left="1200" w:leftChars="400" w:hanging="360" w:hangingChars="200"/>
      </w:pPr>
    </w:lvl>
  </w:abstractNum>
  <w:abstractNum w:abstractNumId="47">
    <w:nsid w:val="FFFFFF7F"/>
    <w:multiLevelType w:val="singleLevel"/>
    <w:tmpl w:val="FFFFFF7F"/>
    <w:lvl w:ilvl="0" w:tentative="0">
      <w:start w:val="1"/>
      <w:numFmt w:val="decimal"/>
      <w:pStyle w:val="19"/>
      <w:lvlText w:val="%1."/>
      <w:lvlJc w:val="left"/>
      <w:pPr>
        <w:tabs>
          <w:tab w:val="left" w:pos="780"/>
        </w:tabs>
        <w:ind w:left="780" w:leftChars="200" w:hanging="360" w:hangingChars="200"/>
      </w:pPr>
    </w:lvl>
  </w:abstractNum>
  <w:abstractNum w:abstractNumId="48">
    <w:nsid w:val="FFFFFF80"/>
    <w:multiLevelType w:val="singleLevel"/>
    <w:tmpl w:val="FFFFFF80"/>
    <w:lvl w:ilvl="0" w:tentative="0">
      <w:start w:val="1"/>
      <w:numFmt w:val="bullet"/>
      <w:pStyle w:val="49"/>
      <w:lvlText w:val=""/>
      <w:lvlJc w:val="left"/>
      <w:pPr>
        <w:tabs>
          <w:tab w:val="left" w:pos="2040"/>
        </w:tabs>
        <w:ind w:left="2040" w:leftChars="800" w:hanging="360" w:hangingChars="200"/>
      </w:pPr>
      <w:rPr>
        <w:rFonts w:hint="default" w:ascii="Wingdings" w:hAnsi="Wingdings"/>
      </w:rPr>
    </w:lvl>
  </w:abstractNum>
  <w:abstractNum w:abstractNumId="49">
    <w:nsid w:val="FFFFFF81"/>
    <w:multiLevelType w:val="singleLevel"/>
    <w:tmpl w:val="FFFFFF81"/>
    <w:lvl w:ilvl="0" w:tentative="0">
      <w:start w:val="1"/>
      <w:numFmt w:val="bullet"/>
      <w:pStyle w:val="22"/>
      <w:lvlText w:val=""/>
      <w:lvlJc w:val="left"/>
      <w:pPr>
        <w:tabs>
          <w:tab w:val="left" w:pos="1620"/>
        </w:tabs>
        <w:ind w:left="1620" w:leftChars="600" w:hanging="360" w:hangingChars="200"/>
      </w:pPr>
      <w:rPr>
        <w:rFonts w:hint="default" w:ascii="Wingdings" w:hAnsi="Wingdings"/>
      </w:rPr>
    </w:lvl>
  </w:abstractNum>
  <w:abstractNum w:abstractNumId="50">
    <w:nsid w:val="FFFFFF82"/>
    <w:multiLevelType w:val="singleLevel"/>
    <w:tmpl w:val="FFFFFF82"/>
    <w:lvl w:ilvl="0" w:tentative="0">
      <w:start w:val="1"/>
      <w:numFmt w:val="bullet"/>
      <w:pStyle w:val="38"/>
      <w:lvlText w:val=""/>
      <w:lvlJc w:val="left"/>
      <w:pPr>
        <w:tabs>
          <w:tab w:val="left" w:pos="1200"/>
        </w:tabs>
        <w:ind w:left="1200" w:leftChars="400" w:hanging="360" w:hangingChars="200"/>
      </w:pPr>
      <w:rPr>
        <w:rFonts w:hint="default" w:ascii="Wingdings" w:hAnsi="Wingdings"/>
      </w:rPr>
    </w:lvl>
  </w:abstractNum>
  <w:abstractNum w:abstractNumId="51">
    <w:nsid w:val="FFFFFF83"/>
    <w:multiLevelType w:val="singleLevel"/>
    <w:tmpl w:val="FFFFFF83"/>
    <w:lvl w:ilvl="0" w:tentative="0">
      <w:start w:val="1"/>
      <w:numFmt w:val="bullet"/>
      <w:pStyle w:val="45"/>
      <w:lvlText w:val=""/>
      <w:lvlJc w:val="left"/>
      <w:pPr>
        <w:tabs>
          <w:tab w:val="left" w:pos="780"/>
        </w:tabs>
        <w:ind w:left="780" w:leftChars="200" w:hanging="360" w:hangingChars="200"/>
      </w:pPr>
      <w:rPr>
        <w:rFonts w:hint="default" w:ascii="Wingdings" w:hAnsi="Wingdings"/>
      </w:rPr>
    </w:lvl>
  </w:abstractNum>
  <w:abstractNum w:abstractNumId="52">
    <w:nsid w:val="FFFFFF88"/>
    <w:multiLevelType w:val="singleLevel"/>
    <w:tmpl w:val="FFFFFF88"/>
    <w:lvl w:ilvl="0" w:tentative="0">
      <w:start w:val="1"/>
      <w:numFmt w:val="decimal"/>
      <w:pStyle w:val="25"/>
      <w:lvlText w:val="%1."/>
      <w:lvlJc w:val="left"/>
      <w:pPr>
        <w:tabs>
          <w:tab w:val="left" w:pos="360"/>
        </w:tabs>
        <w:ind w:left="360" w:hanging="360" w:hangingChars="200"/>
      </w:pPr>
    </w:lvl>
  </w:abstractNum>
  <w:abstractNum w:abstractNumId="53">
    <w:nsid w:val="FFFFFF89"/>
    <w:multiLevelType w:val="singleLevel"/>
    <w:tmpl w:val="FFFFFF89"/>
    <w:lvl w:ilvl="0" w:tentative="0">
      <w:start w:val="1"/>
      <w:numFmt w:val="bullet"/>
      <w:pStyle w:val="29"/>
      <w:lvlText w:val=""/>
      <w:lvlJc w:val="left"/>
      <w:pPr>
        <w:tabs>
          <w:tab w:val="left" w:pos="360"/>
        </w:tabs>
        <w:ind w:left="360" w:hanging="360" w:hangingChars="200"/>
      </w:pPr>
      <w:rPr>
        <w:rFonts w:hint="default" w:ascii="Wingdings" w:hAnsi="Wingdings"/>
      </w:rPr>
    </w:lvl>
  </w:abstractNum>
  <w:abstractNum w:abstractNumId="54">
    <w:nsid w:val="03ECBFE0"/>
    <w:multiLevelType w:val="multilevel"/>
    <w:tmpl w:val="03ECBFE0"/>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5">
    <w:nsid w:val="05EBD7AB"/>
    <w:multiLevelType w:val="multilevel"/>
    <w:tmpl w:val="05EBD7AB"/>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6">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514"/>
      <w:suff w:val="nothing"/>
      <w:lvlText w:val="%10.%2 "/>
      <w:lvlJc w:val="left"/>
      <w:pPr>
        <w:ind w:left="0" w:firstLine="0"/>
      </w:pPr>
      <w:rPr>
        <w:rFonts w:hint="eastAsia" w:ascii="黑体" w:eastAsia="黑体" w:hAnsiTheme="minorHAnsi"/>
        <w:b w:val="0"/>
        <w:i w:val="0"/>
        <w:sz w:val="21"/>
      </w:rPr>
    </w:lvl>
    <w:lvl w:ilvl="2" w:tentative="0">
      <w:start w:val="1"/>
      <w:numFmt w:val="decimal"/>
      <w:pStyle w:val="506"/>
      <w:suff w:val="nothing"/>
      <w:lvlText w:val="%10.%2.%3 "/>
      <w:lvlJc w:val="left"/>
      <w:pPr>
        <w:ind w:left="0" w:firstLine="0"/>
      </w:pPr>
      <w:rPr>
        <w:rFonts w:hint="eastAsia" w:ascii="黑体" w:eastAsia="黑体" w:hAnsiTheme="minorHAnsi"/>
        <w:b w:val="0"/>
        <w:i w:val="0"/>
        <w:sz w:val="21"/>
      </w:rPr>
    </w:lvl>
    <w:lvl w:ilvl="3" w:tentative="0">
      <w:start w:val="1"/>
      <w:numFmt w:val="decimal"/>
      <w:pStyle w:val="508"/>
      <w:suff w:val="nothing"/>
      <w:lvlText w:val="%10.%2.%3.%4 "/>
      <w:lvlJc w:val="left"/>
      <w:pPr>
        <w:ind w:left="0" w:firstLine="0"/>
      </w:pPr>
      <w:rPr>
        <w:rFonts w:hint="eastAsia" w:ascii="黑体" w:eastAsia="黑体" w:hAnsiTheme="minorHAnsi"/>
        <w:b w:val="0"/>
        <w:i w:val="0"/>
        <w:sz w:val="21"/>
      </w:rPr>
    </w:lvl>
    <w:lvl w:ilvl="4" w:tentative="0">
      <w:start w:val="1"/>
      <w:numFmt w:val="decimal"/>
      <w:pStyle w:val="510"/>
      <w:suff w:val="nothing"/>
      <w:lvlText w:val="%10.%2.%3.%4.%5 "/>
      <w:lvlJc w:val="left"/>
      <w:pPr>
        <w:ind w:left="0" w:firstLine="0"/>
      </w:pPr>
      <w:rPr>
        <w:rFonts w:hint="eastAsia" w:ascii="黑体" w:eastAsia="黑体" w:hAnsiTheme="minorHAnsi"/>
        <w:b w:val="0"/>
        <w:i w:val="0"/>
        <w:sz w:val="21"/>
      </w:rPr>
    </w:lvl>
    <w:lvl w:ilvl="5" w:tentative="0">
      <w:start w:val="1"/>
      <w:numFmt w:val="decimal"/>
      <w:pStyle w:val="512"/>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7">
    <w:nsid w:val="08A3E9EB"/>
    <w:multiLevelType w:val="multilevel"/>
    <w:tmpl w:val="08A3E9EB"/>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8">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1"/>
      <w:suff w:val="nothing"/>
      <w:lvlText w:val="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none"/>
      <w:pStyle w:val="316"/>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59">
    <w:nsid w:val="099E8D77"/>
    <w:multiLevelType w:val="multilevel"/>
    <w:tmpl w:val="099E8D77"/>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0">
    <w:nsid w:val="0AE367E9"/>
    <w:multiLevelType w:val="multilevel"/>
    <w:tmpl w:val="0AE367E9"/>
    <w:lvl w:ilvl="0" w:tentative="0">
      <w:start w:val="1"/>
      <w:numFmt w:val="none"/>
      <w:pStyle w:val="292"/>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1">
    <w:nsid w:val="0BD18A9B"/>
    <w:multiLevelType w:val="multilevel"/>
    <w:tmpl w:val="0BD18A9B"/>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2">
    <w:nsid w:val="0D46713A"/>
    <w:multiLevelType w:val="multilevel"/>
    <w:tmpl w:val="0D46713A"/>
    <w:lvl w:ilvl="0" w:tentative="0">
      <w:start w:val="1"/>
      <w:numFmt w:val="bullet"/>
      <w:pStyle w:val="325"/>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63">
    <w:nsid w:val="103E1BE2"/>
    <w:multiLevelType w:val="multilevel"/>
    <w:tmpl w:val="103E1BE2"/>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4">
    <w:nsid w:val="10DD0E74"/>
    <w:multiLevelType w:val="multilevel"/>
    <w:tmpl w:val="10DD0E74"/>
    <w:lvl w:ilvl="0" w:tentative="0">
      <w:start w:val="1"/>
      <w:numFmt w:val="lowerLetter"/>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65">
    <w:nsid w:val="13706683"/>
    <w:multiLevelType w:val="multilevel"/>
    <w:tmpl w:val="13706683"/>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6">
    <w:nsid w:val="1E166C9D"/>
    <w:multiLevelType w:val="multilevel"/>
    <w:tmpl w:val="1E166C9D"/>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7">
    <w:nsid w:val="1FC91163"/>
    <w:multiLevelType w:val="multilevel"/>
    <w:tmpl w:val="1FC91163"/>
    <w:lvl w:ilvl="0" w:tentative="0">
      <w:start w:val="1"/>
      <w:numFmt w:val="decimal"/>
      <w:pStyle w:val="25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0"/>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61"/>
      <w:suff w:val="nothing"/>
      <w:lvlText w:val="%1.%2.%3　"/>
      <w:lvlJc w:val="left"/>
      <w:pPr>
        <w:ind w:left="3970" w:firstLine="0"/>
      </w:pPr>
      <w:rPr>
        <w:rFonts w:hint="eastAsia" w:ascii="黑体" w:hAnsi="Times New Roman" w:eastAsia="黑体"/>
        <w:b w:val="0"/>
        <w:i w:val="0"/>
        <w:sz w:val="21"/>
      </w:rPr>
    </w:lvl>
    <w:lvl w:ilvl="3" w:tentative="0">
      <w:start w:val="1"/>
      <w:numFmt w:val="decimal"/>
      <w:pStyle w:val="290"/>
      <w:suff w:val="nothing"/>
      <w:lvlText w:val="%1.%2.%3.%4　"/>
      <w:lvlJc w:val="left"/>
      <w:pPr>
        <w:ind w:left="0" w:firstLine="0"/>
      </w:pPr>
      <w:rPr>
        <w:rFonts w:hint="eastAsia" w:ascii="黑体" w:hAnsi="Times New Roman" w:eastAsia="黑体"/>
        <w:b w:val="0"/>
        <w:i w:val="0"/>
        <w:sz w:val="21"/>
      </w:rPr>
    </w:lvl>
    <w:lvl w:ilvl="4" w:tentative="0">
      <w:start w:val="1"/>
      <w:numFmt w:val="decimal"/>
      <w:pStyle w:val="295"/>
      <w:suff w:val="nothing"/>
      <w:lvlText w:val="%1.%2.%3.%4.%5　"/>
      <w:lvlJc w:val="left"/>
      <w:pPr>
        <w:ind w:left="0" w:firstLine="0"/>
      </w:pPr>
      <w:rPr>
        <w:rFonts w:hint="eastAsia" w:ascii="黑体" w:hAnsi="Times New Roman" w:eastAsia="黑体"/>
        <w:b w:val="0"/>
        <w:i w:val="0"/>
        <w:sz w:val="21"/>
      </w:rPr>
    </w:lvl>
    <w:lvl w:ilvl="5" w:tentative="0">
      <w:start w:val="1"/>
      <w:numFmt w:val="decimal"/>
      <w:pStyle w:val="300"/>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8">
    <w:nsid w:val="2112DDD3"/>
    <w:multiLevelType w:val="multilevel"/>
    <w:tmpl w:val="2112DDD3"/>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9">
    <w:nsid w:val="2126D581"/>
    <w:multiLevelType w:val="multilevel"/>
    <w:tmpl w:val="2126D581"/>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0">
    <w:nsid w:val="2370DD96"/>
    <w:multiLevelType w:val="multilevel"/>
    <w:tmpl w:val="2370DD96"/>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1">
    <w:nsid w:val="2383C724"/>
    <w:multiLevelType w:val="multilevel"/>
    <w:tmpl w:val="2383C724"/>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2">
    <w:nsid w:val="2560F41D"/>
    <w:multiLevelType w:val="multilevel"/>
    <w:tmpl w:val="2560F41D"/>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3">
    <w:nsid w:val="278ECEE2"/>
    <w:multiLevelType w:val="multilevel"/>
    <w:tmpl w:val="278ECEE2"/>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4">
    <w:nsid w:val="2A820A4C"/>
    <w:multiLevelType w:val="multilevel"/>
    <w:tmpl w:val="2A820A4C"/>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5">
    <w:nsid w:val="2A8F7113"/>
    <w:multiLevelType w:val="multilevel"/>
    <w:tmpl w:val="2A8F7113"/>
    <w:lvl w:ilvl="0" w:tentative="0">
      <w:start w:val="1"/>
      <w:numFmt w:val="upperLetter"/>
      <w:pStyle w:val="348"/>
      <w:suff w:val="space"/>
      <w:lvlText w:val="%1"/>
      <w:lvlJc w:val="left"/>
      <w:pPr>
        <w:ind w:left="0" w:firstLine="0"/>
      </w:pPr>
      <w:rPr>
        <w:rFonts w:hint="eastAsia"/>
      </w:rPr>
    </w:lvl>
    <w:lvl w:ilvl="1" w:tentative="0">
      <w:start w:val="1"/>
      <w:numFmt w:val="decimal"/>
      <w:pStyle w:val="281"/>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6">
    <w:nsid w:val="2D9C9FF9"/>
    <w:multiLevelType w:val="multilevel"/>
    <w:tmpl w:val="2D9C9FF9"/>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7">
    <w:nsid w:val="366F99B5"/>
    <w:multiLevelType w:val="multilevel"/>
    <w:tmpl w:val="366F99B5"/>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8">
    <w:nsid w:val="36D465BC"/>
    <w:multiLevelType w:val="multilevel"/>
    <w:tmpl w:val="36D465BC"/>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79">
    <w:nsid w:val="3949EC9F"/>
    <w:multiLevelType w:val="multilevel"/>
    <w:tmpl w:val="3949EC9F"/>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0">
    <w:nsid w:val="3A166970"/>
    <w:multiLevelType w:val="multilevel"/>
    <w:tmpl w:val="3A166970"/>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1">
    <w:nsid w:val="3DAA4903"/>
    <w:multiLevelType w:val="multilevel"/>
    <w:tmpl w:val="3DAA4903"/>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2">
    <w:nsid w:val="4677696B"/>
    <w:multiLevelType w:val="multilevel"/>
    <w:tmpl w:val="4677696B"/>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3">
    <w:nsid w:val="48930BD0"/>
    <w:multiLevelType w:val="multilevel"/>
    <w:tmpl w:val="48930BD0"/>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4">
    <w:nsid w:val="4B733A5F"/>
    <w:multiLevelType w:val="multilevel"/>
    <w:tmpl w:val="4B733A5F"/>
    <w:lvl w:ilvl="0" w:tentative="0">
      <w:start w:val="1"/>
      <w:numFmt w:val="decimal"/>
      <w:pStyle w:val="306"/>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85">
    <w:nsid w:val="4BD51F05"/>
    <w:multiLevelType w:val="multilevel"/>
    <w:tmpl w:val="4BD51F05"/>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6">
    <w:nsid w:val="4CA2193A"/>
    <w:multiLevelType w:val="multilevel"/>
    <w:tmpl w:val="4CA2193A"/>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7">
    <w:nsid w:val="4E83A375"/>
    <w:multiLevelType w:val="multilevel"/>
    <w:tmpl w:val="4E83A375"/>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8">
    <w:nsid w:val="5019B7AB"/>
    <w:multiLevelType w:val="multilevel"/>
    <w:tmpl w:val="5019B7AB"/>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89">
    <w:nsid w:val="511CF6D8"/>
    <w:multiLevelType w:val="multilevel"/>
    <w:tmpl w:val="511CF6D8"/>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0">
    <w:nsid w:val="53A47A75"/>
    <w:multiLevelType w:val="multilevel"/>
    <w:tmpl w:val="53A47A75"/>
    <w:lvl w:ilvl="0" w:tentative="0">
      <w:start w:val="11"/>
      <w:numFmt w:val="decimal"/>
      <w:lvlText w:val="%1"/>
      <w:lvlJc w:val="left"/>
      <w:pPr>
        <w:ind w:left="425" w:hanging="425"/>
      </w:pPr>
      <w:rPr>
        <w:rFonts w:hint="eastAsia"/>
      </w:rPr>
    </w:lvl>
    <w:lvl w:ilvl="1" w:tentative="0">
      <w:start w:val="1"/>
      <w:numFmt w:val="decimal"/>
      <w:lvlText w:val="%1.%2"/>
      <w:lvlJc w:val="left"/>
      <w:pPr>
        <w:ind w:left="992" w:hanging="567"/>
      </w:pPr>
      <w:rPr>
        <w:rFonts w:hint="eastAsia" w:ascii="Times New Roman" w:hAnsi="Times New Roman"/>
        <w:b w:val="0"/>
        <w:bCs w:val="0"/>
        <w:i w:val="0"/>
        <w:iCs w:val="0"/>
        <w:caps w:val="0"/>
        <w:smallCaps w:val="0"/>
        <w:strike w:val="0"/>
        <w:dstrike w:val="0"/>
        <w:vanish w:val="0"/>
        <w:spacing w:val="0"/>
        <w:position w:val="0"/>
        <w:u w:val="none"/>
        <w:vertAlign w:val="baseline"/>
      </w:rPr>
    </w:lvl>
    <w:lvl w:ilvl="2" w:tentative="0">
      <w:start w:val="1"/>
      <w:numFmt w:val="decimal"/>
      <w:pStyle w:val="538"/>
      <w:lvlText w:val="%1.%2.%3"/>
      <w:lvlJc w:val="left"/>
      <w:pPr>
        <w:ind w:left="1418" w:hanging="567"/>
      </w:pPr>
      <w:rPr>
        <w:rFonts w:hint="eastAsia"/>
      </w:rPr>
    </w:lvl>
    <w:lvl w:ilvl="3" w:tentative="0">
      <w:start w:val="1"/>
      <w:numFmt w:val="decimal"/>
      <w:lvlText w:val="%1.%2.%3.%4"/>
      <w:lvlJc w:val="left"/>
      <w:pPr>
        <w:ind w:left="1984" w:hanging="708"/>
      </w:pPr>
      <w:rPr>
        <w:rFonts w:hint="eastAsia"/>
        <w:b w:val="0"/>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1">
    <w:nsid w:val="55E02EF4"/>
    <w:multiLevelType w:val="multilevel"/>
    <w:tmpl w:val="55E02EF4"/>
    <w:lvl w:ilvl="0" w:tentative="0">
      <w:start w:val="1"/>
      <w:numFmt w:val="decimal"/>
      <w:pStyle w:val="302"/>
      <w:lvlText w:val="图%1"/>
      <w:lvlJc w:val="left"/>
      <w:pPr>
        <w:tabs>
          <w:tab w:val="left" w:pos="510"/>
        </w:tabs>
        <w:ind w:left="0" w:firstLine="0"/>
      </w:pPr>
      <w:rPr>
        <w:rFonts w:hint="eastAsia" w:ascii="黑体" w:eastAsia="黑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2">
    <w:nsid w:val="58CC5C88"/>
    <w:multiLevelType w:val="multilevel"/>
    <w:tmpl w:val="58CC5C88"/>
    <w:lvl w:ilvl="0" w:tentative="0">
      <w:start w:val="1"/>
      <w:numFmt w:val="decimal"/>
      <w:pStyle w:val="304"/>
      <w:suff w:val="nothing"/>
      <w:lvlText w:val="注%1："/>
      <w:lvlJc w:val="left"/>
      <w:pPr>
        <w:tabs>
          <w:tab w:val="left" w:pos="0"/>
        </w:tabs>
        <w:ind w:left="811" w:hanging="448"/>
      </w:pPr>
      <w:rPr>
        <w:rFonts w:hint="default" w:ascii="黑体" w:hAnsi="黑体" w:eastAsia="黑体" w:cs="Times New Roman"/>
        <w:b w:val="0"/>
        <w:bCs w:val="0"/>
        <w:i w:val="0"/>
        <w:iCs w:val="0"/>
        <w:caps w:val="0"/>
        <w:smallCaps w:val="0"/>
        <w:strike w:val="0"/>
        <w:dstrike w:val="0"/>
        <w:outline w:val="0"/>
        <w:shadow w:val="0"/>
        <w:emboss w:val="0"/>
        <w:imprint w:val="0"/>
        <w:vanish w:val="0"/>
        <w:spacing w:val="0"/>
        <w:position w:val="0"/>
        <w:sz w:val="18"/>
        <w:szCs w:val="1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93">
    <w:nsid w:val="5B7E3733"/>
    <w:multiLevelType w:val="multilevel"/>
    <w:tmpl w:val="5B7E3733"/>
    <w:lvl w:ilvl="0" w:tentative="0">
      <w:start w:val="1"/>
      <w:numFmt w:val="decimal"/>
      <w:pStyle w:val="296"/>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94">
    <w:nsid w:val="5BB7A0ED"/>
    <w:multiLevelType w:val="multilevel"/>
    <w:tmpl w:val="5BB7A0ED"/>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5">
    <w:nsid w:val="60B55DC2"/>
    <w:multiLevelType w:val="multilevel"/>
    <w:tmpl w:val="60B55DC2"/>
    <w:lvl w:ilvl="0" w:tentative="0">
      <w:start w:val="1"/>
      <w:numFmt w:val="upperLetter"/>
      <w:pStyle w:val="347"/>
      <w:lvlText w:val="%1"/>
      <w:lvlJc w:val="left"/>
      <w:pPr>
        <w:tabs>
          <w:tab w:val="left" w:pos="0"/>
        </w:tabs>
        <w:ind w:left="0" w:firstLine="0"/>
      </w:pPr>
      <w:rPr>
        <w:rFonts w:hint="eastAsia"/>
      </w:rPr>
    </w:lvl>
    <w:lvl w:ilvl="1" w:tentative="0">
      <w:start w:val="1"/>
      <w:numFmt w:val="decimal"/>
      <w:pStyle w:val="275"/>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17"/>
      <w:suff w:val="nothing"/>
      <w:lvlText w:val="%3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96">
    <w:nsid w:val="61EE9125"/>
    <w:multiLevelType w:val="multilevel"/>
    <w:tmpl w:val="61EE9125"/>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7">
    <w:nsid w:val="62A08C45"/>
    <w:multiLevelType w:val="multilevel"/>
    <w:tmpl w:val="62A08C45"/>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8">
    <w:nsid w:val="639E02BE"/>
    <w:multiLevelType w:val="multilevel"/>
    <w:tmpl w:val="639E02BE"/>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9">
    <w:nsid w:val="657D3FBC"/>
    <w:multiLevelType w:val="multilevel"/>
    <w:tmpl w:val="657D3FBC"/>
    <w:lvl w:ilvl="0" w:tentative="0">
      <w:start w:val="1"/>
      <w:numFmt w:val="upperLetter"/>
      <w:pStyle w:val="274"/>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76"/>
      <w:suff w:val="nothing"/>
      <w:lvlText w:val="%1.%2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pStyle w:val="277"/>
      <w:suff w:val="nothing"/>
      <w:lvlText w:val="%1.%2.%3　"/>
      <w:lvlJc w:val="left"/>
      <w:pPr>
        <w:ind w:left="0" w:firstLine="0"/>
      </w:pPr>
      <w:rPr>
        <w:rFonts w:hint="eastAsia" w:ascii="黑体" w:hAnsi="Times New Roman" w:eastAsia="黑体"/>
        <w:b w:val="0"/>
        <w:i w:val="0"/>
        <w:sz w:val="21"/>
      </w:rPr>
    </w:lvl>
    <w:lvl w:ilvl="3" w:tentative="0">
      <w:start w:val="1"/>
      <w:numFmt w:val="decimal"/>
      <w:pStyle w:val="278"/>
      <w:suff w:val="nothing"/>
      <w:lvlText w:val="%1.%2.%3.%4　"/>
      <w:lvlJc w:val="left"/>
      <w:pPr>
        <w:ind w:left="0" w:firstLine="0"/>
      </w:pPr>
      <w:rPr>
        <w:rFonts w:hint="eastAsia" w:ascii="黑体" w:hAnsi="Times New Roman" w:eastAsia="黑体"/>
        <w:b w:val="0"/>
        <w:i w:val="0"/>
        <w:sz w:val="21"/>
      </w:rPr>
    </w:lvl>
    <w:lvl w:ilvl="4" w:tentative="0">
      <w:start w:val="1"/>
      <w:numFmt w:val="decimal"/>
      <w:pStyle w:val="279"/>
      <w:suff w:val="nothing"/>
      <w:lvlText w:val="%1.%2.%3.%4.%5　"/>
      <w:lvlJc w:val="left"/>
      <w:pPr>
        <w:ind w:left="0" w:firstLine="0"/>
      </w:pPr>
      <w:rPr>
        <w:rFonts w:hint="eastAsia" w:ascii="黑体" w:hAnsi="Times New Roman" w:eastAsia="黑体"/>
        <w:b w:val="0"/>
        <w:i w:val="0"/>
        <w:sz w:val="21"/>
      </w:rPr>
    </w:lvl>
    <w:lvl w:ilvl="5" w:tentative="0">
      <w:start w:val="1"/>
      <w:numFmt w:val="decimal"/>
      <w:pStyle w:val="280"/>
      <w:suff w:val="nothing"/>
      <w:lvlText w:val="%1.%2.%3.%4.%5.%6　"/>
      <w:lvlJc w:val="left"/>
      <w:pPr>
        <w:ind w:left="0" w:firstLine="0"/>
      </w:pPr>
      <w:rPr>
        <w:rFonts w:hint="eastAsia" w:ascii="黑体" w:hAnsi="Times New Roman" w:eastAsia="黑体"/>
        <w:b w:val="0"/>
        <w:i w:val="0"/>
        <w:sz w:val="21"/>
      </w:rPr>
    </w:lvl>
    <w:lvl w:ilvl="6" w:tentative="0">
      <w:start w:val="1"/>
      <w:numFmt w:val="decimal"/>
      <w:pStyle w:val="282"/>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00">
    <w:nsid w:val="6970D626"/>
    <w:multiLevelType w:val="multilevel"/>
    <w:tmpl w:val="6970D626"/>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1">
    <w:nsid w:val="6ADC732C"/>
    <w:multiLevelType w:val="multilevel"/>
    <w:tmpl w:val="6ADC732C"/>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527"/>
      <w:suff w:val="nothing"/>
      <w:lvlText w:val="%1%2　"/>
      <w:lvlJc w:val="left"/>
      <w:pPr>
        <w:ind w:left="0" w:firstLine="0"/>
      </w:pPr>
      <w:rPr>
        <w:rFonts w:hint="eastAsia" w:ascii="黑体" w:eastAsia="黑体"/>
        <w:b w:val="0"/>
        <w:i w:val="0"/>
        <w:sz w:val="21"/>
      </w:rPr>
    </w:lvl>
    <w:lvl w:ilvl="2" w:tentative="0">
      <w:start w:val="1"/>
      <w:numFmt w:val="decimal"/>
      <w:pStyle w:val="52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524"/>
      <w:suff w:val="nothing"/>
      <w:lvlText w:val="%1%2.%3.%4　"/>
      <w:lvlJc w:val="left"/>
      <w:pPr>
        <w:ind w:left="85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3">
    <w:nsid w:val="6DBF04F4"/>
    <w:multiLevelType w:val="multilevel"/>
    <w:tmpl w:val="6DBF04F4"/>
    <w:lvl w:ilvl="0" w:tentative="0">
      <w:start w:val="1"/>
      <w:numFmt w:val="none"/>
      <w:pStyle w:val="303"/>
      <w:suff w:val="nothing"/>
      <w:lvlText w:val="%1注："/>
      <w:lvlJc w:val="left"/>
      <w:pPr>
        <w:ind w:left="573" w:hanging="363"/>
      </w:pPr>
      <w:rPr>
        <w:rFonts w:hint="default" w:ascii="黑体" w:hAnsi="Times New Roman" w:eastAsia="黑体"/>
        <w:b w:val="0"/>
        <w:i w:val="0"/>
        <w:sz w:val="18"/>
        <w:szCs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04">
    <w:nsid w:val="71861B54"/>
    <w:multiLevelType w:val="multilevel"/>
    <w:tmpl w:val="71861B54"/>
    <w:lvl w:ilvl="0" w:tentative="0">
      <w:start w:val="1"/>
      <w:numFmt w:val="lowerLetter"/>
      <w:lvlText w:val="%1)"/>
      <w:lvlJc w:val="left"/>
      <w:pPr>
        <w:tabs>
          <w:tab w:val="left" w:pos="840"/>
        </w:tabs>
        <w:ind w:left="839" w:hanging="419"/>
      </w:pPr>
      <w:rPr>
        <w:rFonts w:hint="default" w:ascii="宋体" w:hAnsi="宋体" w:eastAsia="宋体" w:cs="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5">
    <w:nsid w:val="72D8A207"/>
    <w:multiLevelType w:val="multilevel"/>
    <w:tmpl w:val="72D8A207"/>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6">
    <w:nsid w:val="72D9EBA7"/>
    <w:multiLevelType w:val="multilevel"/>
    <w:tmpl w:val="72D9EBA7"/>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7">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07"/>
      <w:suff w:val="nothing"/>
      <w:lvlText w:val="%1%2 "/>
      <w:lvlJc w:val="left"/>
      <w:pPr>
        <w:ind w:left="0" w:firstLine="0"/>
      </w:pPr>
      <w:rPr>
        <w:rFonts w:hint="eastAsia" w:ascii="黑体" w:hAnsi="Times New Roman" w:eastAsia="黑体"/>
        <w:b/>
        <w:i w:val="0"/>
        <w:sz w:val="28"/>
      </w:rPr>
    </w:lvl>
    <w:lvl w:ilvl="2" w:tentative="0">
      <w:start w:val="1"/>
      <w:numFmt w:val="decimal"/>
      <w:pStyle w:val="308"/>
      <w:suff w:val="nothing"/>
      <w:lvlText w:val="%1%2.%3　"/>
      <w:lvlJc w:val="left"/>
      <w:pPr>
        <w:ind w:left="0" w:firstLine="0"/>
      </w:pPr>
      <w:rPr>
        <w:rFonts w:hint="eastAsia" w:ascii="黑体" w:hAnsi="Times New Roman" w:eastAsia="黑体"/>
        <w:b/>
        <w:i w:val="0"/>
        <w:sz w:val="21"/>
      </w:rPr>
    </w:lvl>
    <w:lvl w:ilvl="3" w:tentative="0">
      <w:start w:val="1"/>
      <w:numFmt w:val="decimal"/>
      <w:pStyle w:val="309"/>
      <w:suff w:val="nothing"/>
      <w:lvlText w:val="%1%2.%3.%4　"/>
      <w:lvlJc w:val="left"/>
      <w:pPr>
        <w:ind w:left="0" w:firstLine="0"/>
      </w:pPr>
      <w:rPr>
        <w:rFonts w:hint="eastAsia" w:ascii="黑体" w:hAnsi="Times New Roman" w:eastAsia="黑体"/>
        <w:b/>
        <w:i w:val="0"/>
        <w:sz w:val="21"/>
      </w:rPr>
    </w:lvl>
    <w:lvl w:ilvl="4" w:tentative="0">
      <w:start w:val="1"/>
      <w:numFmt w:val="decimal"/>
      <w:pStyle w:val="310"/>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1"/>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2"/>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14"/>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3"/>
      <w:lvlText w:val="%2.0.%9"/>
      <w:lvlJc w:val="left"/>
      <w:pPr>
        <w:tabs>
          <w:tab w:val="left" w:pos="720"/>
        </w:tabs>
        <w:ind w:left="0" w:firstLine="0"/>
      </w:pPr>
      <w:rPr>
        <w:rFonts w:hint="eastAsia" w:ascii="黑体" w:hAnsi="华文细黑" w:eastAsia="黑体"/>
        <w:b/>
        <w:i w:val="0"/>
        <w:sz w:val="21"/>
      </w:rPr>
    </w:lvl>
  </w:abstractNum>
  <w:abstractNum w:abstractNumId="108">
    <w:nsid w:val="76933334"/>
    <w:multiLevelType w:val="multilevel"/>
    <w:tmpl w:val="76933334"/>
    <w:lvl w:ilvl="0" w:tentative="0">
      <w:start w:val="1"/>
      <w:numFmt w:val="none"/>
      <w:pStyle w:val="285"/>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9">
    <w:nsid w:val="7A9FE74F"/>
    <w:multiLevelType w:val="multilevel"/>
    <w:tmpl w:val="7A9FE74F"/>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10">
    <w:nsid w:val="7B192072"/>
    <w:multiLevelType w:val="multilevel"/>
    <w:tmpl w:val="7B192072"/>
    <w:lvl w:ilvl="0" w:tentative="0">
      <w:start w:val="1"/>
      <w:numFmt w:val="lowerLetter"/>
      <w:lvlText w:val="%1)"/>
      <w:lvlJc w:val="left"/>
      <w:pPr>
        <w:tabs>
          <w:tab w:val="left" w:pos="840"/>
        </w:tabs>
        <w:ind w:left="839" w:hanging="419"/>
      </w:pPr>
      <w:rPr>
        <w:rFonts w:hint="default" w:ascii="宋体" w:hAnsi="宋体" w:eastAsia="宋体" w:cs="Times New Roman"/>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num w:numId="1">
    <w:abstractNumId w:val="47"/>
  </w:num>
  <w:num w:numId="2">
    <w:abstractNumId w:val="49"/>
  </w:num>
  <w:num w:numId="3">
    <w:abstractNumId w:val="52"/>
  </w:num>
  <w:num w:numId="4">
    <w:abstractNumId w:val="53"/>
  </w:num>
  <w:num w:numId="5">
    <w:abstractNumId w:val="50"/>
  </w:num>
  <w:num w:numId="6">
    <w:abstractNumId w:val="46"/>
  </w:num>
  <w:num w:numId="7">
    <w:abstractNumId w:val="51"/>
  </w:num>
  <w:num w:numId="8">
    <w:abstractNumId w:val="48"/>
  </w:num>
  <w:num w:numId="9">
    <w:abstractNumId w:val="45"/>
  </w:num>
  <w:num w:numId="10">
    <w:abstractNumId w:val="44"/>
  </w:num>
  <w:num w:numId="11">
    <w:abstractNumId w:val="67"/>
  </w:num>
  <w:num w:numId="12">
    <w:abstractNumId w:val="99"/>
  </w:num>
  <w:num w:numId="13">
    <w:abstractNumId w:val="95"/>
  </w:num>
  <w:num w:numId="14">
    <w:abstractNumId w:val="75"/>
  </w:num>
  <w:num w:numId="15">
    <w:abstractNumId w:val="108"/>
  </w:num>
  <w:num w:numId="16">
    <w:abstractNumId w:val="60"/>
  </w:num>
  <w:num w:numId="17">
    <w:abstractNumId w:val="17"/>
  </w:num>
  <w:num w:numId="18">
    <w:abstractNumId w:val="93"/>
  </w:num>
  <w:num w:numId="19">
    <w:abstractNumId w:val="58"/>
  </w:num>
  <w:num w:numId="20">
    <w:abstractNumId w:val="91"/>
  </w:num>
  <w:num w:numId="21">
    <w:abstractNumId w:val="103"/>
  </w:num>
  <w:num w:numId="22">
    <w:abstractNumId w:val="92"/>
  </w:num>
  <w:num w:numId="23">
    <w:abstractNumId w:val="24"/>
  </w:num>
  <w:num w:numId="24">
    <w:abstractNumId w:val="84"/>
  </w:num>
  <w:num w:numId="25">
    <w:abstractNumId w:val="107"/>
  </w:num>
  <w:num w:numId="26">
    <w:abstractNumId w:val="62"/>
  </w:num>
  <w:num w:numId="27">
    <w:abstractNumId w:val="56"/>
  </w:num>
  <w:num w:numId="28">
    <w:abstractNumId w:val="102"/>
  </w:num>
  <w:num w:numId="29">
    <w:abstractNumId w:val="90"/>
  </w:num>
  <w:num w:numId="30">
    <w:abstractNumId w:val="64"/>
  </w:num>
  <w:num w:numId="31">
    <w:abstractNumId w:val="27"/>
  </w:num>
  <w:num w:numId="32">
    <w:abstractNumId w:val="21"/>
  </w:num>
  <w:num w:numId="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0"/>
  </w:num>
  <w:num w:numId="36">
    <w:abstractNumId w:val="54"/>
  </w:num>
  <w:num w:numId="3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8"/>
  </w:num>
  <w:num w:numId="40">
    <w:abstractNumId w:val="72"/>
  </w:num>
  <w:num w:numId="41">
    <w:abstractNumId w:val="61"/>
  </w:num>
  <w:num w:numId="42">
    <w:abstractNumId w:val="35"/>
  </w:num>
  <w:num w:numId="43">
    <w:abstractNumId w:val="59"/>
  </w:num>
  <w:num w:numId="44">
    <w:abstractNumId w:val="66"/>
  </w:num>
  <w:num w:numId="45">
    <w:abstractNumId w:val="78"/>
  </w:num>
  <w:num w:numId="46">
    <w:abstractNumId w:val="0"/>
  </w:num>
  <w:num w:numId="47">
    <w:abstractNumId w:val="68"/>
  </w:num>
  <w:num w:numId="48">
    <w:abstractNumId w:val="31"/>
  </w:num>
  <w:num w:numId="49">
    <w:abstractNumId w:val="74"/>
  </w:num>
  <w:num w:numId="5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5"/>
  </w:num>
  <w:num w:numId="5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6"/>
  </w:num>
  <w:num w:numId="55">
    <w:abstractNumId w:val="87"/>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num>
  <w:num w:numId="58">
    <w:abstractNumId w:val="5"/>
  </w:num>
  <w:num w:numId="59">
    <w:abstractNumId w:val="82"/>
  </w:num>
  <w:num w:numId="60">
    <w:abstractNumId w:val="101"/>
  </w:num>
  <w:num w:numId="61">
    <w:abstractNumId w:val="76"/>
  </w:num>
  <w:num w:numId="6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num>
  <w:num w:numId="64">
    <w:abstractNumId w:val="85"/>
  </w:num>
  <w:num w:numId="65">
    <w:abstractNumId w:val="55"/>
  </w:num>
  <w:num w:numId="66">
    <w:abstractNumId w:val="37"/>
  </w:num>
  <w:num w:numId="67">
    <w:abstractNumId w:val="80"/>
  </w:num>
  <w:num w:numId="68">
    <w:abstractNumId w:val="34"/>
  </w:num>
  <w:num w:numId="69">
    <w:abstractNumId w:val="88"/>
  </w:num>
  <w:num w:numId="70">
    <w:abstractNumId w:val="105"/>
  </w:num>
  <w:num w:numId="71">
    <w:abstractNumId w:val="18"/>
  </w:num>
  <w:num w:numId="72">
    <w:abstractNumId w:val="23"/>
  </w:num>
  <w:num w:numId="73">
    <w:abstractNumId w:val="19"/>
  </w:num>
  <w:num w:numId="74">
    <w:abstractNumId w:val="100"/>
  </w:num>
  <w:num w:numId="75">
    <w:abstractNumId w:val="33"/>
  </w:num>
  <w:num w:numId="76">
    <w:abstractNumId w:val="43"/>
  </w:num>
  <w:num w:numId="77">
    <w:abstractNumId w:val="4"/>
  </w:num>
  <w:num w:numId="78">
    <w:abstractNumId w:val="77"/>
  </w:num>
  <w:num w:numId="79">
    <w:abstractNumId w:val="71"/>
  </w:num>
  <w:num w:numId="80">
    <w:abstractNumId w:val="32"/>
  </w:num>
  <w:num w:numId="81">
    <w:abstractNumId w:val="3"/>
  </w:num>
  <w:num w:numId="82">
    <w:abstractNumId w:val="69"/>
  </w:num>
  <w:num w:numId="83">
    <w:abstractNumId w:val="36"/>
  </w:num>
  <w:num w:numId="84">
    <w:abstractNumId w:val="10"/>
  </w:num>
  <w:num w:numId="85">
    <w:abstractNumId w:val="109"/>
  </w:num>
  <w:num w:numId="86">
    <w:abstractNumId w:val="83"/>
  </w:num>
  <w:num w:numId="87">
    <w:abstractNumId w:val="7"/>
  </w:num>
  <w:num w:numId="88">
    <w:abstractNumId w:val="14"/>
  </w:num>
  <w:num w:numId="89">
    <w:abstractNumId w:val="86"/>
  </w:num>
  <w:num w:numId="9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3"/>
  </w:num>
  <w:num w:numId="92">
    <w:abstractNumId w:val="29"/>
  </w:num>
  <w:num w:numId="93">
    <w:abstractNumId w:val="11"/>
  </w:num>
  <w:num w:numId="94">
    <w:abstractNumId w:val="28"/>
  </w:num>
  <w:num w:numId="9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
  </w:num>
  <w:num w:numId="97">
    <w:abstractNumId w:val="13"/>
  </w:num>
  <w:num w:numId="98">
    <w:abstractNumId w:val="94"/>
  </w:num>
  <w:num w:numId="99">
    <w:abstractNumId w:val="110"/>
  </w:num>
  <w:num w:numId="100">
    <w:abstractNumId w:val="2"/>
  </w:num>
  <w:num w:numId="101">
    <w:abstractNumId w:val="81"/>
  </w:num>
  <w:num w:numId="102">
    <w:abstractNumId w:val="25"/>
  </w:num>
  <w:num w:numId="103">
    <w:abstractNumId w:val="89"/>
  </w:num>
  <w:num w:numId="104">
    <w:abstractNumId w:val="73"/>
  </w:num>
  <w:num w:numId="105">
    <w:abstractNumId w:val="26"/>
  </w:num>
  <w:num w:numId="106">
    <w:abstractNumId w:val="96"/>
  </w:num>
  <w:num w:numId="107">
    <w:abstractNumId w:val="9"/>
  </w:num>
  <w:num w:numId="108">
    <w:abstractNumId w:val="79"/>
  </w:num>
  <w:num w:numId="109">
    <w:abstractNumId w:val="38"/>
  </w:num>
  <w:num w:numId="110">
    <w:abstractNumId w:val="70"/>
  </w:num>
  <w:num w:numId="111">
    <w:abstractNumId w:val="30"/>
  </w:num>
  <w:num w:numId="112">
    <w:abstractNumId w:val="6"/>
  </w:num>
  <w:num w:numId="113">
    <w:abstractNumId w:val="97"/>
  </w:num>
  <w:num w:numId="114">
    <w:abstractNumId w:val="104"/>
  </w:num>
  <w:num w:numId="115">
    <w:abstractNumId w:val="12"/>
  </w:num>
  <w:num w:numId="116">
    <w:abstractNumId w:val="22"/>
  </w:num>
  <w:num w:numId="117">
    <w:abstractNumId w:val="39"/>
  </w:num>
  <w:num w:numId="118">
    <w:abstractNumId w:val="40"/>
  </w:num>
  <w:num w:numId="119">
    <w:abstractNumId w:val="98"/>
  </w:num>
  <w:num w:numId="1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mirrorMargins w:val="1"/>
  <w:bordersDoNotSurroundHeader w:val="0"/>
  <w:bordersDoNotSurroundFooter w:val="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enforcement="0"/>
  <w:defaultTabStop w:val="210"/>
  <w:evenAndOddHeaders w:val="1"/>
  <w:drawingGridHorizontalSpacing w:val="210"/>
  <w:drawingGridVerticalSpacing w:val="1"/>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yZWQ5ZGVhNThkNDZlZWM0M2E5ODM5MTg5NzQ0ZWEifQ=="/>
  </w:docVars>
  <w:rsids>
    <w:rsidRoot w:val="6758338F"/>
    <w:rsid w:val="00001454"/>
    <w:rsid w:val="00006548"/>
    <w:rsid w:val="00015998"/>
    <w:rsid w:val="00016DC5"/>
    <w:rsid w:val="00027BD3"/>
    <w:rsid w:val="0003621C"/>
    <w:rsid w:val="00036B39"/>
    <w:rsid w:val="00040BBF"/>
    <w:rsid w:val="00053FB5"/>
    <w:rsid w:val="000612C9"/>
    <w:rsid w:val="00075DD9"/>
    <w:rsid w:val="00084B25"/>
    <w:rsid w:val="00096449"/>
    <w:rsid w:val="0009648F"/>
    <w:rsid w:val="000A2491"/>
    <w:rsid w:val="000A568D"/>
    <w:rsid w:val="000A6E5F"/>
    <w:rsid w:val="000C21DC"/>
    <w:rsid w:val="000C2EFF"/>
    <w:rsid w:val="000D3C87"/>
    <w:rsid w:val="000D3F74"/>
    <w:rsid w:val="000E1A47"/>
    <w:rsid w:val="000E2B29"/>
    <w:rsid w:val="000E7B1D"/>
    <w:rsid w:val="000F0F4A"/>
    <w:rsid w:val="000F7018"/>
    <w:rsid w:val="00110142"/>
    <w:rsid w:val="00110D29"/>
    <w:rsid w:val="00112CFF"/>
    <w:rsid w:val="001138F2"/>
    <w:rsid w:val="00123BF9"/>
    <w:rsid w:val="001260F7"/>
    <w:rsid w:val="00127602"/>
    <w:rsid w:val="00144633"/>
    <w:rsid w:val="001517CF"/>
    <w:rsid w:val="00164C6D"/>
    <w:rsid w:val="00170B1F"/>
    <w:rsid w:val="00172236"/>
    <w:rsid w:val="0017294E"/>
    <w:rsid w:val="001748CC"/>
    <w:rsid w:val="00175AFE"/>
    <w:rsid w:val="0017737E"/>
    <w:rsid w:val="00182246"/>
    <w:rsid w:val="001830DE"/>
    <w:rsid w:val="00196705"/>
    <w:rsid w:val="001A4EAF"/>
    <w:rsid w:val="001A5BF9"/>
    <w:rsid w:val="001C2054"/>
    <w:rsid w:val="001D5AA4"/>
    <w:rsid w:val="001D71BA"/>
    <w:rsid w:val="001D71F2"/>
    <w:rsid w:val="001E413F"/>
    <w:rsid w:val="001F0E09"/>
    <w:rsid w:val="001F140D"/>
    <w:rsid w:val="001F1F15"/>
    <w:rsid w:val="001F2EB1"/>
    <w:rsid w:val="001F4CBC"/>
    <w:rsid w:val="001F67A1"/>
    <w:rsid w:val="001F7BD7"/>
    <w:rsid w:val="00204E53"/>
    <w:rsid w:val="0020546F"/>
    <w:rsid w:val="002278EE"/>
    <w:rsid w:val="00227E52"/>
    <w:rsid w:val="00235CB0"/>
    <w:rsid w:val="002402BA"/>
    <w:rsid w:val="00247E6D"/>
    <w:rsid w:val="00267674"/>
    <w:rsid w:val="002713D7"/>
    <w:rsid w:val="00274485"/>
    <w:rsid w:val="00282FBE"/>
    <w:rsid w:val="002917C0"/>
    <w:rsid w:val="002A0E4B"/>
    <w:rsid w:val="002A3BE2"/>
    <w:rsid w:val="002A5935"/>
    <w:rsid w:val="002A6B18"/>
    <w:rsid w:val="002B060C"/>
    <w:rsid w:val="002B782D"/>
    <w:rsid w:val="002C225A"/>
    <w:rsid w:val="002C6C4A"/>
    <w:rsid w:val="002C7DC9"/>
    <w:rsid w:val="002E005B"/>
    <w:rsid w:val="002E472B"/>
    <w:rsid w:val="002E5177"/>
    <w:rsid w:val="00303CA5"/>
    <w:rsid w:val="00324802"/>
    <w:rsid w:val="00347252"/>
    <w:rsid w:val="00363A1B"/>
    <w:rsid w:val="00366B99"/>
    <w:rsid w:val="0038780E"/>
    <w:rsid w:val="003946EF"/>
    <w:rsid w:val="00397925"/>
    <w:rsid w:val="003A4F7B"/>
    <w:rsid w:val="003B65E2"/>
    <w:rsid w:val="003C5C82"/>
    <w:rsid w:val="003C632F"/>
    <w:rsid w:val="003E1C28"/>
    <w:rsid w:val="003E42D0"/>
    <w:rsid w:val="003E49F2"/>
    <w:rsid w:val="003E7CE2"/>
    <w:rsid w:val="003F2DA8"/>
    <w:rsid w:val="003F764E"/>
    <w:rsid w:val="00406CC1"/>
    <w:rsid w:val="0041207A"/>
    <w:rsid w:val="00421BD9"/>
    <w:rsid w:val="00424F73"/>
    <w:rsid w:val="0043219B"/>
    <w:rsid w:val="00436ECC"/>
    <w:rsid w:val="0044120F"/>
    <w:rsid w:val="004414E6"/>
    <w:rsid w:val="004619AC"/>
    <w:rsid w:val="00461C2C"/>
    <w:rsid w:val="00463A10"/>
    <w:rsid w:val="00463C9F"/>
    <w:rsid w:val="00467339"/>
    <w:rsid w:val="00475EA1"/>
    <w:rsid w:val="004826C9"/>
    <w:rsid w:val="004844D6"/>
    <w:rsid w:val="0048668C"/>
    <w:rsid w:val="00490088"/>
    <w:rsid w:val="004A22EE"/>
    <w:rsid w:val="004A3243"/>
    <w:rsid w:val="004A7D1A"/>
    <w:rsid w:val="004B2B82"/>
    <w:rsid w:val="004C21AF"/>
    <w:rsid w:val="004C5186"/>
    <w:rsid w:val="004D4614"/>
    <w:rsid w:val="004D65E7"/>
    <w:rsid w:val="004E4330"/>
    <w:rsid w:val="004E5A10"/>
    <w:rsid w:val="004F6636"/>
    <w:rsid w:val="004F73DA"/>
    <w:rsid w:val="0050545B"/>
    <w:rsid w:val="0051220C"/>
    <w:rsid w:val="005134E3"/>
    <w:rsid w:val="00515AC9"/>
    <w:rsid w:val="005175BF"/>
    <w:rsid w:val="00520DEA"/>
    <w:rsid w:val="00521E61"/>
    <w:rsid w:val="005272AE"/>
    <w:rsid w:val="005322CC"/>
    <w:rsid w:val="0053303D"/>
    <w:rsid w:val="00534368"/>
    <w:rsid w:val="00534928"/>
    <w:rsid w:val="00564A4B"/>
    <w:rsid w:val="00573966"/>
    <w:rsid w:val="00576AD8"/>
    <w:rsid w:val="00581592"/>
    <w:rsid w:val="00596BBE"/>
    <w:rsid w:val="005A35D5"/>
    <w:rsid w:val="005A406C"/>
    <w:rsid w:val="005B6518"/>
    <w:rsid w:val="005C7D83"/>
    <w:rsid w:val="005E7AA0"/>
    <w:rsid w:val="005F3ACC"/>
    <w:rsid w:val="00601445"/>
    <w:rsid w:val="0060591E"/>
    <w:rsid w:val="0061695B"/>
    <w:rsid w:val="006230F2"/>
    <w:rsid w:val="006413A7"/>
    <w:rsid w:val="00647B4E"/>
    <w:rsid w:val="0065094C"/>
    <w:rsid w:val="0066029D"/>
    <w:rsid w:val="00662D3B"/>
    <w:rsid w:val="00681844"/>
    <w:rsid w:val="00683507"/>
    <w:rsid w:val="0068429B"/>
    <w:rsid w:val="006910D9"/>
    <w:rsid w:val="00694041"/>
    <w:rsid w:val="006A01D7"/>
    <w:rsid w:val="006A0C9B"/>
    <w:rsid w:val="006B316D"/>
    <w:rsid w:val="006B62BB"/>
    <w:rsid w:val="006B643E"/>
    <w:rsid w:val="006C1DAA"/>
    <w:rsid w:val="006C4CA6"/>
    <w:rsid w:val="006D5C63"/>
    <w:rsid w:val="006D6D2B"/>
    <w:rsid w:val="006F1FF9"/>
    <w:rsid w:val="006F6784"/>
    <w:rsid w:val="00705EE6"/>
    <w:rsid w:val="007064A5"/>
    <w:rsid w:val="00743CC7"/>
    <w:rsid w:val="0074732A"/>
    <w:rsid w:val="007625EE"/>
    <w:rsid w:val="00767B2F"/>
    <w:rsid w:val="0077116C"/>
    <w:rsid w:val="00773A5E"/>
    <w:rsid w:val="00776408"/>
    <w:rsid w:val="0078233D"/>
    <w:rsid w:val="007832B1"/>
    <w:rsid w:val="0079637C"/>
    <w:rsid w:val="007A42F4"/>
    <w:rsid w:val="007C0685"/>
    <w:rsid w:val="007D007D"/>
    <w:rsid w:val="007D2FAA"/>
    <w:rsid w:val="007D727D"/>
    <w:rsid w:val="007E0206"/>
    <w:rsid w:val="007E3F4F"/>
    <w:rsid w:val="007F33F9"/>
    <w:rsid w:val="007F3BD7"/>
    <w:rsid w:val="007F69B9"/>
    <w:rsid w:val="00811C33"/>
    <w:rsid w:val="00823CF4"/>
    <w:rsid w:val="008337B2"/>
    <w:rsid w:val="00837E7C"/>
    <w:rsid w:val="00843CAF"/>
    <w:rsid w:val="008470AB"/>
    <w:rsid w:val="00852FD6"/>
    <w:rsid w:val="00853A0C"/>
    <w:rsid w:val="00856FC0"/>
    <w:rsid w:val="0085746E"/>
    <w:rsid w:val="0086159D"/>
    <w:rsid w:val="00863D8F"/>
    <w:rsid w:val="008653E3"/>
    <w:rsid w:val="0086798F"/>
    <w:rsid w:val="008708FD"/>
    <w:rsid w:val="00870B7C"/>
    <w:rsid w:val="00870DD4"/>
    <w:rsid w:val="00872A59"/>
    <w:rsid w:val="00873397"/>
    <w:rsid w:val="008752E7"/>
    <w:rsid w:val="00885BB0"/>
    <w:rsid w:val="00894333"/>
    <w:rsid w:val="008C5347"/>
    <w:rsid w:val="008D2560"/>
    <w:rsid w:val="008D383F"/>
    <w:rsid w:val="008D59E9"/>
    <w:rsid w:val="008D68E7"/>
    <w:rsid w:val="008D7EE4"/>
    <w:rsid w:val="008E1AE0"/>
    <w:rsid w:val="008E351F"/>
    <w:rsid w:val="00901DA3"/>
    <w:rsid w:val="00902E3E"/>
    <w:rsid w:val="00924C7F"/>
    <w:rsid w:val="00930A6F"/>
    <w:rsid w:val="00944AFE"/>
    <w:rsid w:val="009535DF"/>
    <w:rsid w:val="0095659D"/>
    <w:rsid w:val="009676B1"/>
    <w:rsid w:val="009721AF"/>
    <w:rsid w:val="0097455E"/>
    <w:rsid w:val="00981DEF"/>
    <w:rsid w:val="00987F63"/>
    <w:rsid w:val="009B5A21"/>
    <w:rsid w:val="009C0704"/>
    <w:rsid w:val="009D19E4"/>
    <w:rsid w:val="009E0359"/>
    <w:rsid w:val="009E1EB2"/>
    <w:rsid w:val="009E5B5B"/>
    <w:rsid w:val="009F3F4E"/>
    <w:rsid w:val="009F7CDF"/>
    <w:rsid w:val="00A110E4"/>
    <w:rsid w:val="00A17E3E"/>
    <w:rsid w:val="00A329C9"/>
    <w:rsid w:val="00A342E2"/>
    <w:rsid w:val="00A40CF5"/>
    <w:rsid w:val="00A470A7"/>
    <w:rsid w:val="00A473CC"/>
    <w:rsid w:val="00A51419"/>
    <w:rsid w:val="00A52B96"/>
    <w:rsid w:val="00A72085"/>
    <w:rsid w:val="00A75C7E"/>
    <w:rsid w:val="00A772E3"/>
    <w:rsid w:val="00A832D8"/>
    <w:rsid w:val="00A87239"/>
    <w:rsid w:val="00A944EF"/>
    <w:rsid w:val="00A94542"/>
    <w:rsid w:val="00AA2452"/>
    <w:rsid w:val="00AA4BDA"/>
    <w:rsid w:val="00AB0F55"/>
    <w:rsid w:val="00AC06BB"/>
    <w:rsid w:val="00AC3ACC"/>
    <w:rsid w:val="00AC7D7E"/>
    <w:rsid w:val="00AD1BB8"/>
    <w:rsid w:val="00AD4220"/>
    <w:rsid w:val="00AE2987"/>
    <w:rsid w:val="00AF2DD6"/>
    <w:rsid w:val="00AF7A69"/>
    <w:rsid w:val="00B01D8B"/>
    <w:rsid w:val="00B0338D"/>
    <w:rsid w:val="00B04152"/>
    <w:rsid w:val="00B13E76"/>
    <w:rsid w:val="00B20C66"/>
    <w:rsid w:val="00B23075"/>
    <w:rsid w:val="00B454CA"/>
    <w:rsid w:val="00B50B7E"/>
    <w:rsid w:val="00B55871"/>
    <w:rsid w:val="00B565EB"/>
    <w:rsid w:val="00B614B1"/>
    <w:rsid w:val="00B628B6"/>
    <w:rsid w:val="00B71E1F"/>
    <w:rsid w:val="00B74D02"/>
    <w:rsid w:val="00B81EA9"/>
    <w:rsid w:val="00B90B6E"/>
    <w:rsid w:val="00B92B03"/>
    <w:rsid w:val="00BB04C4"/>
    <w:rsid w:val="00BB104E"/>
    <w:rsid w:val="00BC0131"/>
    <w:rsid w:val="00BC6C4C"/>
    <w:rsid w:val="00BD2D14"/>
    <w:rsid w:val="00BD74A8"/>
    <w:rsid w:val="00BE027D"/>
    <w:rsid w:val="00BF3DB8"/>
    <w:rsid w:val="00BF533F"/>
    <w:rsid w:val="00C22264"/>
    <w:rsid w:val="00C231D9"/>
    <w:rsid w:val="00C26FF1"/>
    <w:rsid w:val="00C27A1E"/>
    <w:rsid w:val="00C30C3E"/>
    <w:rsid w:val="00C32711"/>
    <w:rsid w:val="00C361CB"/>
    <w:rsid w:val="00C7294C"/>
    <w:rsid w:val="00C7721B"/>
    <w:rsid w:val="00C80B64"/>
    <w:rsid w:val="00C825D9"/>
    <w:rsid w:val="00C8632F"/>
    <w:rsid w:val="00C9016B"/>
    <w:rsid w:val="00C972AD"/>
    <w:rsid w:val="00C979C4"/>
    <w:rsid w:val="00CA1496"/>
    <w:rsid w:val="00CA22B1"/>
    <w:rsid w:val="00CA612B"/>
    <w:rsid w:val="00CA7349"/>
    <w:rsid w:val="00CC19EC"/>
    <w:rsid w:val="00CD02B3"/>
    <w:rsid w:val="00CE0378"/>
    <w:rsid w:val="00CE2107"/>
    <w:rsid w:val="00CE61C7"/>
    <w:rsid w:val="00D01F35"/>
    <w:rsid w:val="00D02A60"/>
    <w:rsid w:val="00D10F52"/>
    <w:rsid w:val="00D21915"/>
    <w:rsid w:val="00D21AAD"/>
    <w:rsid w:val="00D26279"/>
    <w:rsid w:val="00D27D31"/>
    <w:rsid w:val="00D32102"/>
    <w:rsid w:val="00D679FB"/>
    <w:rsid w:val="00D67EE4"/>
    <w:rsid w:val="00D77F72"/>
    <w:rsid w:val="00D82CB6"/>
    <w:rsid w:val="00D95C6A"/>
    <w:rsid w:val="00DA5A2A"/>
    <w:rsid w:val="00DB2B27"/>
    <w:rsid w:val="00DB4AFD"/>
    <w:rsid w:val="00DC300E"/>
    <w:rsid w:val="00DC3C39"/>
    <w:rsid w:val="00DC4344"/>
    <w:rsid w:val="00DC5920"/>
    <w:rsid w:val="00DD172E"/>
    <w:rsid w:val="00DD5AE1"/>
    <w:rsid w:val="00DD6C73"/>
    <w:rsid w:val="00DE6C5C"/>
    <w:rsid w:val="00DE79D1"/>
    <w:rsid w:val="00DF6572"/>
    <w:rsid w:val="00DF726A"/>
    <w:rsid w:val="00E04948"/>
    <w:rsid w:val="00E12E32"/>
    <w:rsid w:val="00E245C7"/>
    <w:rsid w:val="00E307EE"/>
    <w:rsid w:val="00E30917"/>
    <w:rsid w:val="00E33A22"/>
    <w:rsid w:val="00E34285"/>
    <w:rsid w:val="00E376DF"/>
    <w:rsid w:val="00E37A35"/>
    <w:rsid w:val="00E41EDD"/>
    <w:rsid w:val="00E533E9"/>
    <w:rsid w:val="00E638E4"/>
    <w:rsid w:val="00E70A28"/>
    <w:rsid w:val="00E7280A"/>
    <w:rsid w:val="00E73319"/>
    <w:rsid w:val="00E83142"/>
    <w:rsid w:val="00E8541F"/>
    <w:rsid w:val="00E865C2"/>
    <w:rsid w:val="00E87A23"/>
    <w:rsid w:val="00E9209B"/>
    <w:rsid w:val="00E96E93"/>
    <w:rsid w:val="00EA0058"/>
    <w:rsid w:val="00ED7098"/>
    <w:rsid w:val="00EE4858"/>
    <w:rsid w:val="00F15888"/>
    <w:rsid w:val="00F174DE"/>
    <w:rsid w:val="00F252F0"/>
    <w:rsid w:val="00F25CA4"/>
    <w:rsid w:val="00F35E6C"/>
    <w:rsid w:val="00F46F99"/>
    <w:rsid w:val="00F66499"/>
    <w:rsid w:val="00F732E9"/>
    <w:rsid w:val="00F73EF2"/>
    <w:rsid w:val="00F8041E"/>
    <w:rsid w:val="00F80F23"/>
    <w:rsid w:val="00F830AE"/>
    <w:rsid w:val="00F847F1"/>
    <w:rsid w:val="00F93D32"/>
    <w:rsid w:val="00F94E63"/>
    <w:rsid w:val="00F95062"/>
    <w:rsid w:val="00F96F34"/>
    <w:rsid w:val="01161287"/>
    <w:rsid w:val="011A3AB7"/>
    <w:rsid w:val="01242D5B"/>
    <w:rsid w:val="013E446F"/>
    <w:rsid w:val="0155788E"/>
    <w:rsid w:val="01725A1C"/>
    <w:rsid w:val="017659F6"/>
    <w:rsid w:val="017C0734"/>
    <w:rsid w:val="01802811"/>
    <w:rsid w:val="019B0502"/>
    <w:rsid w:val="01A95CCD"/>
    <w:rsid w:val="01D31953"/>
    <w:rsid w:val="01E26753"/>
    <w:rsid w:val="02397CB2"/>
    <w:rsid w:val="02525D63"/>
    <w:rsid w:val="0252665D"/>
    <w:rsid w:val="02564898"/>
    <w:rsid w:val="02625B81"/>
    <w:rsid w:val="02785B67"/>
    <w:rsid w:val="027E2388"/>
    <w:rsid w:val="02957022"/>
    <w:rsid w:val="02A5104D"/>
    <w:rsid w:val="02AE55E9"/>
    <w:rsid w:val="02D2541D"/>
    <w:rsid w:val="02F32963"/>
    <w:rsid w:val="03037728"/>
    <w:rsid w:val="03427659"/>
    <w:rsid w:val="0361265C"/>
    <w:rsid w:val="03624BAE"/>
    <w:rsid w:val="037441B6"/>
    <w:rsid w:val="03750CA5"/>
    <w:rsid w:val="037A35D1"/>
    <w:rsid w:val="03A03ED9"/>
    <w:rsid w:val="03CD06C4"/>
    <w:rsid w:val="040E6040"/>
    <w:rsid w:val="04132513"/>
    <w:rsid w:val="046441B2"/>
    <w:rsid w:val="046D43CA"/>
    <w:rsid w:val="04874232"/>
    <w:rsid w:val="04962E25"/>
    <w:rsid w:val="04976897"/>
    <w:rsid w:val="04A02DA3"/>
    <w:rsid w:val="04AF204E"/>
    <w:rsid w:val="04B24EC3"/>
    <w:rsid w:val="04C133B2"/>
    <w:rsid w:val="04C370E6"/>
    <w:rsid w:val="04D356AB"/>
    <w:rsid w:val="04F1766E"/>
    <w:rsid w:val="04F773F0"/>
    <w:rsid w:val="0507547B"/>
    <w:rsid w:val="05110126"/>
    <w:rsid w:val="0531418B"/>
    <w:rsid w:val="05356095"/>
    <w:rsid w:val="05391320"/>
    <w:rsid w:val="05724CAA"/>
    <w:rsid w:val="058A4BA6"/>
    <w:rsid w:val="059E59F4"/>
    <w:rsid w:val="05D01572"/>
    <w:rsid w:val="05D20C9A"/>
    <w:rsid w:val="061278AA"/>
    <w:rsid w:val="064347B4"/>
    <w:rsid w:val="06445632"/>
    <w:rsid w:val="06583D6F"/>
    <w:rsid w:val="06782196"/>
    <w:rsid w:val="06AE01C1"/>
    <w:rsid w:val="06B14B44"/>
    <w:rsid w:val="06BC4F18"/>
    <w:rsid w:val="06CC2408"/>
    <w:rsid w:val="06E0676A"/>
    <w:rsid w:val="06FA18DE"/>
    <w:rsid w:val="06FB0A8B"/>
    <w:rsid w:val="07020F0F"/>
    <w:rsid w:val="07170676"/>
    <w:rsid w:val="07355775"/>
    <w:rsid w:val="074A2072"/>
    <w:rsid w:val="075C7020"/>
    <w:rsid w:val="075F2E5B"/>
    <w:rsid w:val="07601EFB"/>
    <w:rsid w:val="078058B0"/>
    <w:rsid w:val="07961EC7"/>
    <w:rsid w:val="079647D7"/>
    <w:rsid w:val="07A91568"/>
    <w:rsid w:val="07AF3996"/>
    <w:rsid w:val="07BF770B"/>
    <w:rsid w:val="07E00C94"/>
    <w:rsid w:val="07E301FD"/>
    <w:rsid w:val="07E402F0"/>
    <w:rsid w:val="07EA5598"/>
    <w:rsid w:val="07F77003"/>
    <w:rsid w:val="07FB36BC"/>
    <w:rsid w:val="07FE588D"/>
    <w:rsid w:val="08053498"/>
    <w:rsid w:val="085F10A3"/>
    <w:rsid w:val="086B25B4"/>
    <w:rsid w:val="0878022B"/>
    <w:rsid w:val="08897A92"/>
    <w:rsid w:val="088E7A2C"/>
    <w:rsid w:val="08973524"/>
    <w:rsid w:val="08A032B3"/>
    <w:rsid w:val="08A4283A"/>
    <w:rsid w:val="08AF22AA"/>
    <w:rsid w:val="08B1198F"/>
    <w:rsid w:val="08E04C1D"/>
    <w:rsid w:val="08F12939"/>
    <w:rsid w:val="08F224E9"/>
    <w:rsid w:val="09224483"/>
    <w:rsid w:val="09231497"/>
    <w:rsid w:val="093279E3"/>
    <w:rsid w:val="094427D6"/>
    <w:rsid w:val="09644DDC"/>
    <w:rsid w:val="097035F9"/>
    <w:rsid w:val="09A21211"/>
    <w:rsid w:val="09CC4AB3"/>
    <w:rsid w:val="09D22D06"/>
    <w:rsid w:val="09D64612"/>
    <w:rsid w:val="09DE12BD"/>
    <w:rsid w:val="09DE540C"/>
    <w:rsid w:val="0A21302B"/>
    <w:rsid w:val="0A26573A"/>
    <w:rsid w:val="0A2F2420"/>
    <w:rsid w:val="0A3274E6"/>
    <w:rsid w:val="0A351004"/>
    <w:rsid w:val="0A442962"/>
    <w:rsid w:val="0A714DAF"/>
    <w:rsid w:val="0A89754A"/>
    <w:rsid w:val="0A976C48"/>
    <w:rsid w:val="0AAF33E7"/>
    <w:rsid w:val="0B046FC5"/>
    <w:rsid w:val="0B074CA6"/>
    <w:rsid w:val="0B2E7611"/>
    <w:rsid w:val="0B344A2E"/>
    <w:rsid w:val="0B3D539E"/>
    <w:rsid w:val="0B3F14D4"/>
    <w:rsid w:val="0B41349E"/>
    <w:rsid w:val="0B5A78B0"/>
    <w:rsid w:val="0BB2614A"/>
    <w:rsid w:val="0BE1258C"/>
    <w:rsid w:val="0BEC7B62"/>
    <w:rsid w:val="0C2912A4"/>
    <w:rsid w:val="0C350410"/>
    <w:rsid w:val="0C5651C9"/>
    <w:rsid w:val="0C590374"/>
    <w:rsid w:val="0CB4492C"/>
    <w:rsid w:val="0CB60FE5"/>
    <w:rsid w:val="0CBA2457"/>
    <w:rsid w:val="0CFF0957"/>
    <w:rsid w:val="0D04389B"/>
    <w:rsid w:val="0D3C7979"/>
    <w:rsid w:val="0D5706D2"/>
    <w:rsid w:val="0D5F5604"/>
    <w:rsid w:val="0D7359A1"/>
    <w:rsid w:val="0D9F44AC"/>
    <w:rsid w:val="0DA100B1"/>
    <w:rsid w:val="0DA42216"/>
    <w:rsid w:val="0DAB2194"/>
    <w:rsid w:val="0DCA2B2C"/>
    <w:rsid w:val="0DE61BDB"/>
    <w:rsid w:val="0DF80327"/>
    <w:rsid w:val="0E0E4C11"/>
    <w:rsid w:val="0E596DE1"/>
    <w:rsid w:val="0E6B26B6"/>
    <w:rsid w:val="0E7C61D3"/>
    <w:rsid w:val="0EF21695"/>
    <w:rsid w:val="0EFE3455"/>
    <w:rsid w:val="0F396921"/>
    <w:rsid w:val="0F4470B9"/>
    <w:rsid w:val="0F753717"/>
    <w:rsid w:val="0F8120BC"/>
    <w:rsid w:val="0F8B6720"/>
    <w:rsid w:val="0FA26895"/>
    <w:rsid w:val="0FC634FA"/>
    <w:rsid w:val="0FDB17DF"/>
    <w:rsid w:val="0FDC3811"/>
    <w:rsid w:val="0FDE08B1"/>
    <w:rsid w:val="0FF04275"/>
    <w:rsid w:val="105030B7"/>
    <w:rsid w:val="10754165"/>
    <w:rsid w:val="107D165A"/>
    <w:rsid w:val="108057EC"/>
    <w:rsid w:val="10877E36"/>
    <w:rsid w:val="10882CFA"/>
    <w:rsid w:val="109B0D3B"/>
    <w:rsid w:val="109B71AD"/>
    <w:rsid w:val="10CC3256"/>
    <w:rsid w:val="10CD22DD"/>
    <w:rsid w:val="10D044E0"/>
    <w:rsid w:val="10FD39C4"/>
    <w:rsid w:val="110F5701"/>
    <w:rsid w:val="112872C4"/>
    <w:rsid w:val="11317FDE"/>
    <w:rsid w:val="113D59D7"/>
    <w:rsid w:val="11603BBD"/>
    <w:rsid w:val="116B5C9A"/>
    <w:rsid w:val="11730CE2"/>
    <w:rsid w:val="11783121"/>
    <w:rsid w:val="11867ED9"/>
    <w:rsid w:val="11B95839"/>
    <w:rsid w:val="11C366BB"/>
    <w:rsid w:val="11E85E6F"/>
    <w:rsid w:val="11F84E40"/>
    <w:rsid w:val="120A0DCC"/>
    <w:rsid w:val="121E15A5"/>
    <w:rsid w:val="12450788"/>
    <w:rsid w:val="124D61BB"/>
    <w:rsid w:val="126A7E60"/>
    <w:rsid w:val="12893CAA"/>
    <w:rsid w:val="12A4702C"/>
    <w:rsid w:val="12CB59F2"/>
    <w:rsid w:val="12DC1631"/>
    <w:rsid w:val="12EC7BBD"/>
    <w:rsid w:val="12ED310D"/>
    <w:rsid w:val="12F232D0"/>
    <w:rsid w:val="136061FA"/>
    <w:rsid w:val="137837D5"/>
    <w:rsid w:val="139021F1"/>
    <w:rsid w:val="13BF1404"/>
    <w:rsid w:val="13C670DC"/>
    <w:rsid w:val="13CE4A0B"/>
    <w:rsid w:val="13DC746C"/>
    <w:rsid w:val="140603E8"/>
    <w:rsid w:val="140908D1"/>
    <w:rsid w:val="141C0A56"/>
    <w:rsid w:val="14265B9D"/>
    <w:rsid w:val="14471BD7"/>
    <w:rsid w:val="146E29F7"/>
    <w:rsid w:val="14786549"/>
    <w:rsid w:val="147A5232"/>
    <w:rsid w:val="1492673A"/>
    <w:rsid w:val="149D4140"/>
    <w:rsid w:val="14A511EB"/>
    <w:rsid w:val="14A8410E"/>
    <w:rsid w:val="14C7571B"/>
    <w:rsid w:val="14E248D3"/>
    <w:rsid w:val="15220583"/>
    <w:rsid w:val="152A6CEA"/>
    <w:rsid w:val="154F3AA4"/>
    <w:rsid w:val="155105CE"/>
    <w:rsid w:val="156F6960"/>
    <w:rsid w:val="1573093F"/>
    <w:rsid w:val="15A52CCB"/>
    <w:rsid w:val="15C93570"/>
    <w:rsid w:val="15EF54E5"/>
    <w:rsid w:val="15FC59B7"/>
    <w:rsid w:val="15FC70B7"/>
    <w:rsid w:val="16086AAD"/>
    <w:rsid w:val="164E5D99"/>
    <w:rsid w:val="165F335C"/>
    <w:rsid w:val="1668747B"/>
    <w:rsid w:val="168A60B6"/>
    <w:rsid w:val="168B1A72"/>
    <w:rsid w:val="16915513"/>
    <w:rsid w:val="16AB67ED"/>
    <w:rsid w:val="16AC5892"/>
    <w:rsid w:val="16CF61E0"/>
    <w:rsid w:val="171272EC"/>
    <w:rsid w:val="1732001A"/>
    <w:rsid w:val="176D5B83"/>
    <w:rsid w:val="17892E7C"/>
    <w:rsid w:val="17D8582B"/>
    <w:rsid w:val="17DE0409"/>
    <w:rsid w:val="180A6434"/>
    <w:rsid w:val="182C52B5"/>
    <w:rsid w:val="183B33B7"/>
    <w:rsid w:val="18427D3C"/>
    <w:rsid w:val="18440C87"/>
    <w:rsid w:val="18483E85"/>
    <w:rsid w:val="187B17D4"/>
    <w:rsid w:val="18A10AF7"/>
    <w:rsid w:val="18A34D7F"/>
    <w:rsid w:val="18B40583"/>
    <w:rsid w:val="18C469B5"/>
    <w:rsid w:val="18C53463"/>
    <w:rsid w:val="18DB42DA"/>
    <w:rsid w:val="18EF015D"/>
    <w:rsid w:val="190A5FE7"/>
    <w:rsid w:val="190B2845"/>
    <w:rsid w:val="190E1A4B"/>
    <w:rsid w:val="193F08D6"/>
    <w:rsid w:val="19436CC0"/>
    <w:rsid w:val="194D42C7"/>
    <w:rsid w:val="19721279"/>
    <w:rsid w:val="197B06AD"/>
    <w:rsid w:val="199E48D7"/>
    <w:rsid w:val="199F234F"/>
    <w:rsid w:val="19B72B7E"/>
    <w:rsid w:val="19B906A4"/>
    <w:rsid w:val="19C229CB"/>
    <w:rsid w:val="19D246EC"/>
    <w:rsid w:val="1A0745E0"/>
    <w:rsid w:val="1A1C48B8"/>
    <w:rsid w:val="1A2325B2"/>
    <w:rsid w:val="1A480257"/>
    <w:rsid w:val="1A4E2678"/>
    <w:rsid w:val="1A4E478E"/>
    <w:rsid w:val="1A5B5BFF"/>
    <w:rsid w:val="1A5E4A5D"/>
    <w:rsid w:val="1A5F6B94"/>
    <w:rsid w:val="1A6900E2"/>
    <w:rsid w:val="1A861C11"/>
    <w:rsid w:val="1A8A26CE"/>
    <w:rsid w:val="1AA524C6"/>
    <w:rsid w:val="1ACE6D21"/>
    <w:rsid w:val="1AD1680D"/>
    <w:rsid w:val="1AD66D5B"/>
    <w:rsid w:val="1AE723CD"/>
    <w:rsid w:val="1B18656A"/>
    <w:rsid w:val="1B2E4976"/>
    <w:rsid w:val="1B370771"/>
    <w:rsid w:val="1B6F6204"/>
    <w:rsid w:val="1B8874BB"/>
    <w:rsid w:val="1B957E36"/>
    <w:rsid w:val="1BC93059"/>
    <w:rsid w:val="1BF715B0"/>
    <w:rsid w:val="1C10420C"/>
    <w:rsid w:val="1C105F71"/>
    <w:rsid w:val="1C17708C"/>
    <w:rsid w:val="1C197883"/>
    <w:rsid w:val="1C250273"/>
    <w:rsid w:val="1C33298F"/>
    <w:rsid w:val="1C3E28B4"/>
    <w:rsid w:val="1C4439DA"/>
    <w:rsid w:val="1C530F07"/>
    <w:rsid w:val="1C6963B1"/>
    <w:rsid w:val="1C7F3E27"/>
    <w:rsid w:val="1C870A00"/>
    <w:rsid w:val="1C960761"/>
    <w:rsid w:val="1C9916EE"/>
    <w:rsid w:val="1CAA6F03"/>
    <w:rsid w:val="1CB97B2A"/>
    <w:rsid w:val="1CD81161"/>
    <w:rsid w:val="1CE52155"/>
    <w:rsid w:val="1CF858A1"/>
    <w:rsid w:val="1D43088F"/>
    <w:rsid w:val="1D5301BF"/>
    <w:rsid w:val="1D811912"/>
    <w:rsid w:val="1DD520AF"/>
    <w:rsid w:val="1DE60700"/>
    <w:rsid w:val="1DEB1048"/>
    <w:rsid w:val="1DFD6BB5"/>
    <w:rsid w:val="1DFD6F00"/>
    <w:rsid w:val="1E183420"/>
    <w:rsid w:val="1E2C36B3"/>
    <w:rsid w:val="1E3845A0"/>
    <w:rsid w:val="1E3C2833"/>
    <w:rsid w:val="1E4845F7"/>
    <w:rsid w:val="1E5F669E"/>
    <w:rsid w:val="1E6D284C"/>
    <w:rsid w:val="1E6E3933"/>
    <w:rsid w:val="1E761CFC"/>
    <w:rsid w:val="1E85324A"/>
    <w:rsid w:val="1E91335D"/>
    <w:rsid w:val="1EB028FC"/>
    <w:rsid w:val="1EB41C8C"/>
    <w:rsid w:val="1EB71394"/>
    <w:rsid w:val="1ECF66DB"/>
    <w:rsid w:val="1ED71173"/>
    <w:rsid w:val="1EF614DB"/>
    <w:rsid w:val="1F01221E"/>
    <w:rsid w:val="1F0F1412"/>
    <w:rsid w:val="1F107FF0"/>
    <w:rsid w:val="1F114ADE"/>
    <w:rsid w:val="1F3009BF"/>
    <w:rsid w:val="1F412E7E"/>
    <w:rsid w:val="1FA433AF"/>
    <w:rsid w:val="1FA50A2A"/>
    <w:rsid w:val="1FB16CC5"/>
    <w:rsid w:val="1FF6107E"/>
    <w:rsid w:val="20027813"/>
    <w:rsid w:val="200F17DF"/>
    <w:rsid w:val="201E2BAD"/>
    <w:rsid w:val="205267E9"/>
    <w:rsid w:val="206F5F60"/>
    <w:rsid w:val="20BE3C11"/>
    <w:rsid w:val="20DF30E6"/>
    <w:rsid w:val="20F620F3"/>
    <w:rsid w:val="20F8226B"/>
    <w:rsid w:val="21160A94"/>
    <w:rsid w:val="21177A5E"/>
    <w:rsid w:val="213132A5"/>
    <w:rsid w:val="21415852"/>
    <w:rsid w:val="215F4227"/>
    <w:rsid w:val="217E5682"/>
    <w:rsid w:val="2184377E"/>
    <w:rsid w:val="218B501C"/>
    <w:rsid w:val="21BB54E6"/>
    <w:rsid w:val="21D4251F"/>
    <w:rsid w:val="21DE1584"/>
    <w:rsid w:val="21E665CD"/>
    <w:rsid w:val="21EE22ED"/>
    <w:rsid w:val="2206269E"/>
    <w:rsid w:val="220B508C"/>
    <w:rsid w:val="22317971"/>
    <w:rsid w:val="22342DAE"/>
    <w:rsid w:val="224329BB"/>
    <w:rsid w:val="224507C8"/>
    <w:rsid w:val="2253289D"/>
    <w:rsid w:val="225C3882"/>
    <w:rsid w:val="225E2886"/>
    <w:rsid w:val="227D0322"/>
    <w:rsid w:val="22803009"/>
    <w:rsid w:val="22812619"/>
    <w:rsid w:val="229009C2"/>
    <w:rsid w:val="22B25597"/>
    <w:rsid w:val="22C53695"/>
    <w:rsid w:val="22CC21EE"/>
    <w:rsid w:val="22D220E9"/>
    <w:rsid w:val="22D50BF8"/>
    <w:rsid w:val="22EB7DD7"/>
    <w:rsid w:val="22EC1D3E"/>
    <w:rsid w:val="22F073D9"/>
    <w:rsid w:val="22F67FE9"/>
    <w:rsid w:val="22FF5432"/>
    <w:rsid w:val="232254B0"/>
    <w:rsid w:val="233B2D21"/>
    <w:rsid w:val="233C68DC"/>
    <w:rsid w:val="23412D64"/>
    <w:rsid w:val="23553624"/>
    <w:rsid w:val="23892362"/>
    <w:rsid w:val="238E06D3"/>
    <w:rsid w:val="23A10B26"/>
    <w:rsid w:val="23B158F8"/>
    <w:rsid w:val="23C94488"/>
    <w:rsid w:val="23FB3FF5"/>
    <w:rsid w:val="24162CFC"/>
    <w:rsid w:val="24216F3E"/>
    <w:rsid w:val="242B03F0"/>
    <w:rsid w:val="24304ABD"/>
    <w:rsid w:val="24423C0B"/>
    <w:rsid w:val="24443282"/>
    <w:rsid w:val="244F51E5"/>
    <w:rsid w:val="24520CD7"/>
    <w:rsid w:val="24626FFE"/>
    <w:rsid w:val="2465241F"/>
    <w:rsid w:val="246D6C5B"/>
    <w:rsid w:val="247D50F0"/>
    <w:rsid w:val="24A27907"/>
    <w:rsid w:val="24AE183E"/>
    <w:rsid w:val="24B32501"/>
    <w:rsid w:val="24D56482"/>
    <w:rsid w:val="24DB58B1"/>
    <w:rsid w:val="253C79D2"/>
    <w:rsid w:val="25551BC9"/>
    <w:rsid w:val="25B11864"/>
    <w:rsid w:val="25C21091"/>
    <w:rsid w:val="25FD563F"/>
    <w:rsid w:val="263259D6"/>
    <w:rsid w:val="26326F5E"/>
    <w:rsid w:val="263B5096"/>
    <w:rsid w:val="265F21CD"/>
    <w:rsid w:val="268C70C7"/>
    <w:rsid w:val="268D3725"/>
    <w:rsid w:val="26966071"/>
    <w:rsid w:val="26DA25CB"/>
    <w:rsid w:val="26E51CDC"/>
    <w:rsid w:val="26E92045"/>
    <w:rsid w:val="26F717CC"/>
    <w:rsid w:val="26FC4125"/>
    <w:rsid w:val="270500E8"/>
    <w:rsid w:val="270B66F3"/>
    <w:rsid w:val="272D7A20"/>
    <w:rsid w:val="277C64CA"/>
    <w:rsid w:val="2786373D"/>
    <w:rsid w:val="27AD722E"/>
    <w:rsid w:val="27CC2C2D"/>
    <w:rsid w:val="27FC39A7"/>
    <w:rsid w:val="28137A3F"/>
    <w:rsid w:val="28314D1D"/>
    <w:rsid w:val="28744B7F"/>
    <w:rsid w:val="28A72C9B"/>
    <w:rsid w:val="28AC1B99"/>
    <w:rsid w:val="28E05A89"/>
    <w:rsid w:val="28E23AA2"/>
    <w:rsid w:val="2929781E"/>
    <w:rsid w:val="292C0E92"/>
    <w:rsid w:val="293432AC"/>
    <w:rsid w:val="293E3642"/>
    <w:rsid w:val="29565D3F"/>
    <w:rsid w:val="295F266B"/>
    <w:rsid w:val="29665177"/>
    <w:rsid w:val="296F5223"/>
    <w:rsid w:val="29783F4E"/>
    <w:rsid w:val="297C2418"/>
    <w:rsid w:val="297F2E19"/>
    <w:rsid w:val="29BE561A"/>
    <w:rsid w:val="29CF44B8"/>
    <w:rsid w:val="29D36FA1"/>
    <w:rsid w:val="29FC6AB7"/>
    <w:rsid w:val="2A2D4445"/>
    <w:rsid w:val="2A33379A"/>
    <w:rsid w:val="2A5C7555"/>
    <w:rsid w:val="2A673FB0"/>
    <w:rsid w:val="2A912363"/>
    <w:rsid w:val="2A9B6F89"/>
    <w:rsid w:val="2A9F2B99"/>
    <w:rsid w:val="2AA37315"/>
    <w:rsid w:val="2AAC7978"/>
    <w:rsid w:val="2ADE27AC"/>
    <w:rsid w:val="2AE258E2"/>
    <w:rsid w:val="2B0547FB"/>
    <w:rsid w:val="2B125C95"/>
    <w:rsid w:val="2B173978"/>
    <w:rsid w:val="2B2F2213"/>
    <w:rsid w:val="2B483E7F"/>
    <w:rsid w:val="2B4E15B8"/>
    <w:rsid w:val="2B6F2145"/>
    <w:rsid w:val="2B7C4E65"/>
    <w:rsid w:val="2BD95D11"/>
    <w:rsid w:val="2C1E13BF"/>
    <w:rsid w:val="2C2D55C1"/>
    <w:rsid w:val="2C2F14D4"/>
    <w:rsid w:val="2C6545B8"/>
    <w:rsid w:val="2C7D46F1"/>
    <w:rsid w:val="2C80668E"/>
    <w:rsid w:val="2C842612"/>
    <w:rsid w:val="2C992BAE"/>
    <w:rsid w:val="2CCC32C8"/>
    <w:rsid w:val="2CD755B9"/>
    <w:rsid w:val="2CEC37BF"/>
    <w:rsid w:val="2CFA0557"/>
    <w:rsid w:val="2D0855CD"/>
    <w:rsid w:val="2D2E4E36"/>
    <w:rsid w:val="2D492C4D"/>
    <w:rsid w:val="2D503AF6"/>
    <w:rsid w:val="2D591C80"/>
    <w:rsid w:val="2D813F86"/>
    <w:rsid w:val="2D92328E"/>
    <w:rsid w:val="2D9459C2"/>
    <w:rsid w:val="2DA33E52"/>
    <w:rsid w:val="2DB03068"/>
    <w:rsid w:val="2DBF71D3"/>
    <w:rsid w:val="2DC6643F"/>
    <w:rsid w:val="2DCB217C"/>
    <w:rsid w:val="2E0304B9"/>
    <w:rsid w:val="2E1D40EB"/>
    <w:rsid w:val="2E2355E6"/>
    <w:rsid w:val="2E480D41"/>
    <w:rsid w:val="2E6E018D"/>
    <w:rsid w:val="2EB2530D"/>
    <w:rsid w:val="2ED85DFF"/>
    <w:rsid w:val="2EDE4FF0"/>
    <w:rsid w:val="2EED50EE"/>
    <w:rsid w:val="2EEE1C8B"/>
    <w:rsid w:val="2F077F4C"/>
    <w:rsid w:val="2F09678C"/>
    <w:rsid w:val="2F116787"/>
    <w:rsid w:val="2F745A7C"/>
    <w:rsid w:val="2FB43F52"/>
    <w:rsid w:val="2FBA00DA"/>
    <w:rsid w:val="2FBC35DD"/>
    <w:rsid w:val="2FC4494F"/>
    <w:rsid w:val="301B1793"/>
    <w:rsid w:val="30305B1B"/>
    <w:rsid w:val="30344DA2"/>
    <w:rsid w:val="304C3BC8"/>
    <w:rsid w:val="30560E5A"/>
    <w:rsid w:val="305B7432"/>
    <w:rsid w:val="30622036"/>
    <w:rsid w:val="30727889"/>
    <w:rsid w:val="30CE282F"/>
    <w:rsid w:val="30E35132"/>
    <w:rsid w:val="31521212"/>
    <w:rsid w:val="315E73D1"/>
    <w:rsid w:val="31603C8E"/>
    <w:rsid w:val="31760D8F"/>
    <w:rsid w:val="317B7C04"/>
    <w:rsid w:val="317C31CF"/>
    <w:rsid w:val="31852721"/>
    <w:rsid w:val="318C18EA"/>
    <w:rsid w:val="319F6FF6"/>
    <w:rsid w:val="31A36909"/>
    <w:rsid w:val="31AE3DCC"/>
    <w:rsid w:val="31BB2DB3"/>
    <w:rsid w:val="31CF4AB1"/>
    <w:rsid w:val="31D420C7"/>
    <w:rsid w:val="31DD1779"/>
    <w:rsid w:val="31E067C6"/>
    <w:rsid w:val="31FB3049"/>
    <w:rsid w:val="31FE51FC"/>
    <w:rsid w:val="320D0C4D"/>
    <w:rsid w:val="321D581C"/>
    <w:rsid w:val="32382D3C"/>
    <w:rsid w:val="323B1B9E"/>
    <w:rsid w:val="325D1FA9"/>
    <w:rsid w:val="325E687C"/>
    <w:rsid w:val="326B090C"/>
    <w:rsid w:val="326C0228"/>
    <w:rsid w:val="327146EF"/>
    <w:rsid w:val="32A71CF5"/>
    <w:rsid w:val="32BE1DDD"/>
    <w:rsid w:val="32C6368B"/>
    <w:rsid w:val="32DE2382"/>
    <w:rsid w:val="32FD6ABE"/>
    <w:rsid w:val="33012ECC"/>
    <w:rsid w:val="33245ABE"/>
    <w:rsid w:val="339452CC"/>
    <w:rsid w:val="33E50435"/>
    <w:rsid w:val="33E72650"/>
    <w:rsid w:val="33FB2C5F"/>
    <w:rsid w:val="342B1448"/>
    <w:rsid w:val="343C15EE"/>
    <w:rsid w:val="34587E93"/>
    <w:rsid w:val="34640521"/>
    <w:rsid w:val="34AF1FC2"/>
    <w:rsid w:val="34AF386A"/>
    <w:rsid w:val="34C20E1D"/>
    <w:rsid w:val="34CD1AAD"/>
    <w:rsid w:val="34F33110"/>
    <w:rsid w:val="3502119F"/>
    <w:rsid w:val="351061E7"/>
    <w:rsid w:val="35205E1E"/>
    <w:rsid w:val="3522022D"/>
    <w:rsid w:val="352B4FC9"/>
    <w:rsid w:val="35441450"/>
    <w:rsid w:val="356612CC"/>
    <w:rsid w:val="359C05B4"/>
    <w:rsid w:val="359C1ED6"/>
    <w:rsid w:val="35A35690"/>
    <w:rsid w:val="35B05222"/>
    <w:rsid w:val="35D7578A"/>
    <w:rsid w:val="35D963E6"/>
    <w:rsid w:val="35DE1E1E"/>
    <w:rsid w:val="35E201D7"/>
    <w:rsid w:val="35F40F8A"/>
    <w:rsid w:val="35F9393B"/>
    <w:rsid w:val="35FE5964"/>
    <w:rsid w:val="360540F4"/>
    <w:rsid w:val="369A407F"/>
    <w:rsid w:val="36B360F5"/>
    <w:rsid w:val="36B84147"/>
    <w:rsid w:val="36D83D8B"/>
    <w:rsid w:val="373E6BF4"/>
    <w:rsid w:val="37550B07"/>
    <w:rsid w:val="377B50FC"/>
    <w:rsid w:val="3785162E"/>
    <w:rsid w:val="37B35ACA"/>
    <w:rsid w:val="37C67315"/>
    <w:rsid w:val="37D20E57"/>
    <w:rsid w:val="38133366"/>
    <w:rsid w:val="383B78AC"/>
    <w:rsid w:val="38683BCA"/>
    <w:rsid w:val="38A17066"/>
    <w:rsid w:val="38C53D16"/>
    <w:rsid w:val="390505C5"/>
    <w:rsid w:val="3907780C"/>
    <w:rsid w:val="39571ECD"/>
    <w:rsid w:val="395E44C1"/>
    <w:rsid w:val="396D7B97"/>
    <w:rsid w:val="39796EE0"/>
    <w:rsid w:val="398A6952"/>
    <w:rsid w:val="398B677C"/>
    <w:rsid w:val="39F81E81"/>
    <w:rsid w:val="3A097937"/>
    <w:rsid w:val="3A371445"/>
    <w:rsid w:val="3A405C86"/>
    <w:rsid w:val="3A4D0C68"/>
    <w:rsid w:val="3A57498B"/>
    <w:rsid w:val="3A5C5EC7"/>
    <w:rsid w:val="3A7F65DF"/>
    <w:rsid w:val="3A846E80"/>
    <w:rsid w:val="3AA072EA"/>
    <w:rsid w:val="3AC06BF4"/>
    <w:rsid w:val="3ACC045B"/>
    <w:rsid w:val="3ACF7555"/>
    <w:rsid w:val="3AD47E37"/>
    <w:rsid w:val="3AFB7DF0"/>
    <w:rsid w:val="3AFC4342"/>
    <w:rsid w:val="3B20637D"/>
    <w:rsid w:val="3B384441"/>
    <w:rsid w:val="3B4C792E"/>
    <w:rsid w:val="3B56782A"/>
    <w:rsid w:val="3B6F066F"/>
    <w:rsid w:val="3B8701AA"/>
    <w:rsid w:val="3BA42B0A"/>
    <w:rsid w:val="3BCA70A6"/>
    <w:rsid w:val="3BDB5501"/>
    <w:rsid w:val="3BE9169C"/>
    <w:rsid w:val="3C094903"/>
    <w:rsid w:val="3C151820"/>
    <w:rsid w:val="3C236125"/>
    <w:rsid w:val="3C9A61A9"/>
    <w:rsid w:val="3CB12D52"/>
    <w:rsid w:val="3CB158DA"/>
    <w:rsid w:val="3CBB4FBC"/>
    <w:rsid w:val="3CBD7380"/>
    <w:rsid w:val="3CC527C1"/>
    <w:rsid w:val="3CC84B6F"/>
    <w:rsid w:val="3CCB1BCD"/>
    <w:rsid w:val="3CCE564F"/>
    <w:rsid w:val="3CD72A6B"/>
    <w:rsid w:val="3CE176AD"/>
    <w:rsid w:val="3CE6141F"/>
    <w:rsid w:val="3CEA6D88"/>
    <w:rsid w:val="3CF35AF5"/>
    <w:rsid w:val="3CFC684C"/>
    <w:rsid w:val="3D002F2D"/>
    <w:rsid w:val="3D1C6374"/>
    <w:rsid w:val="3D5D3581"/>
    <w:rsid w:val="3D7973CA"/>
    <w:rsid w:val="3D891C30"/>
    <w:rsid w:val="3D94443C"/>
    <w:rsid w:val="3D9C4215"/>
    <w:rsid w:val="3DAF3990"/>
    <w:rsid w:val="3DBB1039"/>
    <w:rsid w:val="3DCC5E19"/>
    <w:rsid w:val="3E253FAA"/>
    <w:rsid w:val="3E597401"/>
    <w:rsid w:val="3E5B19FA"/>
    <w:rsid w:val="3E633276"/>
    <w:rsid w:val="3E890ADF"/>
    <w:rsid w:val="3E9614C8"/>
    <w:rsid w:val="3ED9260C"/>
    <w:rsid w:val="3EDB0ACF"/>
    <w:rsid w:val="3EF32DD6"/>
    <w:rsid w:val="3F2E3EB4"/>
    <w:rsid w:val="3F541980"/>
    <w:rsid w:val="3F5C58B0"/>
    <w:rsid w:val="3F8253F5"/>
    <w:rsid w:val="3FCB161D"/>
    <w:rsid w:val="3FCC1668"/>
    <w:rsid w:val="3FEC3211"/>
    <w:rsid w:val="401758DF"/>
    <w:rsid w:val="401C3B3D"/>
    <w:rsid w:val="40487E84"/>
    <w:rsid w:val="4069218C"/>
    <w:rsid w:val="409C2F76"/>
    <w:rsid w:val="409F4A88"/>
    <w:rsid w:val="40A91969"/>
    <w:rsid w:val="40B074B8"/>
    <w:rsid w:val="40C46CE3"/>
    <w:rsid w:val="40CA0F15"/>
    <w:rsid w:val="40D1414D"/>
    <w:rsid w:val="40F938F8"/>
    <w:rsid w:val="410C4C59"/>
    <w:rsid w:val="41282D76"/>
    <w:rsid w:val="412879B1"/>
    <w:rsid w:val="412F2AF0"/>
    <w:rsid w:val="41401D9F"/>
    <w:rsid w:val="41481AE8"/>
    <w:rsid w:val="415B1EBD"/>
    <w:rsid w:val="4170233D"/>
    <w:rsid w:val="417C30C4"/>
    <w:rsid w:val="418C1319"/>
    <w:rsid w:val="419324FC"/>
    <w:rsid w:val="419E362A"/>
    <w:rsid w:val="41AB623A"/>
    <w:rsid w:val="41B13BD3"/>
    <w:rsid w:val="41CD6430"/>
    <w:rsid w:val="41D852BC"/>
    <w:rsid w:val="424D2993"/>
    <w:rsid w:val="425803A2"/>
    <w:rsid w:val="425D47B1"/>
    <w:rsid w:val="42624854"/>
    <w:rsid w:val="427D66AF"/>
    <w:rsid w:val="428827E5"/>
    <w:rsid w:val="428E4E6D"/>
    <w:rsid w:val="429E1A6D"/>
    <w:rsid w:val="42AA4D17"/>
    <w:rsid w:val="42B94668"/>
    <w:rsid w:val="42E47FA3"/>
    <w:rsid w:val="42E85D24"/>
    <w:rsid w:val="42F030E9"/>
    <w:rsid w:val="42F134BE"/>
    <w:rsid w:val="430F6558"/>
    <w:rsid w:val="4312078A"/>
    <w:rsid w:val="43243AB5"/>
    <w:rsid w:val="4329260B"/>
    <w:rsid w:val="43344BA5"/>
    <w:rsid w:val="43453C0D"/>
    <w:rsid w:val="43682B9F"/>
    <w:rsid w:val="439A7FA1"/>
    <w:rsid w:val="43A11E62"/>
    <w:rsid w:val="43A34580"/>
    <w:rsid w:val="43B03699"/>
    <w:rsid w:val="43B4465E"/>
    <w:rsid w:val="43D7487D"/>
    <w:rsid w:val="43FA759E"/>
    <w:rsid w:val="43FB0295"/>
    <w:rsid w:val="44443F82"/>
    <w:rsid w:val="44583148"/>
    <w:rsid w:val="446B4480"/>
    <w:rsid w:val="446C2D74"/>
    <w:rsid w:val="447C3411"/>
    <w:rsid w:val="44823C05"/>
    <w:rsid w:val="44A14B51"/>
    <w:rsid w:val="44A14CF9"/>
    <w:rsid w:val="44C37254"/>
    <w:rsid w:val="44D63E8F"/>
    <w:rsid w:val="44E8005D"/>
    <w:rsid w:val="44FF711D"/>
    <w:rsid w:val="451C7D3D"/>
    <w:rsid w:val="453F5D5D"/>
    <w:rsid w:val="456B0D62"/>
    <w:rsid w:val="458C5ECB"/>
    <w:rsid w:val="459070BC"/>
    <w:rsid w:val="45C77130"/>
    <w:rsid w:val="45E76F39"/>
    <w:rsid w:val="45ED7F98"/>
    <w:rsid w:val="46074AE0"/>
    <w:rsid w:val="460A3EB2"/>
    <w:rsid w:val="462E3C66"/>
    <w:rsid w:val="463D3082"/>
    <w:rsid w:val="464C73F6"/>
    <w:rsid w:val="465245CE"/>
    <w:rsid w:val="46871DB7"/>
    <w:rsid w:val="46B15B85"/>
    <w:rsid w:val="46B70084"/>
    <w:rsid w:val="46F06FEE"/>
    <w:rsid w:val="47111A8D"/>
    <w:rsid w:val="471D6B3C"/>
    <w:rsid w:val="47215786"/>
    <w:rsid w:val="472674C8"/>
    <w:rsid w:val="473B5EB5"/>
    <w:rsid w:val="474E4DA2"/>
    <w:rsid w:val="475E343E"/>
    <w:rsid w:val="476E221E"/>
    <w:rsid w:val="47783A4F"/>
    <w:rsid w:val="47785BC3"/>
    <w:rsid w:val="477A6322"/>
    <w:rsid w:val="47803E9D"/>
    <w:rsid w:val="4787748C"/>
    <w:rsid w:val="47A007AD"/>
    <w:rsid w:val="47F86EB9"/>
    <w:rsid w:val="48077E3B"/>
    <w:rsid w:val="48147066"/>
    <w:rsid w:val="48194F9E"/>
    <w:rsid w:val="48395F70"/>
    <w:rsid w:val="48A424EE"/>
    <w:rsid w:val="48B10DB7"/>
    <w:rsid w:val="48B56534"/>
    <w:rsid w:val="48C656B8"/>
    <w:rsid w:val="48F905B0"/>
    <w:rsid w:val="49097AC4"/>
    <w:rsid w:val="491B2DFD"/>
    <w:rsid w:val="493215D1"/>
    <w:rsid w:val="493B5B9C"/>
    <w:rsid w:val="494729C5"/>
    <w:rsid w:val="495D4B69"/>
    <w:rsid w:val="49616587"/>
    <w:rsid w:val="4970400B"/>
    <w:rsid w:val="49734B0E"/>
    <w:rsid w:val="497946D8"/>
    <w:rsid w:val="497A1A64"/>
    <w:rsid w:val="49CA4407"/>
    <w:rsid w:val="49E607DB"/>
    <w:rsid w:val="49F822E4"/>
    <w:rsid w:val="4A133DA0"/>
    <w:rsid w:val="4A3B3DA3"/>
    <w:rsid w:val="4A691CA5"/>
    <w:rsid w:val="4A7613AE"/>
    <w:rsid w:val="4A987CDE"/>
    <w:rsid w:val="4A9C2956"/>
    <w:rsid w:val="4ABF46E4"/>
    <w:rsid w:val="4ACA4453"/>
    <w:rsid w:val="4B200A37"/>
    <w:rsid w:val="4B203C3C"/>
    <w:rsid w:val="4B216F40"/>
    <w:rsid w:val="4B2F437E"/>
    <w:rsid w:val="4B4D645A"/>
    <w:rsid w:val="4B68202D"/>
    <w:rsid w:val="4B7710D9"/>
    <w:rsid w:val="4B970F24"/>
    <w:rsid w:val="4B983D0E"/>
    <w:rsid w:val="4B9A063C"/>
    <w:rsid w:val="4BED70D4"/>
    <w:rsid w:val="4BF06613"/>
    <w:rsid w:val="4C020B26"/>
    <w:rsid w:val="4C1D4AE7"/>
    <w:rsid w:val="4C3D706D"/>
    <w:rsid w:val="4C4F0870"/>
    <w:rsid w:val="4C5C2F8D"/>
    <w:rsid w:val="4C6576F9"/>
    <w:rsid w:val="4C7D5539"/>
    <w:rsid w:val="4C9D782D"/>
    <w:rsid w:val="4CBC4830"/>
    <w:rsid w:val="4CE702F8"/>
    <w:rsid w:val="4CF36F6F"/>
    <w:rsid w:val="4CFD63D7"/>
    <w:rsid w:val="4D2633AF"/>
    <w:rsid w:val="4D2A496C"/>
    <w:rsid w:val="4D394AFA"/>
    <w:rsid w:val="4D4B2530"/>
    <w:rsid w:val="4D4F3B65"/>
    <w:rsid w:val="4D5048A0"/>
    <w:rsid w:val="4D8B1D7C"/>
    <w:rsid w:val="4DAA6CFC"/>
    <w:rsid w:val="4DCB29DF"/>
    <w:rsid w:val="4DCD65C7"/>
    <w:rsid w:val="4DE32326"/>
    <w:rsid w:val="4E06199D"/>
    <w:rsid w:val="4E1A6C5C"/>
    <w:rsid w:val="4E2F546C"/>
    <w:rsid w:val="4E36749C"/>
    <w:rsid w:val="4E3A4EF3"/>
    <w:rsid w:val="4E62374F"/>
    <w:rsid w:val="4E703C3C"/>
    <w:rsid w:val="4E7A19C4"/>
    <w:rsid w:val="4EA35CEF"/>
    <w:rsid w:val="4EA86032"/>
    <w:rsid w:val="4ED67F01"/>
    <w:rsid w:val="4EE32164"/>
    <w:rsid w:val="4F00181B"/>
    <w:rsid w:val="4F0F02C3"/>
    <w:rsid w:val="4F134E42"/>
    <w:rsid w:val="4F1638C7"/>
    <w:rsid w:val="4F495F61"/>
    <w:rsid w:val="4F5C53D1"/>
    <w:rsid w:val="4F7565B2"/>
    <w:rsid w:val="4F8E68B7"/>
    <w:rsid w:val="4FA97F89"/>
    <w:rsid w:val="4FD3240F"/>
    <w:rsid w:val="4FD8502E"/>
    <w:rsid w:val="4FF268C9"/>
    <w:rsid w:val="4FF71BF0"/>
    <w:rsid w:val="4FF858B6"/>
    <w:rsid w:val="50002F5D"/>
    <w:rsid w:val="50032411"/>
    <w:rsid w:val="502B2409"/>
    <w:rsid w:val="5035447A"/>
    <w:rsid w:val="504F5410"/>
    <w:rsid w:val="505F1A48"/>
    <w:rsid w:val="505F355C"/>
    <w:rsid w:val="50AE5F6C"/>
    <w:rsid w:val="50B92654"/>
    <w:rsid w:val="50CF01D2"/>
    <w:rsid w:val="50DF48D0"/>
    <w:rsid w:val="50FD3B06"/>
    <w:rsid w:val="510231EE"/>
    <w:rsid w:val="510870A5"/>
    <w:rsid w:val="512A58AF"/>
    <w:rsid w:val="51393CBA"/>
    <w:rsid w:val="513D74D3"/>
    <w:rsid w:val="51552370"/>
    <w:rsid w:val="5180403B"/>
    <w:rsid w:val="519E7AB9"/>
    <w:rsid w:val="51CA5F3D"/>
    <w:rsid w:val="51D610EC"/>
    <w:rsid w:val="520824F6"/>
    <w:rsid w:val="521A79C7"/>
    <w:rsid w:val="521D4799"/>
    <w:rsid w:val="5221680B"/>
    <w:rsid w:val="52265EA2"/>
    <w:rsid w:val="522E4B76"/>
    <w:rsid w:val="5234700E"/>
    <w:rsid w:val="523B1D66"/>
    <w:rsid w:val="524B48E0"/>
    <w:rsid w:val="526B4204"/>
    <w:rsid w:val="528765DF"/>
    <w:rsid w:val="529C1A7A"/>
    <w:rsid w:val="52EC0E18"/>
    <w:rsid w:val="53134C6C"/>
    <w:rsid w:val="532845B9"/>
    <w:rsid w:val="532B0103"/>
    <w:rsid w:val="53565BE1"/>
    <w:rsid w:val="537D468A"/>
    <w:rsid w:val="53984C0E"/>
    <w:rsid w:val="5398581F"/>
    <w:rsid w:val="53B31D7E"/>
    <w:rsid w:val="53C14802"/>
    <w:rsid w:val="53D579A4"/>
    <w:rsid w:val="53E615E7"/>
    <w:rsid w:val="541303D5"/>
    <w:rsid w:val="5421112D"/>
    <w:rsid w:val="5424479D"/>
    <w:rsid w:val="542D58C4"/>
    <w:rsid w:val="548968E9"/>
    <w:rsid w:val="548B0181"/>
    <w:rsid w:val="54920645"/>
    <w:rsid w:val="54C46867"/>
    <w:rsid w:val="54CF3E9A"/>
    <w:rsid w:val="54E55A63"/>
    <w:rsid w:val="54E76B49"/>
    <w:rsid w:val="55012924"/>
    <w:rsid w:val="55024486"/>
    <w:rsid w:val="55040DFA"/>
    <w:rsid w:val="551034CF"/>
    <w:rsid w:val="551E5B6E"/>
    <w:rsid w:val="553A5AEE"/>
    <w:rsid w:val="55487620"/>
    <w:rsid w:val="554C49D1"/>
    <w:rsid w:val="55555F94"/>
    <w:rsid w:val="55627D22"/>
    <w:rsid w:val="55725B9A"/>
    <w:rsid w:val="55A77D27"/>
    <w:rsid w:val="55C776C9"/>
    <w:rsid w:val="55C86265"/>
    <w:rsid w:val="55FFDC6A"/>
    <w:rsid w:val="560A2A09"/>
    <w:rsid w:val="562E29FF"/>
    <w:rsid w:val="562F0074"/>
    <w:rsid w:val="563B4F82"/>
    <w:rsid w:val="563F3E8D"/>
    <w:rsid w:val="565151E5"/>
    <w:rsid w:val="566A2BE4"/>
    <w:rsid w:val="566E3FE9"/>
    <w:rsid w:val="567E247E"/>
    <w:rsid w:val="5687439A"/>
    <w:rsid w:val="56952A43"/>
    <w:rsid w:val="56954007"/>
    <w:rsid w:val="56A6020D"/>
    <w:rsid w:val="56B62535"/>
    <w:rsid w:val="56B6734F"/>
    <w:rsid w:val="56CB7D0E"/>
    <w:rsid w:val="57233025"/>
    <w:rsid w:val="5724392A"/>
    <w:rsid w:val="57253C96"/>
    <w:rsid w:val="57277C0C"/>
    <w:rsid w:val="574B0AE9"/>
    <w:rsid w:val="5754748A"/>
    <w:rsid w:val="576E416E"/>
    <w:rsid w:val="57733075"/>
    <w:rsid w:val="5774279D"/>
    <w:rsid w:val="578119B6"/>
    <w:rsid w:val="57937030"/>
    <w:rsid w:val="579C5C61"/>
    <w:rsid w:val="57BA3E16"/>
    <w:rsid w:val="57D369BC"/>
    <w:rsid w:val="57DD1426"/>
    <w:rsid w:val="57EA3EC9"/>
    <w:rsid w:val="57FA39D1"/>
    <w:rsid w:val="580E669C"/>
    <w:rsid w:val="58157A42"/>
    <w:rsid w:val="582407E1"/>
    <w:rsid w:val="58334664"/>
    <w:rsid w:val="58404F0E"/>
    <w:rsid w:val="58443253"/>
    <w:rsid w:val="58635207"/>
    <w:rsid w:val="588B378F"/>
    <w:rsid w:val="58947DC1"/>
    <w:rsid w:val="58951FC6"/>
    <w:rsid w:val="589A111B"/>
    <w:rsid w:val="58D9680A"/>
    <w:rsid w:val="58DA686B"/>
    <w:rsid w:val="58E4415A"/>
    <w:rsid w:val="58EB47D9"/>
    <w:rsid w:val="58EE2472"/>
    <w:rsid w:val="58FF6193"/>
    <w:rsid w:val="59124EA2"/>
    <w:rsid w:val="591A4615"/>
    <w:rsid w:val="593B4206"/>
    <w:rsid w:val="594C136A"/>
    <w:rsid w:val="596A25AF"/>
    <w:rsid w:val="596A56C5"/>
    <w:rsid w:val="596F44B8"/>
    <w:rsid w:val="59792F63"/>
    <w:rsid w:val="597D7B70"/>
    <w:rsid w:val="59D5451E"/>
    <w:rsid w:val="59DC373E"/>
    <w:rsid w:val="5A1335C0"/>
    <w:rsid w:val="5A180D9A"/>
    <w:rsid w:val="5A33039E"/>
    <w:rsid w:val="5A6E2809"/>
    <w:rsid w:val="5A7417D8"/>
    <w:rsid w:val="5AB75F5E"/>
    <w:rsid w:val="5AC17466"/>
    <w:rsid w:val="5ACC0F83"/>
    <w:rsid w:val="5AD3266C"/>
    <w:rsid w:val="5AE56BDA"/>
    <w:rsid w:val="5AE738B1"/>
    <w:rsid w:val="5AFA0D10"/>
    <w:rsid w:val="5B182040"/>
    <w:rsid w:val="5B214065"/>
    <w:rsid w:val="5B3013E6"/>
    <w:rsid w:val="5B57121F"/>
    <w:rsid w:val="5B6466FE"/>
    <w:rsid w:val="5B6741B7"/>
    <w:rsid w:val="5B6A0607"/>
    <w:rsid w:val="5B7A6F8C"/>
    <w:rsid w:val="5B7E543C"/>
    <w:rsid w:val="5B99540C"/>
    <w:rsid w:val="5BA879DF"/>
    <w:rsid w:val="5BC86423"/>
    <w:rsid w:val="5BDB51C5"/>
    <w:rsid w:val="5BE329AE"/>
    <w:rsid w:val="5BE36171"/>
    <w:rsid w:val="5C0221A4"/>
    <w:rsid w:val="5C082EAA"/>
    <w:rsid w:val="5C1C0D68"/>
    <w:rsid w:val="5C3E5082"/>
    <w:rsid w:val="5C4B69FC"/>
    <w:rsid w:val="5C542393"/>
    <w:rsid w:val="5C5E427C"/>
    <w:rsid w:val="5C9D2F32"/>
    <w:rsid w:val="5CBB4256"/>
    <w:rsid w:val="5D002BAA"/>
    <w:rsid w:val="5D0A5B35"/>
    <w:rsid w:val="5D0D645E"/>
    <w:rsid w:val="5D432B9D"/>
    <w:rsid w:val="5D557CB0"/>
    <w:rsid w:val="5D9D0A40"/>
    <w:rsid w:val="5DA2372A"/>
    <w:rsid w:val="5E126E64"/>
    <w:rsid w:val="5E5C14D6"/>
    <w:rsid w:val="5E716BE3"/>
    <w:rsid w:val="5EA0641D"/>
    <w:rsid w:val="5EBB314D"/>
    <w:rsid w:val="5EC8108E"/>
    <w:rsid w:val="5ECA5955"/>
    <w:rsid w:val="5F190E71"/>
    <w:rsid w:val="5F345830"/>
    <w:rsid w:val="5F5A3C07"/>
    <w:rsid w:val="5F7C7776"/>
    <w:rsid w:val="5F844CC0"/>
    <w:rsid w:val="5F920B3C"/>
    <w:rsid w:val="5FEF1CF6"/>
    <w:rsid w:val="5FF03544"/>
    <w:rsid w:val="5FF632C4"/>
    <w:rsid w:val="60264AE4"/>
    <w:rsid w:val="606A33EF"/>
    <w:rsid w:val="606F3F40"/>
    <w:rsid w:val="60933A68"/>
    <w:rsid w:val="60A66897"/>
    <w:rsid w:val="60B37B87"/>
    <w:rsid w:val="60C070EC"/>
    <w:rsid w:val="60D86DD6"/>
    <w:rsid w:val="6122528A"/>
    <w:rsid w:val="612D3BA2"/>
    <w:rsid w:val="613F58EE"/>
    <w:rsid w:val="61442DE8"/>
    <w:rsid w:val="619D1FCA"/>
    <w:rsid w:val="61A747B9"/>
    <w:rsid w:val="61B054B5"/>
    <w:rsid w:val="61ED0A56"/>
    <w:rsid w:val="61FE4523"/>
    <w:rsid w:val="620138E2"/>
    <w:rsid w:val="62150495"/>
    <w:rsid w:val="621A2F36"/>
    <w:rsid w:val="622C60BB"/>
    <w:rsid w:val="62410803"/>
    <w:rsid w:val="6282163B"/>
    <w:rsid w:val="62A55039"/>
    <w:rsid w:val="62BF00A6"/>
    <w:rsid w:val="62CA4180"/>
    <w:rsid w:val="62E4722D"/>
    <w:rsid w:val="62F53280"/>
    <w:rsid w:val="62F7282E"/>
    <w:rsid w:val="633402D8"/>
    <w:rsid w:val="634E30C4"/>
    <w:rsid w:val="63754E3A"/>
    <w:rsid w:val="63794270"/>
    <w:rsid w:val="6385070B"/>
    <w:rsid w:val="63A82B64"/>
    <w:rsid w:val="63C04A4C"/>
    <w:rsid w:val="63D63DC8"/>
    <w:rsid w:val="64352DFD"/>
    <w:rsid w:val="643B78BD"/>
    <w:rsid w:val="643F4C69"/>
    <w:rsid w:val="646A2293"/>
    <w:rsid w:val="64723092"/>
    <w:rsid w:val="647A364D"/>
    <w:rsid w:val="64E65F95"/>
    <w:rsid w:val="64E77440"/>
    <w:rsid w:val="64F17BAA"/>
    <w:rsid w:val="64FD3107"/>
    <w:rsid w:val="650D3739"/>
    <w:rsid w:val="65145C7D"/>
    <w:rsid w:val="652A5785"/>
    <w:rsid w:val="652F1B5F"/>
    <w:rsid w:val="656421E3"/>
    <w:rsid w:val="657F2F1D"/>
    <w:rsid w:val="65953AB5"/>
    <w:rsid w:val="659550EE"/>
    <w:rsid w:val="659B5FA0"/>
    <w:rsid w:val="65BE49F7"/>
    <w:rsid w:val="65BE5F27"/>
    <w:rsid w:val="65DD6A95"/>
    <w:rsid w:val="65EE16F2"/>
    <w:rsid w:val="66095652"/>
    <w:rsid w:val="660D707D"/>
    <w:rsid w:val="662209F0"/>
    <w:rsid w:val="6627027E"/>
    <w:rsid w:val="664F2E9B"/>
    <w:rsid w:val="668B6209"/>
    <w:rsid w:val="66A51D14"/>
    <w:rsid w:val="66C63E6B"/>
    <w:rsid w:val="66D16DBA"/>
    <w:rsid w:val="67065F64"/>
    <w:rsid w:val="670D4A21"/>
    <w:rsid w:val="67127C7D"/>
    <w:rsid w:val="671C1AF2"/>
    <w:rsid w:val="67281F92"/>
    <w:rsid w:val="672F3320"/>
    <w:rsid w:val="67381478"/>
    <w:rsid w:val="6758338F"/>
    <w:rsid w:val="675C4A06"/>
    <w:rsid w:val="677E355E"/>
    <w:rsid w:val="678B7697"/>
    <w:rsid w:val="67AD310C"/>
    <w:rsid w:val="67B51A77"/>
    <w:rsid w:val="67C2104C"/>
    <w:rsid w:val="67C41CBB"/>
    <w:rsid w:val="67EE6D37"/>
    <w:rsid w:val="67F7523B"/>
    <w:rsid w:val="67FD5E50"/>
    <w:rsid w:val="681C7519"/>
    <w:rsid w:val="68282AFD"/>
    <w:rsid w:val="68346C65"/>
    <w:rsid w:val="683D7EC8"/>
    <w:rsid w:val="684C16CD"/>
    <w:rsid w:val="685C27C8"/>
    <w:rsid w:val="687B003E"/>
    <w:rsid w:val="68840C5B"/>
    <w:rsid w:val="688D0395"/>
    <w:rsid w:val="689D4409"/>
    <w:rsid w:val="68AC0A53"/>
    <w:rsid w:val="68BF14BD"/>
    <w:rsid w:val="68EB4C1B"/>
    <w:rsid w:val="68EC14C9"/>
    <w:rsid w:val="68EF4BB6"/>
    <w:rsid w:val="693B642A"/>
    <w:rsid w:val="694513E9"/>
    <w:rsid w:val="694C640B"/>
    <w:rsid w:val="69561413"/>
    <w:rsid w:val="695E172A"/>
    <w:rsid w:val="6961421E"/>
    <w:rsid w:val="69BD10B7"/>
    <w:rsid w:val="69D82580"/>
    <w:rsid w:val="69E82D83"/>
    <w:rsid w:val="6A196DE9"/>
    <w:rsid w:val="6A4B221F"/>
    <w:rsid w:val="6A58493C"/>
    <w:rsid w:val="6A6A1C84"/>
    <w:rsid w:val="6A8E1C0A"/>
    <w:rsid w:val="6A8F4287"/>
    <w:rsid w:val="6AA0094E"/>
    <w:rsid w:val="6AAD2762"/>
    <w:rsid w:val="6AC5410E"/>
    <w:rsid w:val="6ACA583A"/>
    <w:rsid w:val="6AF14C36"/>
    <w:rsid w:val="6B0E5612"/>
    <w:rsid w:val="6B294AA5"/>
    <w:rsid w:val="6B3B04E6"/>
    <w:rsid w:val="6B7A68B1"/>
    <w:rsid w:val="6B800009"/>
    <w:rsid w:val="6B9D5C08"/>
    <w:rsid w:val="6BB83EF2"/>
    <w:rsid w:val="6BCD2831"/>
    <w:rsid w:val="6BF41569"/>
    <w:rsid w:val="6BF81638"/>
    <w:rsid w:val="6C113E3C"/>
    <w:rsid w:val="6C126437"/>
    <w:rsid w:val="6C416D36"/>
    <w:rsid w:val="6C4A44A4"/>
    <w:rsid w:val="6C6D4D64"/>
    <w:rsid w:val="6C750965"/>
    <w:rsid w:val="6C7757EE"/>
    <w:rsid w:val="6C89327F"/>
    <w:rsid w:val="6C8F3349"/>
    <w:rsid w:val="6CB10CC0"/>
    <w:rsid w:val="6CB95B66"/>
    <w:rsid w:val="6CBF02C5"/>
    <w:rsid w:val="6CC20012"/>
    <w:rsid w:val="6D394EF9"/>
    <w:rsid w:val="6D5E78E4"/>
    <w:rsid w:val="6D633EEB"/>
    <w:rsid w:val="6D8D043D"/>
    <w:rsid w:val="6D991CDC"/>
    <w:rsid w:val="6DB30807"/>
    <w:rsid w:val="6DB42BDC"/>
    <w:rsid w:val="6DC06CC5"/>
    <w:rsid w:val="6DC673C7"/>
    <w:rsid w:val="6DEE187D"/>
    <w:rsid w:val="6E025AC7"/>
    <w:rsid w:val="6E027C29"/>
    <w:rsid w:val="6E307083"/>
    <w:rsid w:val="6E357287"/>
    <w:rsid w:val="6E396AA1"/>
    <w:rsid w:val="6E504CBD"/>
    <w:rsid w:val="6E573394"/>
    <w:rsid w:val="6E5F4023"/>
    <w:rsid w:val="6E6471A5"/>
    <w:rsid w:val="6E8054D4"/>
    <w:rsid w:val="6E8F3321"/>
    <w:rsid w:val="6E956140"/>
    <w:rsid w:val="6E9B2B83"/>
    <w:rsid w:val="6EAD3813"/>
    <w:rsid w:val="6EAF6475"/>
    <w:rsid w:val="6EB135F3"/>
    <w:rsid w:val="6EB5514D"/>
    <w:rsid w:val="6EC466C2"/>
    <w:rsid w:val="6EDA19C8"/>
    <w:rsid w:val="6EF12FB0"/>
    <w:rsid w:val="6F3304EC"/>
    <w:rsid w:val="6F3735B9"/>
    <w:rsid w:val="6F380483"/>
    <w:rsid w:val="6F417B08"/>
    <w:rsid w:val="6F4337AA"/>
    <w:rsid w:val="6F914B78"/>
    <w:rsid w:val="6F9D6C9E"/>
    <w:rsid w:val="700112E7"/>
    <w:rsid w:val="700233B3"/>
    <w:rsid w:val="70313C65"/>
    <w:rsid w:val="709019B6"/>
    <w:rsid w:val="70A26911"/>
    <w:rsid w:val="70A7195F"/>
    <w:rsid w:val="70AC52DA"/>
    <w:rsid w:val="70BF37E3"/>
    <w:rsid w:val="70D44E05"/>
    <w:rsid w:val="71155550"/>
    <w:rsid w:val="71523086"/>
    <w:rsid w:val="719C358A"/>
    <w:rsid w:val="719D3585"/>
    <w:rsid w:val="719D6F5E"/>
    <w:rsid w:val="71A5590F"/>
    <w:rsid w:val="71AC0970"/>
    <w:rsid w:val="71C94EE6"/>
    <w:rsid w:val="71CF1988"/>
    <w:rsid w:val="71E91D24"/>
    <w:rsid w:val="72257C5B"/>
    <w:rsid w:val="72345C8F"/>
    <w:rsid w:val="72387311"/>
    <w:rsid w:val="7240638A"/>
    <w:rsid w:val="726D00C7"/>
    <w:rsid w:val="727506D0"/>
    <w:rsid w:val="727C72A2"/>
    <w:rsid w:val="7284597C"/>
    <w:rsid w:val="729C0B15"/>
    <w:rsid w:val="72A67AC0"/>
    <w:rsid w:val="72CE52BA"/>
    <w:rsid w:val="72D2576C"/>
    <w:rsid w:val="72DB4BB3"/>
    <w:rsid w:val="72FD2525"/>
    <w:rsid w:val="73130968"/>
    <w:rsid w:val="736616D6"/>
    <w:rsid w:val="736775EC"/>
    <w:rsid w:val="73765C48"/>
    <w:rsid w:val="738B040D"/>
    <w:rsid w:val="73B66A70"/>
    <w:rsid w:val="73DC4B08"/>
    <w:rsid w:val="73FA0CF0"/>
    <w:rsid w:val="740F30AF"/>
    <w:rsid w:val="74247331"/>
    <w:rsid w:val="742D44EB"/>
    <w:rsid w:val="743631EA"/>
    <w:rsid w:val="743E2DF5"/>
    <w:rsid w:val="7454004D"/>
    <w:rsid w:val="745D7AEC"/>
    <w:rsid w:val="748F71B1"/>
    <w:rsid w:val="749628DC"/>
    <w:rsid w:val="74A82787"/>
    <w:rsid w:val="74CC462D"/>
    <w:rsid w:val="74DE73B8"/>
    <w:rsid w:val="750E0A19"/>
    <w:rsid w:val="750F1866"/>
    <w:rsid w:val="750F30B3"/>
    <w:rsid w:val="751936E0"/>
    <w:rsid w:val="751C1388"/>
    <w:rsid w:val="753A4503"/>
    <w:rsid w:val="754E714F"/>
    <w:rsid w:val="755A3E67"/>
    <w:rsid w:val="755C6355"/>
    <w:rsid w:val="7581126C"/>
    <w:rsid w:val="75884369"/>
    <w:rsid w:val="75AF26A1"/>
    <w:rsid w:val="75BE6072"/>
    <w:rsid w:val="75C701DA"/>
    <w:rsid w:val="75CF4443"/>
    <w:rsid w:val="7627197F"/>
    <w:rsid w:val="7646652D"/>
    <w:rsid w:val="764F122F"/>
    <w:rsid w:val="766358A0"/>
    <w:rsid w:val="7696027D"/>
    <w:rsid w:val="76984B6B"/>
    <w:rsid w:val="76A9033B"/>
    <w:rsid w:val="76B63116"/>
    <w:rsid w:val="76C94A74"/>
    <w:rsid w:val="76CC19F9"/>
    <w:rsid w:val="76DB4D04"/>
    <w:rsid w:val="76EC7413"/>
    <w:rsid w:val="76F53C3E"/>
    <w:rsid w:val="76FF4773"/>
    <w:rsid w:val="7724564B"/>
    <w:rsid w:val="77314D9C"/>
    <w:rsid w:val="77394E6F"/>
    <w:rsid w:val="77971897"/>
    <w:rsid w:val="77E84519"/>
    <w:rsid w:val="77F00B20"/>
    <w:rsid w:val="7808174F"/>
    <w:rsid w:val="780F6F82"/>
    <w:rsid w:val="782A1479"/>
    <w:rsid w:val="7836119E"/>
    <w:rsid w:val="783915DA"/>
    <w:rsid w:val="784F3EAB"/>
    <w:rsid w:val="78656092"/>
    <w:rsid w:val="786D7A7F"/>
    <w:rsid w:val="787355E5"/>
    <w:rsid w:val="78737AE4"/>
    <w:rsid w:val="78C77F38"/>
    <w:rsid w:val="78D863D1"/>
    <w:rsid w:val="78DA3C45"/>
    <w:rsid w:val="78F33336"/>
    <w:rsid w:val="78F47C53"/>
    <w:rsid w:val="79125774"/>
    <w:rsid w:val="791B4243"/>
    <w:rsid w:val="79392020"/>
    <w:rsid w:val="79493A46"/>
    <w:rsid w:val="798F00FE"/>
    <w:rsid w:val="79A757A5"/>
    <w:rsid w:val="79C61758"/>
    <w:rsid w:val="79DA621C"/>
    <w:rsid w:val="79EB5B59"/>
    <w:rsid w:val="7A3A70FD"/>
    <w:rsid w:val="7A462A03"/>
    <w:rsid w:val="7A5A304A"/>
    <w:rsid w:val="7A6A528C"/>
    <w:rsid w:val="7A88351B"/>
    <w:rsid w:val="7A8D7ABD"/>
    <w:rsid w:val="7A8E221F"/>
    <w:rsid w:val="7AAB648D"/>
    <w:rsid w:val="7ACC4282"/>
    <w:rsid w:val="7B191DB6"/>
    <w:rsid w:val="7B25086A"/>
    <w:rsid w:val="7B3875E6"/>
    <w:rsid w:val="7B3C363D"/>
    <w:rsid w:val="7B485861"/>
    <w:rsid w:val="7B5B2A77"/>
    <w:rsid w:val="7B607AF4"/>
    <w:rsid w:val="7B642CC8"/>
    <w:rsid w:val="7B655ADF"/>
    <w:rsid w:val="7B6E58B9"/>
    <w:rsid w:val="7B750610"/>
    <w:rsid w:val="7C2D1E17"/>
    <w:rsid w:val="7C351656"/>
    <w:rsid w:val="7C70438F"/>
    <w:rsid w:val="7C986AE3"/>
    <w:rsid w:val="7C992388"/>
    <w:rsid w:val="7CE71F54"/>
    <w:rsid w:val="7CEE0AA7"/>
    <w:rsid w:val="7CFD1F46"/>
    <w:rsid w:val="7CFDA069"/>
    <w:rsid w:val="7D32067A"/>
    <w:rsid w:val="7D6177FA"/>
    <w:rsid w:val="7D722875"/>
    <w:rsid w:val="7D7E393C"/>
    <w:rsid w:val="7D882B5F"/>
    <w:rsid w:val="7D951CD7"/>
    <w:rsid w:val="7D953447"/>
    <w:rsid w:val="7DCE5754"/>
    <w:rsid w:val="7DE002B8"/>
    <w:rsid w:val="7DE56BE9"/>
    <w:rsid w:val="7DF943C5"/>
    <w:rsid w:val="7E0856D3"/>
    <w:rsid w:val="7E322C6A"/>
    <w:rsid w:val="7E40661D"/>
    <w:rsid w:val="7E6F7C7C"/>
    <w:rsid w:val="7EA6298E"/>
    <w:rsid w:val="7EF47CC3"/>
    <w:rsid w:val="7EFD790E"/>
    <w:rsid w:val="7F026E0F"/>
    <w:rsid w:val="7F042FF7"/>
    <w:rsid w:val="7F0A2079"/>
    <w:rsid w:val="7F2673CF"/>
    <w:rsid w:val="7F270E22"/>
    <w:rsid w:val="7F540768"/>
    <w:rsid w:val="7F746567"/>
    <w:rsid w:val="7F7F7384"/>
    <w:rsid w:val="7F8A7F3D"/>
    <w:rsid w:val="7FA07A82"/>
    <w:rsid w:val="7FA92F90"/>
    <w:rsid w:val="7FBA072D"/>
    <w:rsid w:val="7FC72ECA"/>
    <w:rsid w:val="7FF30976"/>
    <w:rsid w:val="7FF76A8B"/>
    <w:rsid w:val="7FFD6748"/>
    <w:rsid w:val="BFFFFFE5"/>
    <w:rsid w:val="CFEED770"/>
    <w:rsid w:val="D36B0B8C"/>
    <w:rsid w:val="F5BF9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iPriority="99" w:name="Normal Indent"/>
    <w:lsdException w:qFormat="1" w:unhideWhenUsed="0" w:uiPriority="0" w:name="footnote text"/>
    <w:lsdException w:qFormat="1" w:uiPriority="99"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semiHidden="0" w:name="Body Text"/>
    <w:lsdException w:qFormat="1" w:uiPriority="99"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semiHidden="0"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next w:val="2"/>
    <w:qFormat/>
    <w:uiPriority w:val="0"/>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28"/>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qFormat/>
    <w:uiPriority w:val="0"/>
    <w:pPr>
      <w:keepNext/>
      <w:keepLines/>
      <w:spacing w:before="280" w:after="290" w:line="376" w:lineRule="auto"/>
      <w:outlineLvl w:val="4"/>
    </w:pPr>
    <w:rPr>
      <w:b/>
      <w:bCs/>
      <w:sz w:val="28"/>
      <w:szCs w:val="28"/>
    </w:rPr>
  </w:style>
  <w:style w:type="paragraph" w:styleId="9">
    <w:name w:val="heading 6"/>
    <w:basedOn w:val="1"/>
    <w:next w:val="1"/>
    <w:qFormat/>
    <w:uiPriority w:val="0"/>
    <w:pPr>
      <w:keepNext/>
      <w:keepLines/>
      <w:spacing w:before="240" w:after="64" w:line="320" w:lineRule="auto"/>
      <w:outlineLvl w:val="5"/>
    </w:pPr>
    <w:rPr>
      <w:rFonts w:ascii="Arial" w:hAnsi="Arial" w:eastAsia="黑体"/>
      <w:b/>
      <w:bCs/>
      <w:sz w:val="24"/>
    </w:rPr>
  </w:style>
  <w:style w:type="paragraph" w:styleId="10">
    <w:name w:val="heading 7"/>
    <w:basedOn w:val="1"/>
    <w:next w:val="1"/>
    <w:qFormat/>
    <w:uiPriority w:val="0"/>
    <w:pPr>
      <w:keepNext/>
      <w:keepLines/>
      <w:spacing w:before="240" w:after="64" w:line="320" w:lineRule="auto"/>
      <w:outlineLvl w:val="6"/>
    </w:pPr>
    <w:rPr>
      <w:b/>
      <w:bCs/>
      <w:sz w:val="24"/>
    </w:rPr>
  </w:style>
  <w:style w:type="paragraph" w:styleId="11">
    <w:name w:val="heading 8"/>
    <w:basedOn w:val="1"/>
    <w:next w:val="1"/>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1"/>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style>
  <w:style w:type="paragraph" w:styleId="3">
    <w:name w:val="macro"/>
    <w:link w:val="357"/>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3">
    <w:name w:val="List 3"/>
    <w:basedOn w:val="1"/>
    <w:semiHidden/>
    <w:unhideWhenUsed/>
    <w:qFormat/>
    <w:uiPriority w:val="99"/>
    <w:pPr>
      <w:ind w:left="100" w:leftChars="400" w:hanging="200" w:hangingChars="200"/>
      <w:contextualSpacing/>
    </w:pPr>
  </w:style>
  <w:style w:type="paragraph" w:styleId="14">
    <w:name w:val="toc 7"/>
    <w:basedOn w:val="15"/>
    <w:next w:val="1"/>
    <w:qFormat/>
    <w:uiPriority w:val="39"/>
    <w:pPr>
      <w:ind w:left="500" w:leftChars="500"/>
    </w:pPr>
  </w:style>
  <w:style w:type="paragraph" w:styleId="15">
    <w:name w:val="toc 6"/>
    <w:basedOn w:val="16"/>
    <w:next w:val="1"/>
    <w:qFormat/>
    <w:uiPriority w:val="39"/>
    <w:pPr>
      <w:ind w:left="400" w:leftChars="400"/>
    </w:pPr>
  </w:style>
  <w:style w:type="paragraph" w:styleId="16">
    <w:name w:val="toc 5"/>
    <w:basedOn w:val="17"/>
    <w:next w:val="1"/>
    <w:qFormat/>
    <w:uiPriority w:val="39"/>
    <w:pPr>
      <w:ind w:left="300" w:leftChars="300"/>
    </w:pPr>
  </w:style>
  <w:style w:type="paragraph" w:styleId="17">
    <w:name w:val="toc 4"/>
    <w:basedOn w:val="18"/>
    <w:next w:val="1"/>
    <w:qFormat/>
    <w:uiPriority w:val="39"/>
    <w:pPr>
      <w:ind w:left="200" w:leftChars="200"/>
    </w:pPr>
  </w:style>
  <w:style w:type="paragraph" w:styleId="18">
    <w:name w:val="toc 3"/>
    <w:basedOn w:val="2"/>
    <w:next w:val="1"/>
    <w:qFormat/>
    <w:uiPriority w:val="39"/>
    <w:pPr>
      <w:ind w:left="100" w:leftChars="100"/>
    </w:pPr>
  </w:style>
  <w:style w:type="paragraph" w:styleId="19">
    <w:name w:val="List Number 2"/>
    <w:basedOn w:val="1"/>
    <w:semiHidden/>
    <w:unhideWhenUsed/>
    <w:qFormat/>
    <w:uiPriority w:val="99"/>
    <w:pPr>
      <w:numPr>
        <w:ilvl w:val="0"/>
        <w:numId w:val="1"/>
      </w:numPr>
      <w:contextualSpacing/>
    </w:pPr>
  </w:style>
  <w:style w:type="paragraph" w:styleId="20">
    <w:name w:val="table of authorities"/>
    <w:basedOn w:val="1"/>
    <w:next w:val="1"/>
    <w:semiHidden/>
    <w:unhideWhenUsed/>
    <w:qFormat/>
    <w:uiPriority w:val="99"/>
    <w:pPr>
      <w:ind w:left="420" w:leftChars="200"/>
    </w:pPr>
  </w:style>
  <w:style w:type="paragraph" w:styleId="21">
    <w:name w:val="Note Heading"/>
    <w:basedOn w:val="1"/>
    <w:next w:val="1"/>
    <w:link w:val="489"/>
    <w:semiHidden/>
    <w:unhideWhenUsed/>
    <w:qFormat/>
    <w:uiPriority w:val="99"/>
    <w:pPr>
      <w:jc w:val="center"/>
    </w:pPr>
  </w:style>
  <w:style w:type="paragraph" w:styleId="22">
    <w:name w:val="List Bullet 4"/>
    <w:basedOn w:val="1"/>
    <w:semiHidden/>
    <w:unhideWhenUsed/>
    <w:qFormat/>
    <w:uiPriority w:val="99"/>
    <w:pPr>
      <w:numPr>
        <w:ilvl w:val="0"/>
        <w:numId w:val="2"/>
      </w:numPr>
      <w:contextualSpacing/>
    </w:pPr>
  </w:style>
  <w:style w:type="paragraph" w:styleId="23">
    <w:name w:val="index 8"/>
    <w:basedOn w:val="1"/>
    <w:next w:val="1"/>
    <w:semiHidden/>
    <w:unhideWhenUsed/>
    <w:qFormat/>
    <w:uiPriority w:val="99"/>
    <w:pPr>
      <w:ind w:left="1400" w:leftChars="1400"/>
    </w:pPr>
  </w:style>
  <w:style w:type="paragraph" w:styleId="24">
    <w:name w:val="E-mail Signature"/>
    <w:basedOn w:val="1"/>
    <w:link w:val="355"/>
    <w:semiHidden/>
    <w:unhideWhenUsed/>
    <w:qFormat/>
    <w:uiPriority w:val="99"/>
  </w:style>
  <w:style w:type="paragraph" w:styleId="25">
    <w:name w:val="List Number"/>
    <w:basedOn w:val="1"/>
    <w:semiHidden/>
    <w:unhideWhenUsed/>
    <w:qFormat/>
    <w:uiPriority w:val="99"/>
    <w:pPr>
      <w:numPr>
        <w:ilvl w:val="0"/>
        <w:numId w:val="3"/>
      </w:numPr>
      <w:contextualSpacing/>
    </w:pPr>
  </w:style>
  <w:style w:type="paragraph" w:styleId="26">
    <w:name w:val="Normal Indent"/>
    <w:basedOn w:val="1"/>
    <w:semiHidden/>
    <w:unhideWhenUsed/>
    <w:qFormat/>
    <w:uiPriority w:val="99"/>
    <w:pPr>
      <w:ind w:firstLine="420" w:firstLineChars="200"/>
    </w:pPr>
  </w:style>
  <w:style w:type="paragraph" w:styleId="27">
    <w:name w:val="caption"/>
    <w:basedOn w:val="1"/>
    <w:next w:val="1"/>
    <w:qFormat/>
    <w:uiPriority w:val="0"/>
    <w:rPr>
      <w:rFonts w:ascii="宋体" w:hAnsi="Arial" w:cs="Arial"/>
      <w:szCs w:val="20"/>
    </w:rPr>
  </w:style>
  <w:style w:type="paragraph" w:styleId="28">
    <w:name w:val="index 5"/>
    <w:basedOn w:val="1"/>
    <w:next w:val="1"/>
    <w:semiHidden/>
    <w:unhideWhenUsed/>
    <w:qFormat/>
    <w:uiPriority w:val="99"/>
    <w:pPr>
      <w:ind w:left="800" w:leftChars="800"/>
    </w:pPr>
  </w:style>
  <w:style w:type="paragraph" w:styleId="29">
    <w:name w:val="List Bullet"/>
    <w:basedOn w:val="1"/>
    <w:semiHidden/>
    <w:unhideWhenUsed/>
    <w:qFormat/>
    <w:uiPriority w:val="99"/>
    <w:pPr>
      <w:numPr>
        <w:ilvl w:val="0"/>
        <w:numId w:val="4"/>
      </w:numPr>
      <w:contextualSpacing/>
    </w:pPr>
  </w:style>
  <w:style w:type="paragraph" w:styleId="30">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1">
    <w:name w:val="Document Map"/>
    <w:basedOn w:val="1"/>
    <w:link w:val="471"/>
    <w:semiHidden/>
    <w:unhideWhenUsed/>
    <w:qFormat/>
    <w:uiPriority w:val="99"/>
    <w:rPr>
      <w:rFonts w:ascii="Microsoft YaHei UI" w:eastAsia="Microsoft YaHei UI"/>
      <w:sz w:val="18"/>
      <w:szCs w:val="18"/>
    </w:rPr>
  </w:style>
  <w:style w:type="paragraph" w:styleId="32">
    <w:name w:val="toa heading"/>
    <w:basedOn w:val="1"/>
    <w:next w:val="1"/>
    <w:semiHidden/>
    <w:unhideWhenUsed/>
    <w:qFormat/>
    <w:uiPriority w:val="99"/>
    <w:pPr>
      <w:spacing w:before="120"/>
    </w:pPr>
    <w:rPr>
      <w:rFonts w:asciiTheme="majorHAnsi" w:hAnsiTheme="majorHAnsi" w:cstheme="majorBidi"/>
      <w:sz w:val="24"/>
    </w:rPr>
  </w:style>
  <w:style w:type="paragraph" w:styleId="33">
    <w:name w:val="annotation text"/>
    <w:basedOn w:val="1"/>
    <w:link w:val="365"/>
    <w:semiHidden/>
    <w:unhideWhenUsed/>
    <w:qFormat/>
    <w:uiPriority w:val="99"/>
  </w:style>
  <w:style w:type="paragraph" w:styleId="34">
    <w:name w:val="index 6"/>
    <w:basedOn w:val="1"/>
    <w:next w:val="1"/>
    <w:semiHidden/>
    <w:unhideWhenUsed/>
    <w:qFormat/>
    <w:uiPriority w:val="99"/>
    <w:pPr>
      <w:ind w:left="1000" w:leftChars="1000"/>
    </w:pPr>
  </w:style>
  <w:style w:type="paragraph" w:styleId="35">
    <w:name w:val="Salutation"/>
    <w:basedOn w:val="1"/>
    <w:next w:val="1"/>
    <w:link w:val="353"/>
    <w:semiHidden/>
    <w:unhideWhenUsed/>
    <w:qFormat/>
    <w:uiPriority w:val="99"/>
  </w:style>
  <w:style w:type="paragraph" w:styleId="36">
    <w:name w:val="Body Text 3"/>
    <w:basedOn w:val="1"/>
    <w:link w:val="486"/>
    <w:unhideWhenUsed/>
    <w:qFormat/>
    <w:uiPriority w:val="99"/>
    <w:pPr>
      <w:spacing w:after="120"/>
    </w:pPr>
    <w:rPr>
      <w:sz w:val="16"/>
      <w:szCs w:val="16"/>
    </w:rPr>
  </w:style>
  <w:style w:type="paragraph" w:styleId="37">
    <w:name w:val="Closing"/>
    <w:basedOn w:val="1"/>
    <w:link w:val="358"/>
    <w:semiHidden/>
    <w:unhideWhenUsed/>
    <w:qFormat/>
    <w:uiPriority w:val="99"/>
    <w:pPr>
      <w:ind w:left="100" w:leftChars="2100"/>
    </w:pPr>
  </w:style>
  <w:style w:type="paragraph" w:styleId="38">
    <w:name w:val="List Bullet 3"/>
    <w:basedOn w:val="1"/>
    <w:semiHidden/>
    <w:unhideWhenUsed/>
    <w:qFormat/>
    <w:uiPriority w:val="99"/>
    <w:pPr>
      <w:numPr>
        <w:ilvl w:val="0"/>
        <w:numId w:val="5"/>
      </w:numPr>
      <w:contextualSpacing/>
    </w:pPr>
  </w:style>
  <w:style w:type="paragraph" w:styleId="39">
    <w:name w:val="Body Text"/>
    <w:basedOn w:val="1"/>
    <w:link w:val="332"/>
    <w:unhideWhenUsed/>
    <w:qFormat/>
    <w:uiPriority w:val="99"/>
    <w:pPr>
      <w:spacing w:after="120"/>
    </w:pPr>
  </w:style>
  <w:style w:type="paragraph" w:styleId="40">
    <w:name w:val="Body Text Indent"/>
    <w:basedOn w:val="1"/>
    <w:link w:val="483"/>
    <w:semiHidden/>
    <w:unhideWhenUsed/>
    <w:qFormat/>
    <w:uiPriority w:val="99"/>
    <w:pPr>
      <w:spacing w:after="120"/>
      <w:ind w:left="420" w:leftChars="200"/>
    </w:pPr>
  </w:style>
  <w:style w:type="paragraph" w:styleId="41">
    <w:name w:val="List Number 3"/>
    <w:basedOn w:val="1"/>
    <w:semiHidden/>
    <w:unhideWhenUsed/>
    <w:qFormat/>
    <w:uiPriority w:val="99"/>
    <w:pPr>
      <w:numPr>
        <w:ilvl w:val="0"/>
        <w:numId w:val="6"/>
      </w:numPr>
      <w:contextualSpacing/>
    </w:pPr>
  </w:style>
  <w:style w:type="paragraph" w:styleId="42">
    <w:name w:val="List 2"/>
    <w:basedOn w:val="1"/>
    <w:semiHidden/>
    <w:unhideWhenUsed/>
    <w:qFormat/>
    <w:uiPriority w:val="99"/>
    <w:pPr>
      <w:ind w:left="100" w:leftChars="200" w:hanging="200" w:hangingChars="200"/>
      <w:contextualSpacing/>
    </w:pPr>
  </w:style>
  <w:style w:type="paragraph" w:styleId="43">
    <w:name w:val="List Continue"/>
    <w:basedOn w:val="1"/>
    <w:semiHidden/>
    <w:unhideWhenUsed/>
    <w:qFormat/>
    <w:uiPriority w:val="99"/>
    <w:pPr>
      <w:spacing w:after="120"/>
      <w:ind w:left="420" w:leftChars="200"/>
      <w:contextualSpacing/>
    </w:pPr>
  </w:style>
  <w:style w:type="paragraph" w:styleId="44">
    <w:name w:val="Block Text"/>
    <w:basedOn w:val="1"/>
    <w:semiHidden/>
    <w:unhideWhenUsed/>
    <w:qFormat/>
    <w:uiPriority w:val="99"/>
    <w:pPr>
      <w:spacing w:after="120"/>
      <w:ind w:left="1440" w:leftChars="700" w:right="1440" w:rightChars="700"/>
    </w:pPr>
  </w:style>
  <w:style w:type="paragraph" w:styleId="45">
    <w:name w:val="List Bullet 2"/>
    <w:basedOn w:val="1"/>
    <w:semiHidden/>
    <w:unhideWhenUsed/>
    <w:qFormat/>
    <w:uiPriority w:val="99"/>
    <w:pPr>
      <w:numPr>
        <w:ilvl w:val="0"/>
        <w:numId w:val="7"/>
      </w:numPr>
      <w:contextualSpacing/>
    </w:pPr>
  </w:style>
  <w:style w:type="paragraph" w:styleId="46">
    <w:name w:val="HTML Address"/>
    <w:basedOn w:val="1"/>
    <w:semiHidden/>
    <w:qFormat/>
    <w:uiPriority w:val="0"/>
    <w:rPr>
      <w:i/>
      <w:iCs/>
    </w:rPr>
  </w:style>
  <w:style w:type="paragraph" w:styleId="47">
    <w:name w:val="index 4"/>
    <w:basedOn w:val="1"/>
    <w:next w:val="1"/>
    <w:semiHidden/>
    <w:unhideWhenUsed/>
    <w:qFormat/>
    <w:uiPriority w:val="99"/>
    <w:pPr>
      <w:ind w:left="600" w:leftChars="600"/>
    </w:pPr>
  </w:style>
  <w:style w:type="paragraph" w:styleId="48">
    <w:name w:val="Plain Text"/>
    <w:basedOn w:val="1"/>
    <w:link w:val="354"/>
    <w:semiHidden/>
    <w:unhideWhenUsed/>
    <w:qFormat/>
    <w:uiPriority w:val="99"/>
    <w:rPr>
      <w:rFonts w:ascii="宋体" w:hAnsi="Courier New" w:cs="Courier New"/>
      <w:szCs w:val="21"/>
    </w:rPr>
  </w:style>
  <w:style w:type="paragraph" w:styleId="49">
    <w:name w:val="List Bullet 5"/>
    <w:basedOn w:val="1"/>
    <w:semiHidden/>
    <w:unhideWhenUsed/>
    <w:qFormat/>
    <w:uiPriority w:val="99"/>
    <w:pPr>
      <w:numPr>
        <w:ilvl w:val="0"/>
        <w:numId w:val="8"/>
      </w:numPr>
      <w:contextualSpacing/>
    </w:pPr>
  </w:style>
  <w:style w:type="paragraph" w:styleId="50">
    <w:name w:val="List Number 4"/>
    <w:basedOn w:val="1"/>
    <w:semiHidden/>
    <w:unhideWhenUsed/>
    <w:qFormat/>
    <w:uiPriority w:val="99"/>
    <w:pPr>
      <w:numPr>
        <w:ilvl w:val="0"/>
        <w:numId w:val="9"/>
      </w:numPr>
      <w:contextualSpacing/>
    </w:pPr>
  </w:style>
  <w:style w:type="paragraph" w:styleId="51">
    <w:name w:val="toc 8"/>
    <w:basedOn w:val="14"/>
    <w:next w:val="1"/>
    <w:qFormat/>
    <w:uiPriority w:val="39"/>
  </w:style>
  <w:style w:type="paragraph" w:styleId="52">
    <w:name w:val="index 3"/>
    <w:basedOn w:val="1"/>
    <w:next w:val="1"/>
    <w:semiHidden/>
    <w:unhideWhenUsed/>
    <w:qFormat/>
    <w:uiPriority w:val="99"/>
    <w:pPr>
      <w:ind w:left="400" w:leftChars="400"/>
    </w:pPr>
  </w:style>
  <w:style w:type="paragraph" w:styleId="53">
    <w:name w:val="Date"/>
    <w:basedOn w:val="1"/>
    <w:next w:val="1"/>
    <w:link w:val="417"/>
    <w:semiHidden/>
    <w:unhideWhenUsed/>
    <w:qFormat/>
    <w:uiPriority w:val="99"/>
    <w:pPr>
      <w:ind w:left="100" w:leftChars="2500"/>
    </w:pPr>
  </w:style>
  <w:style w:type="paragraph" w:styleId="54">
    <w:name w:val="Body Text Indent 2"/>
    <w:basedOn w:val="1"/>
    <w:link w:val="487"/>
    <w:semiHidden/>
    <w:unhideWhenUsed/>
    <w:qFormat/>
    <w:uiPriority w:val="99"/>
    <w:pPr>
      <w:spacing w:after="120" w:line="480" w:lineRule="auto"/>
      <w:ind w:left="420" w:leftChars="200"/>
    </w:pPr>
  </w:style>
  <w:style w:type="paragraph" w:styleId="55">
    <w:name w:val="endnote text"/>
    <w:basedOn w:val="1"/>
    <w:link w:val="470"/>
    <w:semiHidden/>
    <w:unhideWhenUsed/>
    <w:qFormat/>
    <w:uiPriority w:val="99"/>
    <w:pPr>
      <w:snapToGrid w:val="0"/>
    </w:pPr>
  </w:style>
  <w:style w:type="paragraph" w:styleId="56">
    <w:name w:val="List Continue 5"/>
    <w:basedOn w:val="1"/>
    <w:semiHidden/>
    <w:unhideWhenUsed/>
    <w:qFormat/>
    <w:uiPriority w:val="99"/>
    <w:pPr>
      <w:spacing w:after="120"/>
      <w:ind w:left="2100" w:leftChars="1000"/>
      <w:contextualSpacing/>
    </w:pPr>
  </w:style>
  <w:style w:type="paragraph" w:styleId="57">
    <w:name w:val="Balloon Text"/>
    <w:basedOn w:val="1"/>
    <w:link w:val="364"/>
    <w:semiHidden/>
    <w:unhideWhenUsed/>
    <w:qFormat/>
    <w:uiPriority w:val="99"/>
    <w:rPr>
      <w:sz w:val="18"/>
      <w:szCs w:val="18"/>
    </w:rPr>
  </w:style>
  <w:style w:type="paragraph" w:styleId="58">
    <w:name w:val="footer"/>
    <w:basedOn w:val="1"/>
    <w:semiHidden/>
    <w:qFormat/>
    <w:uiPriority w:val="0"/>
    <w:pPr>
      <w:tabs>
        <w:tab w:val="center" w:pos="4153"/>
        <w:tab w:val="right" w:pos="8306"/>
      </w:tabs>
      <w:snapToGrid w:val="0"/>
      <w:ind w:right="210" w:rightChars="100"/>
      <w:jc w:val="right"/>
    </w:pPr>
    <w:rPr>
      <w:sz w:val="18"/>
      <w:szCs w:val="18"/>
    </w:rPr>
  </w:style>
  <w:style w:type="paragraph" w:styleId="59">
    <w:name w:val="envelope return"/>
    <w:basedOn w:val="1"/>
    <w:semiHidden/>
    <w:unhideWhenUsed/>
    <w:qFormat/>
    <w:uiPriority w:val="99"/>
    <w:pPr>
      <w:snapToGrid w:val="0"/>
    </w:pPr>
    <w:rPr>
      <w:rFonts w:asciiTheme="majorHAnsi" w:hAnsiTheme="majorHAnsi" w:eastAsiaTheme="majorEastAsia" w:cstheme="majorBidi"/>
    </w:rPr>
  </w:style>
  <w:style w:type="paragraph" w:styleId="60">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61">
    <w:name w:val="Signature"/>
    <w:basedOn w:val="1"/>
    <w:link w:val="367"/>
    <w:semiHidden/>
    <w:unhideWhenUsed/>
    <w:qFormat/>
    <w:uiPriority w:val="99"/>
    <w:pPr>
      <w:ind w:left="100" w:leftChars="2100"/>
    </w:pPr>
  </w:style>
  <w:style w:type="paragraph" w:styleId="62">
    <w:name w:val="toc 1"/>
    <w:basedOn w:val="1"/>
    <w:next w:val="1"/>
    <w:qFormat/>
    <w:uiPriority w:val="39"/>
    <w:pPr>
      <w:spacing w:before="25" w:beforeLines="25" w:after="25" w:afterLines="25"/>
      <w:jc w:val="both"/>
    </w:pPr>
    <w:rPr>
      <w:rFonts w:ascii="宋体"/>
    </w:rPr>
  </w:style>
  <w:style w:type="paragraph" w:styleId="63">
    <w:name w:val="List Continue 4"/>
    <w:basedOn w:val="1"/>
    <w:semiHidden/>
    <w:unhideWhenUsed/>
    <w:qFormat/>
    <w:uiPriority w:val="99"/>
    <w:pPr>
      <w:spacing w:after="120"/>
      <w:ind w:left="1680" w:leftChars="800"/>
      <w:contextualSpacing/>
    </w:pPr>
  </w:style>
  <w:style w:type="paragraph" w:styleId="64">
    <w:name w:val="index heading"/>
    <w:basedOn w:val="1"/>
    <w:next w:val="65"/>
    <w:semiHidden/>
    <w:unhideWhenUsed/>
    <w:qFormat/>
    <w:uiPriority w:val="99"/>
    <w:pPr>
      <w:spacing w:before="100" w:beforeLines="100" w:after="100" w:afterLines="100"/>
      <w:jc w:val="center"/>
    </w:pPr>
    <w:rPr>
      <w:rFonts w:eastAsia="黑体" w:asciiTheme="majorHAnsi" w:hAnsiTheme="majorHAnsi" w:cstheme="majorBidi"/>
      <w:b/>
      <w:bCs/>
    </w:rPr>
  </w:style>
  <w:style w:type="paragraph" w:styleId="65">
    <w:name w:val="index 1"/>
    <w:basedOn w:val="1"/>
    <w:next w:val="1"/>
    <w:semiHidden/>
    <w:unhideWhenUsed/>
    <w:qFormat/>
    <w:uiPriority w:val="99"/>
    <w:rPr>
      <w:rFonts w:asciiTheme="minorEastAsia" w:hAnsiTheme="minorEastAsia"/>
    </w:rPr>
  </w:style>
  <w:style w:type="paragraph" w:styleId="66">
    <w:name w:val="Subtitle"/>
    <w:basedOn w:val="1"/>
    <w:next w:val="1"/>
    <w:link w:val="356"/>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semiHidden/>
    <w:unhideWhenUsed/>
    <w:qFormat/>
    <w:uiPriority w:val="99"/>
    <w:pPr>
      <w:numPr>
        <w:ilvl w:val="0"/>
        <w:numId w:val="10"/>
      </w:numPr>
      <w:contextualSpacing/>
    </w:pPr>
  </w:style>
  <w:style w:type="paragraph" w:styleId="68">
    <w:name w:val="List"/>
    <w:basedOn w:val="1"/>
    <w:semiHidden/>
    <w:unhideWhenUsed/>
    <w:qFormat/>
    <w:uiPriority w:val="99"/>
    <w:pPr>
      <w:ind w:left="200" w:hanging="200" w:hangingChars="200"/>
      <w:contextualSpacing/>
    </w:pPr>
  </w:style>
  <w:style w:type="paragraph" w:styleId="69">
    <w:name w:val="footnote text"/>
    <w:basedOn w:val="1"/>
    <w:semiHidden/>
    <w:qFormat/>
    <w:uiPriority w:val="0"/>
    <w:pPr>
      <w:snapToGrid w:val="0"/>
      <w:ind w:left="400" w:leftChars="200" w:hanging="200" w:hangingChars="200"/>
    </w:pPr>
    <w:rPr>
      <w:sz w:val="18"/>
      <w:szCs w:val="18"/>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488"/>
    <w:semiHidden/>
    <w:unhideWhenUsed/>
    <w:qFormat/>
    <w:uiPriority w:val="99"/>
    <w:pPr>
      <w:spacing w:after="120"/>
      <w:ind w:left="420" w:leftChars="200"/>
    </w:pPr>
    <w:rPr>
      <w:sz w:val="16"/>
      <w:szCs w:val="16"/>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qFormat/>
    <w:uiPriority w:val="0"/>
  </w:style>
  <w:style w:type="paragraph" w:styleId="75">
    <w:name w:val="toc 9"/>
    <w:basedOn w:val="51"/>
    <w:next w:val="1"/>
    <w:qFormat/>
    <w:uiPriority w:val="39"/>
  </w:style>
  <w:style w:type="paragraph" w:styleId="76">
    <w:name w:val="Body Text 2"/>
    <w:basedOn w:val="1"/>
    <w:link w:val="485"/>
    <w:semiHidden/>
    <w:unhideWhenUsed/>
    <w:qFormat/>
    <w:uiPriority w:val="99"/>
    <w:pPr>
      <w:spacing w:after="120" w:line="480" w:lineRule="auto"/>
    </w:pPr>
  </w:style>
  <w:style w:type="paragraph" w:styleId="77">
    <w:name w:val="List 4"/>
    <w:basedOn w:val="1"/>
    <w:semiHidden/>
    <w:unhideWhenUsed/>
    <w:qFormat/>
    <w:uiPriority w:val="99"/>
    <w:pPr>
      <w:ind w:left="100" w:leftChars="600" w:hanging="200" w:hangingChars="200"/>
      <w:contextualSpacing/>
    </w:pPr>
  </w:style>
  <w:style w:type="paragraph" w:styleId="78">
    <w:name w:val="List Continue 2"/>
    <w:basedOn w:val="1"/>
    <w:semiHidden/>
    <w:unhideWhenUsed/>
    <w:qFormat/>
    <w:uiPriority w:val="99"/>
    <w:pPr>
      <w:spacing w:after="120"/>
      <w:ind w:left="840" w:leftChars="400"/>
      <w:contextualSpacing/>
    </w:pPr>
  </w:style>
  <w:style w:type="paragraph" w:styleId="79">
    <w:name w:val="Message Header"/>
    <w:basedOn w:val="1"/>
    <w:link w:val="478"/>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semiHidden/>
    <w:qFormat/>
    <w:uiPriority w:val="0"/>
    <w:rPr>
      <w:rFonts w:ascii="Courier New" w:hAnsi="Courier New" w:cs="Courier New"/>
      <w:sz w:val="20"/>
      <w:szCs w:val="20"/>
    </w:rPr>
  </w:style>
  <w:style w:type="paragraph" w:styleId="81">
    <w:name w:val="Normal (Web)"/>
    <w:basedOn w:val="1"/>
    <w:semiHidden/>
    <w:unhideWhenUsed/>
    <w:qFormat/>
    <w:uiPriority w:val="99"/>
    <w:pPr>
      <w:spacing w:beforeAutospacing="1" w:afterAutospacing="1"/>
    </w:pPr>
    <w:rPr>
      <w:kern w:val="0"/>
      <w:sz w:val="24"/>
    </w:rPr>
  </w:style>
  <w:style w:type="paragraph" w:styleId="82">
    <w:name w:val="List Continue 3"/>
    <w:basedOn w:val="1"/>
    <w:semiHidden/>
    <w:unhideWhenUsed/>
    <w:qFormat/>
    <w:uiPriority w:val="99"/>
    <w:pPr>
      <w:spacing w:after="120"/>
      <w:ind w:left="1260" w:leftChars="600"/>
      <w:contextualSpacing/>
    </w:pPr>
  </w:style>
  <w:style w:type="paragraph" w:styleId="83">
    <w:name w:val="index 2"/>
    <w:basedOn w:val="1"/>
    <w:next w:val="1"/>
    <w:semiHidden/>
    <w:unhideWhenUsed/>
    <w:qFormat/>
    <w:uiPriority w:val="99"/>
    <w:pPr>
      <w:ind w:left="200" w:leftChars="200"/>
    </w:pPr>
  </w:style>
  <w:style w:type="paragraph" w:styleId="84">
    <w:name w:val="Title"/>
    <w:basedOn w:val="1"/>
    <w:qFormat/>
    <w:uiPriority w:val="0"/>
    <w:pPr>
      <w:spacing w:before="240" w:after="60"/>
      <w:jc w:val="center"/>
      <w:outlineLvl w:val="0"/>
    </w:pPr>
    <w:rPr>
      <w:rFonts w:ascii="Arial" w:hAnsi="Arial" w:cs="Arial"/>
      <w:b/>
      <w:bCs/>
      <w:sz w:val="32"/>
      <w:szCs w:val="32"/>
    </w:rPr>
  </w:style>
  <w:style w:type="paragraph" w:styleId="85">
    <w:name w:val="annotation subject"/>
    <w:basedOn w:val="33"/>
    <w:next w:val="33"/>
    <w:link w:val="366"/>
    <w:semiHidden/>
    <w:unhideWhenUsed/>
    <w:qFormat/>
    <w:uiPriority w:val="99"/>
    <w:rPr>
      <w:b/>
      <w:bCs/>
    </w:rPr>
  </w:style>
  <w:style w:type="paragraph" w:styleId="86">
    <w:name w:val="Body Text First Indent"/>
    <w:basedOn w:val="39"/>
    <w:link w:val="482"/>
    <w:semiHidden/>
    <w:unhideWhenUsed/>
    <w:qFormat/>
    <w:uiPriority w:val="99"/>
    <w:pPr>
      <w:ind w:firstLine="420" w:firstLineChars="100"/>
    </w:pPr>
  </w:style>
  <w:style w:type="paragraph" w:styleId="87">
    <w:name w:val="Body Text First Indent 2"/>
    <w:basedOn w:val="40"/>
    <w:link w:val="484"/>
    <w:semiHidden/>
    <w:unhideWhenUsed/>
    <w:qFormat/>
    <w:uiPriority w:val="99"/>
    <w:pPr>
      <w:ind w:firstLine="420" w:firstLineChars="200"/>
    </w:pPr>
  </w:style>
  <w:style w:type="table" w:styleId="89">
    <w:name w:val="Table Grid"/>
    <w:basedOn w:val="8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qFormat/>
    <w:uiPriority w:val="22"/>
    <w:rPr>
      <w:b/>
      <w:bCs/>
    </w:rPr>
  </w:style>
  <w:style w:type="character" w:styleId="233">
    <w:name w:val="endnote reference"/>
    <w:basedOn w:val="231"/>
    <w:semiHidden/>
    <w:unhideWhenUsed/>
    <w:qFormat/>
    <w:uiPriority w:val="99"/>
    <w:rPr>
      <w:vertAlign w:val="superscript"/>
    </w:rPr>
  </w:style>
  <w:style w:type="character" w:styleId="234">
    <w:name w:val="page number"/>
    <w:basedOn w:val="231"/>
    <w:semiHidden/>
    <w:qFormat/>
    <w:uiPriority w:val="0"/>
    <w:rPr>
      <w:rFonts w:ascii="Times New Roman" w:hAnsi="Times New Roman" w:eastAsia="宋体"/>
      <w:sz w:val="18"/>
    </w:rPr>
  </w:style>
  <w:style w:type="character" w:styleId="235">
    <w:name w:val="FollowedHyperlink"/>
    <w:basedOn w:val="231"/>
    <w:semiHidden/>
    <w:unhideWhenUsed/>
    <w:qFormat/>
    <w:uiPriority w:val="99"/>
    <w:rPr>
      <w:color w:val="954F72" w:themeColor="followedHyperlink"/>
      <w:u w:val="single"/>
      <w14:textFill>
        <w14:solidFill>
          <w14:schemeClr w14:val="folHlink"/>
        </w14:solidFill>
      </w14:textFill>
    </w:rPr>
  </w:style>
  <w:style w:type="character" w:styleId="236">
    <w:name w:val="Emphasis"/>
    <w:basedOn w:val="231"/>
    <w:qFormat/>
    <w:uiPriority w:val="20"/>
    <w:rPr>
      <w:i/>
      <w:iCs/>
    </w:rPr>
  </w:style>
  <w:style w:type="character" w:styleId="237">
    <w:name w:val="line number"/>
    <w:basedOn w:val="231"/>
    <w:semiHidden/>
    <w:unhideWhenUsed/>
    <w:qFormat/>
    <w:uiPriority w:val="99"/>
  </w:style>
  <w:style w:type="character" w:styleId="238">
    <w:name w:val="HTML Definition"/>
    <w:basedOn w:val="231"/>
    <w:semiHidden/>
    <w:qFormat/>
    <w:uiPriority w:val="0"/>
    <w:rPr>
      <w:i/>
      <w:iCs/>
    </w:rPr>
  </w:style>
  <w:style w:type="character" w:styleId="239">
    <w:name w:val="HTML Typewriter"/>
    <w:basedOn w:val="231"/>
    <w:semiHidden/>
    <w:qFormat/>
    <w:uiPriority w:val="0"/>
    <w:rPr>
      <w:rFonts w:ascii="Courier New" w:hAnsi="Courier New"/>
      <w:sz w:val="20"/>
      <w:szCs w:val="20"/>
    </w:rPr>
  </w:style>
  <w:style w:type="character" w:styleId="240">
    <w:name w:val="HTML Acronym"/>
    <w:basedOn w:val="231"/>
    <w:semiHidden/>
    <w:qFormat/>
    <w:uiPriority w:val="0"/>
  </w:style>
  <w:style w:type="character" w:styleId="241">
    <w:name w:val="HTML Variable"/>
    <w:basedOn w:val="231"/>
    <w:semiHidden/>
    <w:qFormat/>
    <w:uiPriority w:val="0"/>
    <w:rPr>
      <w:i/>
      <w:iCs/>
    </w:rPr>
  </w:style>
  <w:style w:type="character" w:styleId="242">
    <w:name w:val="Hyperlink"/>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semiHidden/>
    <w:qFormat/>
    <w:uiPriority w:val="0"/>
    <w:rPr>
      <w:rFonts w:ascii="Courier New" w:hAnsi="Courier New"/>
      <w:sz w:val="20"/>
      <w:szCs w:val="20"/>
    </w:rPr>
  </w:style>
  <w:style w:type="character" w:styleId="244">
    <w:name w:val="annotation reference"/>
    <w:basedOn w:val="231"/>
    <w:semiHidden/>
    <w:unhideWhenUsed/>
    <w:qFormat/>
    <w:uiPriority w:val="99"/>
    <w:rPr>
      <w:sz w:val="21"/>
      <w:szCs w:val="21"/>
    </w:rPr>
  </w:style>
  <w:style w:type="character" w:styleId="245">
    <w:name w:val="HTML Cite"/>
    <w:basedOn w:val="231"/>
    <w:semiHidden/>
    <w:qFormat/>
    <w:uiPriority w:val="0"/>
    <w:rPr>
      <w:i/>
      <w:iCs/>
    </w:rPr>
  </w:style>
  <w:style w:type="character" w:styleId="246">
    <w:name w:val="footnote reference"/>
    <w:basedOn w:val="231"/>
    <w:semiHidden/>
    <w:qFormat/>
    <w:uiPriority w:val="0"/>
    <w:rPr>
      <w:vertAlign w:val="superscript"/>
    </w:rPr>
  </w:style>
  <w:style w:type="character" w:styleId="247">
    <w:name w:val="HTML Keyboard"/>
    <w:basedOn w:val="231"/>
    <w:semiHidden/>
    <w:qFormat/>
    <w:uiPriority w:val="0"/>
    <w:rPr>
      <w:rFonts w:ascii="Courier New" w:hAnsi="Courier New"/>
      <w:sz w:val="20"/>
      <w:szCs w:val="20"/>
    </w:rPr>
  </w:style>
  <w:style w:type="character" w:styleId="248">
    <w:name w:val="HTML Sample"/>
    <w:basedOn w:val="231"/>
    <w:semiHidden/>
    <w:qFormat/>
    <w:uiPriority w:val="0"/>
    <w:rPr>
      <w:rFonts w:ascii="Courier New" w:hAnsi="Courier New"/>
    </w:rPr>
  </w:style>
  <w:style w:type="paragraph" w:customStyle="1" w:styleId="249">
    <w:name w:val="标准标志H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0">
    <w:name w:val="标准称谓GB"/>
    <w:next w:val="1"/>
    <w:qFormat/>
    <w:uiPriority w:val="0"/>
    <w:pPr>
      <w:widowControl w:val="0"/>
      <w:kinsoku w:val="0"/>
      <w:overflowPunct w:val="0"/>
      <w:autoSpaceDE w:val="0"/>
      <w:autoSpaceDN w:val="0"/>
      <w:spacing w:line="0" w:lineRule="atLeast"/>
      <w:jc w:val="distribute"/>
    </w:pPr>
    <w:rPr>
      <w:rFonts w:hint="eastAsia" w:ascii="宋体" w:hAnsi="宋体" w:eastAsia="宋体" w:cs="宋体"/>
      <w:b/>
      <w:bCs/>
      <w:w w:val="135"/>
      <w:sz w:val="52"/>
      <w:lang w:val="en-US" w:eastAsia="zh-CN" w:bidi="ar-SA"/>
    </w:rPr>
  </w:style>
  <w:style w:type="paragraph" w:customStyle="1" w:styleId="251">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252">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253">
    <w:name w:val="标准书眉_奇数页"/>
    <w:next w:val="1"/>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254">
    <w:name w:val="标准书眉_偶数页"/>
    <w:basedOn w:val="253"/>
    <w:next w:val="1"/>
    <w:qFormat/>
    <w:uiPriority w:val="0"/>
    <w:pPr>
      <w:jc w:val="left"/>
    </w:pPr>
  </w:style>
  <w:style w:type="paragraph" w:customStyle="1" w:styleId="255">
    <w:name w:val="标准书眉一"/>
    <w:qFormat/>
    <w:uiPriority w:val="0"/>
    <w:pPr>
      <w:jc w:val="both"/>
    </w:pPr>
    <w:rPr>
      <w:rFonts w:ascii="Times New Roman" w:hAnsi="Times New Roman" w:eastAsia="宋体" w:cs="Times New Roman"/>
      <w:lang w:val="en-US" w:eastAsia="zh-CN" w:bidi="ar-SA"/>
    </w:rPr>
  </w:style>
  <w:style w:type="paragraph" w:customStyle="1" w:styleId="256">
    <w:name w:val="前言、引言标题"/>
    <w:next w:val="1"/>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57">
    <w:name w:val="参考文献、索引标题"/>
    <w:basedOn w:val="256"/>
    <w:next w:val="1"/>
    <w:qFormat/>
    <w:uiPriority w:val="0"/>
    <w:pPr>
      <w:spacing w:after="200"/>
    </w:pPr>
    <w:rPr>
      <w:sz w:val="21"/>
    </w:rPr>
  </w:style>
  <w:style w:type="paragraph" w:customStyle="1" w:styleId="258">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59">
    <w:name w:val="章标题"/>
    <w:next w:val="258"/>
    <w:qFormat/>
    <w:uiPriority w:val="0"/>
    <w:pPr>
      <w:numPr>
        <w:ilvl w:val="0"/>
        <w:numId w:val="1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0">
    <w:name w:val="一级条标题"/>
    <w:next w:val="1"/>
    <w:link w:val="542"/>
    <w:qFormat/>
    <w:uiPriority w:val="0"/>
    <w:pPr>
      <w:numPr>
        <w:ilvl w:val="1"/>
        <w:numId w:val="11"/>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1">
    <w:name w:val="二级条标题"/>
    <w:basedOn w:val="260"/>
    <w:next w:val="258"/>
    <w:qFormat/>
    <w:uiPriority w:val="0"/>
    <w:pPr>
      <w:numPr>
        <w:ilvl w:val="2"/>
      </w:numPr>
      <w:spacing w:before="50" w:after="50"/>
      <w:ind w:left="0"/>
      <w:outlineLvl w:val="3"/>
    </w:pPr>
  </w:style>
  <w:style w:type="character" w:customStyle="1" w:styleId="262">
    <w:name w:val="发布_1"/>
    <w:basedOn w:val="231"/>
    <w:qFormat/>
    <w:uiPriority w:val="0"/>
    <w:rPr>
      <w:rFonts w:ascii="黑体" w:eastAsia="黑体"/>
      <w:spacing w:val="22"/>
      <w:w w:val="100"/>
      <w:position w:val="3"/>
      <w:sz w:val="28"/>
    </w:rPr>
  </w:style>
  <w:style w:type="paragraph" w:customStyle="1" w:styleId="263">
    <w:name w:val="发布部门GB"/>
    <w:next w:val="258"/>
    <w:qFormat/>
    <w:uiPriority w:val="0"/>
    <w:pPr>
      <w:spacing w:line="360" w:lineRule="exact"/>
      <w:jc w:val="center"/>
    </w:pPr>
    <w:rPr>
      <w:rFonts w:hint="eastAsia" w:ascii="宋体" w:hAnsi="宋体" w:eastAsia="宋体" w:cs="宋体"/>
      <w:b/>
      <w:spacing w:val="30"/>
      <w:w w:val="95"/>
      <w:sz w:val="36"/>
      <w:lang w:val="en-US" w:eastAsia="zh-CN" w:bidi="ar-SA"/>
    </w:rPr>
  </w:style>
  <w:style w:type="paragraph" w:customStyle="1" w:styleId="264">
    <w:name w:val="发布日期"/>
    <w:qFormat/>
    <w:uiPriority w:val="0"/>
    <w:rPr>
      <w:rFonts w:ascii="黑体" w:hAnsi="黑体" w:eastAsia="黑体" w:cs="Times New Roman"/>
      <w:sz w:val="28"/>
      <w:lang w:val="en-US" w:eastAsia="zh-CN" w:bidi="ar-SA"/>
    </w:rPr>
  </w:style>
  <w:style w:type="paragraph" w:customStyle="1" w:styleId="265">
    <w:name w:val="封面标准号1"/>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66">
    <w:name w:val="封面标准号2"/>
    <w:basedOn w:val="265"/>
    <w:qFormat/>
    <w:uiPriority w:val="0"/>
    <w:pPr>
      <w:adjustRightInd w:val="0"/>
      <w:spacing w:before="357" w:line="280" w:lineRule="exact"/>
    </w:pPr>
  </w:style>
  <w:style w:type="paragraph" w:customStyle="1" w:styleId="267">
    <w:name w:val="封面标准代替信息"/>
    <w:basedOn w:val="266"/>
    <w:qFormat/>
    <w:uiPriority w:val="0"/>
    <w:pPr>
      <w:spacing w:before="0" w:line="360" w:lineRule="exact"/>
    </w:pPr>
    <w:rPr>
      <w:rFonts w:ascii="宋体" w:eastAsiaTheme="minorEastAsia"/>
      <w:sz w:val="21"/>
    </w:rPr>
  </w:style>
  <w:style w:type="paragraph" w:customStyle="1" w:styleId="268">
    <w:name w:val="封面标准名称"/>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1">
    <w:name w:val="封面标准英文名称"/>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2">
    <w:name w:val="封面一致性程度标识"/>
    <w:qFormat/>
    <w:uiPriority w:val="0"/>
    <w:pPr>
      <w:spacing w:before="400" w:line="400" w:lineRule="exact"/>
      <w:jc w:val="center"/>
    </w:pPr>
    <w:rPr>
      <w:rFonts w:ascii="宋体" w:hAnsi="Times New Roman" w:eastAsia="宋体" w:cs="Times New Roman"/>
      <w:sz w:val="28"/>
      <w:lang w:val="en-US" w:eastAsia="zh-CN" w:bidi="ar-SA"/>
    </w:rPr>
  </w:style>
  <w:style w:type="paragraph" w:customStyle="1" w:styleId="273">
    <w:name w:val="封面正文"/>
    <w:qFormat/>
    <w:uiPriority w:val="0"/>
    <w:pPr>
      <w:jc w:val="both"/>
    </w:pPr>
    <w:rPr>
      <w:rFonts w:ascii="Times New Roman" w:hAnsi="Times New Roman" w:eastAsia="宋体" w:cs="Times New Roman"/>
      <w:lang w:val="en-US" w:eastAsia="zh-CN" w:bidi="ar-SA"/>
    </w:rPr>
  </w:style>
  <w:style w:type="paragraph" w:customStyle="1" w:styleId="274">
    <w:name w:val="附录标识"/>
    <w:basedOn w:val="256"/>
    <w:next w:val="1"/>
    <w:qFormat/>
    <w:uiPriority w:val="0"/>
    <w:pPr>
      <w:keepNext/>
      <w:numPr>
        <w:ilvl w:val="0"/>
        <w:numId w:val="12"/>
      </w:numPr>
      <w:shd w:val="clear" w:color="FFFFFF" w:fill="FFFFFF"/>
      <w:tabs>
        <w:tab w:val="left" w:pos="6405"/>
      </w:tabs>
      <w:spacing w:before="640" w:after="280"/>
      <w:jc w:val="center"/>
      <w:outlineLvl w:val="0"/>
    </w:pPr>
    <w:rPr>
      <w:rFonts w:ascii="黑体" w:eastAsia="黑体"/>
      <w:kern w:val="0"/>
      <w:szCs w:val="20"/>
    </w:rPr>
  </w:style>
  <w:style w:type="paragraph" w:customStyle="1" w:styleId="275">
    <w:name w:val="附录表标题"/>
    <w:basedOn w:val="1"/>
    <w:next w:val="1"/>
    <w:qFormat/>
    <w:uiPriority w:val="0"/>
    <w:pPr>
      <w:numPr>
        <w:ilvl w:val="1"/>
        <w:numId w:val="13"/>
      </w:numPr>
      <w:spacing w:before="50" w:beforeLines="50" w:after="50" w:afterLines="50"/>
      <w:jc w:val="center"/>
    </w:pPr>
    <w:rPr>
      <w:rFonts w:ascii="黑体" w:eastAsia="黑体"/>
      <w:szCs w:val="21"/>
    </w:rPr>
  </w:style>
  <w:style w:type="paragraph" w:customStyle="1" w:styleId="276">
    <w:name w:val="附录章标题"/>
    <w:next w:val="258"/>
    <w:qFormat/>
    <w:uiPriority w:val="0"/>
    <w:pPr>
      <w:numPr>
        <w:ilvl w:val="1"/>
        <w:numId w:val="12"/>
      </w:num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77">
    <w:name w:val="附录一级条标题"/>
    <w:basedOn w:val="276"/>
    <w:next w:val="258"/>
    <w:qFormat/>
    <w:uiPriority w:val="0"/>
    <w:pPr>
      <w:numPr>
        <w:ilvl w:val="2"/>
      </w:numPr>
      <w:autoSpaceDN w:val="0"/>
      <w:outlineLvl w:val="3"/>
    </w:pPr>
  </w:style>
  <w:style w:type="paragraph" w:customStyle="1" w:styleId="278">
    <w:name w:val="附录二级条标题"/>
    <w:basedOn w:val="1"/>
    <w:next w:val="258"/>
    <w:qFormat/>
    <w:uiPriority w:val="0"/>
    <w:pPr>
      <w:numPr>
        <w:ilvl w:val="3"/>
        <w:numId w:val="12"/>
      </w:numPr>
      <w:wordWrap w:val="0"/>
      <w:overflowPunct w:val="0"/>
      <w:autoSpaceDE w:val="0"/>
      <w:autoSpaceDN w:val="0"/>
      <w:spacing w:before="50" w:beforeLines="50" w:after="50" w:afterLines="50"/>
      <w:textAlignment w:val="baseline"/>
      <w:outlineLvl w:val="3"/>
    </w:pPr>
    <w:rPr>
      <w:rFonts w:ascii="黑体" w:eastAsia="黑体"/>
      <w:kern w:val="21"/>
      <w:szCs w:val="20"/>
    </w:rPr>
  </w:style>
  <w:style w:type="paragraph" w:customStyle="1" w:styleId="279">
    <w:name w:val="附录三级条标题"/>
    <w:basedOn w:val="278"/>
    <w:next w:val="258"/>
    <w:qFormat/>
    <w:uiPriority w:val="0"/>
    <w:pPr>
      <w:numPr>
        <w:ilvl w:val="4"/>
      </w:numPr>
    </w:pPr>
  </w:style>
  <w:style w:type="paragraph" w:customStyle="1" w:styleId="280">
    <w:name w:val="附录四级条标题"/>
    <w:basedOn w:val="279"/>
    <w:next w:val="258"/>
    <w:qFormat/>
    <w:uiPriority w:val="0"/>
    <w:pPr>
      <w:numPr>
        <w:ilvl w:val="5"/>
      </w:numPr>
    </w:pPr>
  </w:style>
  <w:style w:type="paragraph" w:customStyle="1" w:styleId="281">
    <w:name w:val="附录图标题"/>
    <w:basedOn w:val="1"/>
    <w:next w:val="1"/>
    <w:qFormat/>
    <w:uiPriority w:val="0"/>
    <w:pPr>
      <w:numPr>
        <w:ilvl w:val="1"/>
        <w:numId w:val="14"/>
      </w:numPr>
      <w:spacing w:before="50" w:beforeLines="50" w:after="50" w:afterLines="50"/>
      <w:jc w:val="center"/>
    </w:pPr>
    <w:rPr>
      <w:rFonts w:ascii="黑体" w:eastAsia="黑体"/>
      <w:szCs w:val="21"/>
    </w:rPr>
  </w:style>
  <w:style w:type="paragraph" w:customStyle="1" w:styleId="282">
    <w:name w:val="附录五级条标题"/>
    <w:basedOn w:val="280"/>
    <w:next w:val="258"/>
    <w:qFormat/>
    <w:uiPriority w:val="0"/>
    <w:pPr>
      <w:numPr>
        <w:ilvl w:val="6"/>
      </w:numPr>
      <w:outlineLvl w:val="6"/>
    </w:pPr>
  </w:style>
  <w:style w:type="character" w:customStyle="1" w:styleId="283">
    <w:name w:val="个人答复风格"/>
    <w:basedOn w:val="231"/>
    <w:qFormat/>
    <w:uiPriority w:val="0"/>
    <w:rPr>
      <w:rFonts w:ascii="Arial" w:hAnsi="Arial" w:eastAsia="宋体" w:cs="Arial"/>
      <w:color w:val="auto"/>
      <w:sz w:val="20"/>
    </w:rPr>
  </w:style>
  <w:style w:type="character" w:customStyle="1" w:styleId="284">
    <w:name w:val="个人撰写风格"/>
    <w:basedOn w:val="231"/>
    <w:qFormat/>
    <w:uiPriority w:val="0"/>
    <w:rPr>
      <w:rFonts w:ascii="Arial" w:hAnsi="Arial" w:eastAsia="宋体" w:cs="Arial"/>
      <w:color w:val="auto"/>
      <w:sz w:val="20"/>
    </w:rPr>
  </w:style>
  <w:style w:type="paragraph" w:customStyle="1" w:styleId="285">
    <w:name w:val="列项——"/>
    <w:qFormat/>
    <w:uiPriority w:val="0"/>
    <w:pPr>
      <w:widowControl w:val="0"/>
      <w:numPr>
        <w:ilvl w:val="0"/>
        <w:numId w:val="15"/>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286">
    <w:name w:val="目次、标准名称标题"/>
    <w:basedOn w:val="256"/>
    <w:next w:val="258"/>
    <w:qFormat/>
    <w:uiPriority w:val="0"/>
    <w:pPr>
      <w:spacing w:line="460" w:lineRule="exact"/>
      <w:outlineLvl w:val="9"/>
    </w:pPr>
  </w:style>
  <w:style w:type="paragraph" w:customStyle="1" w:styleId="28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288">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289">
    <w:name w:val="其他发布部门"/>
    <w:basedOn w:val="263"/>
    <w:qFormat/>
    <w:uiPriority w:val="0"/>
    <w:pPr>
      <w:framePr w:wrap="around" w:vAnchor="margin" w:hAnchor="text" w:y="1"/>
      <w:spacing w:line="0" w:lineRule="atLeast"/>
    </w:pPr>
    <w:rPr>
      <w:rFonts w:ascii="黑体" w:eastAsia="黑体"/>
      <w:b w:val="0"/>
    </w:rPr>
  </w:style>
  <w:style w:type="paragraph" w:customStyle="1" w:styleId="290">
    <w:name w:val="三级条标题"/>
    <w:basedOn w:val="261"/>
    <w:next w:val="258"/>
    <w:qFormat/>
    <w:uiPriority w:val="0"/>
    <w:pPr>
      <w:numPr>
        <w:ilvl w:val="3"/>
      </w:numPr>
      <w:outlineLvl w:val="4"/>
    </w:pPr>
    <w:rPr>
      <w:rFonts w:hAnsi="黑体"/>
    </w:rPr>
  </w:style>
  <w:style w:type="paragraph" w:customStyle="1" w:styleId="291">
    <w:name w:val="实施日期"/>
    <w:basedOn w:val="264"/>
    <w:qFormat/>
    <w:uiPriority w:val="0"/>
    <w:pPr>
      <w:jc w:val="right"/>
    </w:pPr>
  </w:style>
  <w:style w:type="paragraph" w:customStyle="1" w:styleId="292">
    <w:name w:val="示例"/>
    <w:next w:val="293"/>
    <w:qFormat/>
    <w:uiPriority w:val="0"/>
    <w:pPr>
      <w:widowControl w:val="0"/>
      <w:numPr>
        <w:ilvl w:val="0"/>
        <w:numId w:val="16"/>
      </w:numPr>
      <w:jc w:val="both"/>
    </w:pPr>
    <w:rPr>
      <w:rFonts w:ascii="宋体" w:hAnsi="Times New Roman" w:eastAsia="宋体" w:cs="Times New Roman"/>
      <w:sz w:val="18"/>
      <w:szCs w:val="18"/>
      <w:lang w:val="en-US" w:eastAsia="zh-CN" w:bidi="ar-SA"/>
    </w:rPr>
  </w:style>
  <w:style w:type="paragraph" w:customStyle="1" w:styleId="293">
    <w:name w:val="示例段"/>
    <w:basedOn w:val="258"/>
    <w:qFormat/>
    <w:uiPriority w:val="0"/>
    <w:pPr>
      <w:ind w:firstLine="420"/>
    </w:pPr>
    <w:rPr>
      <w:sz w:val="18"/>
    </w:rPr>
  </w:style>
  <w:style w:type="paragraph" w:customStyle="1" w:styleId="294">
    <w:name w:val="数字编号列项（二级）"/>
    <w:qFormat/>
    <w:uiPriority w:val="0"/>
    <w:pPr>
      <w:numPr>
        <w:ilvl w:val="1"/>
        <w:numId w:val="17"/>
      </w:numPr>
      <w:jc w:val="both"/>
    </w:pPr>
    <w:rPr>
      <w:rFonts w:ascii="宋体" w:hAnsi="Times New Roman" w:eastAsia="宋体" w:cs="Times New Roman"/>
      <w:sz w:val="21"/>
      <w:lang w:val="en-US" w:eastAsia="zh-CN" w:bidi="ar-SA"/>
    </w:rPr>
  </w:style>
  <w:style w:type="paragraph" w:customStyle="1" w:styleId="295">
    <w:name w:val="四级条标题"/>
    <w:basedOn w:val="290"/>
    <w:next w:val="258"/>
    <w:qFormat/>
    <w:uiPriority w:val="0"/>
    <w:pPr>
      <w:numPr>
        <w:ilvl w:val="4"/>
      </w:numPr>
      <w:outlineLvl w:val="5"/>
    </w:pPr>
  </w:style>
  <w:style w:type="paragraph" w:customStyle="1" w:styleId="296">
    <w:name w:val="条文脚注"/>
    <w:basedOn w:val="69"/>
    <w:link w:val="331"/>
    <w:qFormat/>
    <w:uiPriority w:val="0"/>
    <w:pPr>
      <w:numPr>
        <w:ilvl w:val="0"/>
        <w:numId w:val="18"/>
      </w:numPr>
      <w:ind w:firstLine="0" w:firstLineChars="0"/>
      <w:jc w:val="both"/>
    </w:pPr>
    <w:rPr>
      <w:rFonts w:ascii="宋体"/>
    </w:rPr>
  </w:style>
  <w:style w:type="paragraph" w:customStyle="1" w:styleId="297">
    <w:name w:val="图表脚注"/>
    <w:next w:val="258"/>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29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99">
    <w:name w:val="无标题条"/>
    <w:next w:val="258"/>
    <w:qFormat/>
    <w:uiPriority w:val="0"/>
    <w:pPr>
      <w:jc w:val="both"/>
    </w:pPr>
    <w:rPr>
      <w:rFonts w:ascii="Times New Roman" w:hAnsi="Times New Roman" w:eastAsia="宋体" w:cs="Times New Roman"/>
      <w:sz w:val="21"/>
      <w:lang w:val="en-US" w:eastAsia="zh-CN" w:bidi="ar-SA"/>
    </w:rPr>
  </w:style>
  <w:style w:type="paragraph" w:customStyle="1" w:styleId="300">
    <w:name w:val="五级条标题"/>
    <w:basedOn w:val="295"/>
    <w:next w:val="258"/>
    <w:qFormat/>
    <w:uiPriority w:val="0"/>
    <w:pPr>
      <w:numPr>
        <w:ilvl w:val="5"/>
      </w:numPr>
      <w:outlineLvl w:val="6"/>
    </w:pPr>
  </w:style>
  <w:style w:type="paragraph" w:customStyle="1" w:styleId="301">
    <w:name w:val="正文表标题"/>
    <w:next w:val="258"/>
    <w:qFormat/>
    <w:uiPriority w:val="0"/>
    <w:pPr>
      <w:numPr>
        <w:ilvl w:val="1"/>
        <w:numId w:val="19"/>
      </w:numPr>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02">
    <w:name w:val="正文图标题"/>
    <w:basedOn w:val="301"/>
    <w:next w:val="258"/>
    <w:qFormat/>
    <w:uiPriority w:val="0"/>
    <w:pPr>
      <w:numPr>
        <w:ilvl w:val="0"/>
        <w:numId w:val="20"/>
      </w:numPr>
    </w:pPr>
  </w:style>
  <w:style w:type="paragraph" w:customStyle="1" w:styleId="303">
    <w:name w:val="注："/>
    <w:next w:val="1"/>
    <w:qFormat/>
    <w:uiPriority w:val="0"/>
    <w:pPr>
      <w:widowControl w:val="0"/>
      <w:numPr>
        <w:ilvl w:val="0"/>
        <w:numId w:val="21"/>
      </w:numPr>
      <w:autoSpaceDE w:val="0"/>
      <w:autoSpaceDN w:val="0"/>
      <w:jc w:val="both"/>
    </w:pPr>
    <w:rPr>
      <w:rFonts w:ascii="宋体" w:hAnsi="Times New Roman" w:eastAsia="宋体" w:cs="Times New Roman"/>
      <w:sz w:val="18"/>
      <w:szCs w:val="18"/>
      <w:lang w:val="en-US" w:eastAsia="zh-CN" w:bidi="ar-SA"/>
    </w:rPr>
  </w:style>
  <w:style w:type="paragraph" w:customStyle="1" w:styleId="304">
    <w:name w:val="注×："/>
    <w:qFormat/>
    <w:uiPriority w:val="0"/>
    <w:pPr>
      <w:widowControl w:val="0"/>
      <w:numPr>
        <w:ilvl w:val="0"/>
        <w:numId w:val="22"/>
      </w:numPr>
      <w:autoSpaceDE w:val="0"/>
      <w:autoSpaceDN w:val="0"/>
      <w:jc w:val="both"/>
    </w:pPr>
    <w:rPr>
      <w:rFonts w:cs="Times New Roman" w:asciiTheme="minorHAnsi" w:hAnsiTheme="minorHAnsi" w:eastAsiaTheme="minorEastAsia"/>
      <w:sz w:val="18"/>
      <w:szCs w:val="18"/>
      <w:lang w:val="en-US" w:eastAsia="zh-CN" w:bidi="ar-SA"/>
    </w:rPr>
  </w:style>
  <w:style w:type="paragraph" w:customStyle="1" w:styleId="305">
    <w:name w:val="字母编号列项（一级）"/>
    <w:qFormat/>
    <w:uiPriority w:val="0"/>
    <w:pPr>
      <w:numPr>
        <w:ilvl w:val="0"/>
        <w:numId w:val="23"/>
      </w:numPr>
      <w:jc w:val="both"/>
    </w:pPr>
    <w:rPr>
      <w:rFonts w:ascii="宋体" w:hAnsi="Times New Roman" w:eastAsia="宋体" w:cs="Times New Roman"/>
      <w:sz w:val="21"/>
      <w:lang w:val="en-US" w:eastAsia="zh-CN" w:bidi="ar-SA"/>
    </w:rPr>
  </w:style>
  <w:style w:type="paragraph" w:customStyle="1" w:styleId="306">
    <w:name w:val="示例×："/>
    <w:basedOn w:val="1"/>
    <w:next w:val="293"/>
    <w:qFormat/>
    <w:uiPriority w:val="0"/>
    <w:pPr>
      <w:numPr>
        <w:ilvl w:val="0"/>
        <w:numId w:val="24"/>
      </w:numPr>
    </w:pPr>
    <w:rPr>
      <w:rFonts w:ascii="宋体"/>
      <w:kern w:val="0"/>
      <w:sz w:val="18"/>
      <w:szCs w:val="18"/>
    </w:rPr>
  </w:style>
  <w:style w:type="paragraph" w:customStyle="1" w:styleId="307">
    <w:name w:val="工程建设章标题"/>
    <w:next w:val="258"/>
    <w:qFormat/>
    <w:uiPriority w:val="0"/>
    <w:pPr>
      <w:numPr>
        <w:ilvl w:val="1"/>
        <w:numId w:val="25"/>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08">
    <w:name w:val="工程建设节标题"/>
    <w:basedOn w:val="307"/>
    <w:next w:val="258"/>
    <w:qFormat/>
    <w:uiPriority w:val="0"/>
    <w:pPr>
      <w:numPr>
        <w:ilvl w:val="2"/>
      </w:numPr>
      <w:spacing w:before="400" w:after="400" w:line="240" w:lineRule="auto"/>
      <w:outlineLvl w:val="2"/>
    </w:pPr>
    <w:rPr>
      <w:sz w:val="21"/>
    </w:rPr>
  </w:style>
  <w:style w:type="paragraph" w:customStyle="1" w:styleId="309">
    <w:name w:val="工程建设条标题"/>
    <w:basedOn w:val="308"/>
    <w:next w:val="258"/>
    <w:qFormat/>
    <w:uiPriority w:val="0"/>
    <w:pPr>
      <w:numPr>
        <w:ilvl w:val="3"/>
      </w:numPr>
      <w:spacing w:before="0" w:after="0"/>
      <w:jc w:val="left"/>
      <w:outlineLvl w:val="3"/>
    </w:pPr>
    <w:rPr>
      <w:b w:val="0"/>
    </w:rPr>
  </w:style>
  <w:style w:type="paragraph" w:customStyle="1" w:styleId="310">
    <w:name w:val="工程建设表标题"/>
    <w:basedOn w:val="309"/>
    <w:qFormat/>
    <w:uiPriority w:val="0"/>
    <w:pPr>
      <w:numPr>
        <w:ilvl w:val="4"/>
      </w:numPr>
      <w:jc w:val="center"/>
      <w:outlineLvl w:val="4"/>
    </w:pPr>
  </w:style>
  <w:style w:type="paragraph" w:customStyle="1" w:styleId="311">
    <w:name w:val="工程建设图标题"/>
    <w:basedOn w:val="309"/>
    <w:qFormat/>
    <w:uiPriority w:val="0"/>
    <w:pPr>
      <w:numPr>
        <w:ilvl w:val="5"/>
      </w:numPr>
      <w:jc w:val="center"/>
      <w:outlineLvl w:val="5"/>
    </w:pPr>
  </w:style>
  <w:style w:type="paragraph" w:customStyle="1" w:styleId="312">
    <w:name w:val="工程建设公式标题"/>
    <w:basedOn w:val="309"/>
    <w:qFormat/>
    <w:uiPriority w:val="0"/>
    <w:pPr>
      <w:numPr>
        <w:ilvl w:val="6"/>
      </w:numPr>
      <w:jc w:val="center"/>
      <w:outlineLvl w:val="6"/>
    </w:pPr>
  </w:style>
  <w:style w:type="paragraph" w:customStyle="1" w:styleId="313">
    <w:name w:val="工程建设无节条标题"/>
    <w:basedOn w:val="1"/>
    <w:next w:val="258"/>
    <w:qFormat/>
    <w:uiPriority w:val="0"/>
    <w:pPr>
      <w:numPr>
        <w:ilvl w:val="8"/>
        <w:numId w:val="25"/>
      </w:numPr>
      <w:tabs>
        <w:tab w:val="clear" w:pos="720"/>
      </w:tabs>
      <w:outlineLvl w:val="3"/>
    </w:pPr>
  </w:style>
  <w:style w:type="paragraph" w:customStyle="1" w:styleId="314">
    <w:name w:val="工程建设款标题"/>
    <w:basedOn w:val="309"/>
    <w:qFormat/>
    <w:uiPriority w:val="0"/>
    <w:pPr>
      <w:numPr>
        <w:ilvl w:val="7"/>
      </w:numPr>
      <w:outlineLvl w:val="9"/>
    </w:pPr>
  </w:style>
  <w:style w:type="paragraph" w:customStyle="1" w:styleId="315">
    <w:name w:val="名称"/>
    <w:basedOn w:val="256"/>
    <w:next w:val="258"/>
    <w:qFormat/>
    <w:uiPriority w:val="0"/>
    <w:pPr>
      <w:spacing w:line="460" w:lineRule="exact"/>
      <w:outlineLvl w:val="9"/>
    </w:pPr>
  </w:style>
  <w:style w:type="paragraph" w:customStyle="1" w:styleId="316">
    <w:name w:val="正文表标题续表"/>
    <w:basedOn w:val="301"/>
    <w:next w:val="258"/>
    <w:qFormat/>
    <w:uiPriority w:val="0"/>
    <w:pPr>
      <w:numPr>
        <w:ilvl w:val="2"/>
      </w:numPr>
    </w:pPr>
  </w:style>
  <w:style w:type="paragraph" w:customStyle="1" w:styleId="317">
    <w:name w:val="附录表标题续表"/>
    <w:basedOn w:val="275"/>
    <w:next w:val="258"/>
    <w:qFormat/>
    <w:uiPriority w:val="0"/>
    <w:pPr>
      <w:numPr>
        <w:ilvl w:val="2"/>
      </w:numPr>
    </w:pPr>
  </w:style>
  <w:style w:type="paragraph" w:customStyle="1" w:styleId="318">
    <w:name w:val="术语定义二级条标题"/>
    <w:basedOn w:val="261"/>
    <w:next w:val="258"/>
    <w:qFormat/>
    <w:uiPriority w:val="0"/>
    <w:pPr>
      <w:spacing w:before="0" w:beforeLines="0" w:after="0" w:afterLines="0"/>
      <w:outlineLvl w:val="9"/>
    </w:pPr>
  </w:style>
  <w:style w:type="paragraph" w:customStyle="1" w:styleId="319">
    <w:name w:val="术语定义三级条标题"/>
    <w:basedOn w:val="290"/>
    <w:next w:val="258"/>
    <w:qFormat/>
    <w:uiPriority w:val="0"/>
    <w:pPr>
      <w:spacing w:before="0" w:beforeLines="0" w:after="0" w:afterLines="0"/>
      <w:outlineLvl w:val="9"/>
    </w:pPr>
  </w:style>
  <w:style w:type="paragraph" w:customStyle="1" w:styleId="320">
    <w:name w:val="式中"/>
    <w:qFormat/>
    <w:uiPriority w:val="0"/>
    <w:pPr>
      <w:ind w:left="200" w:leftChars="200"/>
    </w:pPr>
    <w:rPr>
      <w:rFonts w:ascii="宋体" w:hAnsi="Times New Roman" w:eastAsia="宋体" w:cs="Times New Roman"/>
      <w:sz w:val="21"/>
      <w:lang w:val="en-US" w:eastAsia="zh-CN" w:bidi="ar-SA"/>
    </w:rPr>
  </w:style>
  <w:style w:type="paragraph" w:customStyle="1" w:styleId="321">
    <w:name w:val="术语定义四级条标题"/>
    <w:basedOn w:val="295"/>
    <w:next w:val="258"/>
    <w:qFormat/>
    <w:uiPriority w:val="0"/>
    <w:pPr>
      <w:spacing w:before="0" w:beforeLines="0" w:after="0" w:afterLines="0"/>
      <w:outlineLvl w:val="9"/>
    </w:pPr>
  </w:style>
  <w:style w:type="paragraph" w:customStyle="1" w:styleId="322">
    <w:name w:val="术语定义五级条标题"/>
    <w:basedOn w:val="300"/>
    <w:next w:val="258"/>
    <w:qFormat/>
    <w:uiPriority w:val="0"/>
    <w:pPr>
      <w:spacing w:before="0" w:beforeLines="0" w:after="0" w:afterLines="0"/>
      <w:outlineLvl w:val="9"/>
    </w:pPr>
  </w:style>
  <w:style w:type="paragraph" w:customStyle="1" w:styleId="323">
    <w:name w:val="术语定义一级条标题"/>
    <w:basedOn w:val="260"/>
    <w:next w:val="258"/>
    <w:qFormat/>
    <w:uiPriority w:val="0"/>
    <w:pPr>
      <w:spacing w:before="0" w:beforeLines="0" w:after="0" w:afterLines="0"/>
      <w:outlineLvl w:val="9"/>
    </w:pPr>
  </w:style>
  <w:style w:type="paragraph" w:customStyle="1" w:styleId="324">
    <w:name w:val="条文说明"/>
    <w:basedOn w:val="315"/>
    <w:qFormat/>
    <w:uiPriority w:val="0"/>
  </w:style>
  <w:style w:type="paragraph" w:customStyle="1" w:styleId="325">
    <w:name w:val="列项·"/>
    <w:qFormat/>
    <w:uiPriority w:val="0"/>
    <w:pPr>
      <w:numPr>
        <w:ilvl w:val="0"/>
        <w:numId w:val="26"/>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26">
    <w:name w:val="二级无标题条"/>
    <w:basedOn w:val="261"/>
    <w:link w:val="536"/>
    <w:qFormat/>
    <w:uiPriority w:val="0"/>
    <w:pPr>
      <w:spacing w:before="0" w:beforeLines="0" w:after="0" w:afterLines="0"/>
      <w:outlineLvl w:val="9"/>
    </w:pPr>
    <w:rPr>
      <w:rFonts w:asciiTheme="majorEastAsia" w:eastAsiaTheme="majorEastAsia"/>
    </w:rPr>
  </w:style>
  <w:style w:type="paragraph" w:customStyle="1" w:styleId="327">
    <w:name w:val="三级无标题条"/>
    <w:basedOn w:val="290"/>
    <w:link w:val="535"/>
    <w:qFormat/>
    <w:uiPriority w:val="0"/>
    <w:pPr>
      <w:spacing w:before="0" w:beforeLines="0" w:after="0" w:afterLines="0"/>
      <w:outlineLvl w:val="9"/>
    </w:pPr>
    <w:rPr>
      <w:rFonts w:asciiTheme="majorEastAsia" w:eastAsiaTheme="majorEastAsia"/>
    </w:rPr>
  </w:style>
  <w:style w:type="paragraph" w:customStyle="1" w:styleId="328">
    <w:name w:val="四级无标题条"/>
    <w:basedOn w:val="295"/>
    <w:qFormat/>
    <w:uiPriority w:val="0"/>
    <w:pPr>
      <w:spacing w:before="0" w:beforeLines="0" w:after="0" w:afterLines="0"/>
      <w:outlineLvl w:val="9"/>
    </w:pPr>
    <w:rPr>
      <w:rFonts w:asciiTheme="majorEastAsia" w:eastAsiaTheme="majorEastAsia"/>
    </w:rPr>
  </w:style>
  <w:style w:type="paragraph" w:customStyle="1" w:styleId="329">
    <w:name w:val="五级无标题条"/>
    <w:basedOn w:val="300"/>
    <w:qFormat/>
    <w:uiPriority w:val="0"/>
    <w:pPr>
      <w:spacing w:before="0" w:beforeLines="0" w:after="0" w:afterLines="0"/>
      <w:outlineLvl w:val="9"/>
    </w:pPr>
    <w:rPr>
      <w:rFonts w:asciiTheme="majorEastAsia" w:eastAsiaTheme="majorEastAsia"/>
    </w:rPr>
  </w:style>
  <w:style w:type="paragraph" w:customStyle="1" w:styleId="330">
    <w:name w:val="一级无标题条"/>
    <w:basedOn w:val="260"/>
    <w:qFormat/>
    <w:uiPriority w:val="0"/>
    <w:pPr>
      <w:spacing w:before="0" w:beforeLines="0" w:after="0" w:afterLines="0"/>
      <w:outlineLvl w:val="9"/>
    </w:pPr>
    <w:rPr>
      <w:rFonts w:asciiTheme="majorEastAsia" w:eastAsiaTheme="majorEastAsia"/>
    </w:rPr>
  </w:style>
  <w:style w:type="character" w:customStyle="1" w:styleId="331">
    <w:name w:val="条文脚注 Char"/>
    <w:basedOn w:val="332"/>
    <w:link w:val="296"/>
    <w:qFormat/>
    <w:uiPriority w:val="0"/>
    <w:rPr>
      <w:rFonts w:ascii="宋体"/>
      <w:kern w:val="2"/>
      <w:sz w:val="18"/>
      <w:szCs w:val="18"/>
    </w:rPr>
  </w:style>
  <w:style w:type="character" w:customStyle="1" w:styleId="332">
    <w:name w:val="正文文本 字符"/>
    <w:basedOn w:val="231"/>
    <w:link w:val="39"/>
    <w:semiHidden/>
    <w:qFormat/>
    <w:uiPriority w:val="99"/>
    <w:rPr>
      <w:kern w:val="2"/>
      <w:sz w:val="21"/>
      <w:szCs w:val="24"/>
    </w:rPr>
  </w:style>
  <w:style w:type="paragraph" w:customStyle="1" w:styleId="333">
    <w:name w:val="ICS"/>
    <w:basedOn w:val="273"/>
    <w:qFormat/>
    <w:uiPriority w:val="0"/>
    <w:pPr>
      <w:jc w:val="left"/>
    </w:pPr>
    <w:rPr>
      <w:rFonts w:ascii="黑体" w:eastAsia="黑体"/>
      <w:sz w:val="21"/>
    </w:rPr>
  </w:style>
  <w:style w:type="paragraph" w:customStyle="1" w:styleId="334">
    <w:name w:val="标准称谓HB"/>
    <w:next w:val="1"/>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35">
    <w:name w:val="发布GB"/>
    <w:basedOn w:val="39"/>
    <w:qFormat/>
    <w:uiPriority w:val="0"/>
    <w:pPr>
      <w:spacing w:after="0" w:line="280" w:lineRule="exact"/>
      <w:ind w:left="284"/>
    </w:pPr>
    <w:rPr>
      <w:rFonts w:ascii="黑体" w:eastAsia="黑体"/>
      <w:kern w:val="3"/>
      <w:sz w:val="28"/>
    </w:rPr>
  </w:style>
  <w:style w:type="paragraph" w:customStyle="1" w:styleId="336">
    <w:name w:val="标准称谓DB"/>
    <w:next w:val="1"/>
    <w:link w:val="337"/>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37">
    <w:name w:val="标准称谓DB Char"/>
    <w:basedOn w:val="231"/>
    <w:link w:val="336"/>
    <w:qFormat/>
    <w:uiPriority w:val="0"/>
    <w:rPr>
      <w:rFonts w:ascii="Britannic Bold" w:hAnsi="Britannic Bold" w:eastAsia="黑体"/>
      <w:bCs/>
      <w:w w:val="135"/>
      <w:sz w:val="44"/>
    </w:rPr>
  </w:style>
  <w:style w:type="paragraph" w:customStyle="1" w:styleId="338">
    <w:name w:val="标准称谓QB"/>
    <w:next w:val="1"/>
    <w:link w:val="339"/>
    <w:qFormat/>
    <w:uiPriority w:val="0"/>
    <w:pPr>
      <w:widowControl w:val="0"/>
      <w:kinsoku w:val="0"/>
      <w:overflowPunct w:val="0"/>
      <w:autoSpaceDE w:val="0"/>
      <w:autoSpaceDN w:val="0"/>
      <w:spacing w:line="0" w:lineRule="atLeast"/>
      <w:jc w:val="distribute"/>
    </w:pPr>
    <w:rPr>
      <w:rFonts w:ascii="Arial Black" w:hAnsi="Arial Black" w:eastAsia="黑体" w:cs="Times New Roman"/>
      <w:bCs/>
      <w:w w:val="135"/>
      <w:sz w:val="44"/>
      <w:lang w:val="en-US" w:eastAsia="zh-CN" w:bidi="ar-SA"/>
    </w:rPr>
  </w:style>
  <w:style w:type="character" w:customStyle="1" w:styleId="339">
    <w:name w:val="标准称谓QB Char"/>
    <w:basedOn w:val="231"/>
    <w:link w:val="338"/>
    <w:qFormat/>
    <w:uiPriority w:val="0"/>
    <w:rPr>
      <w:rFonts w:ascii="Arial Black" w:hAnsi="Arial Black" w:eastAsia="黑体"/>
      <w:bCs/>
      <w:w w:val="135"/>
      <w:sz w:val="44"/>
    </w:rPr>
  </w:style>
  <w:style w:type="paragraph" w:customStyle="1" w:styleId="340">
    <w:name w:val="发布部门H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1">
    <w:name w:val="发布部门DB"/>
    <w:next w:val="1"/>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2">
    <w:name w:val="发布部门QB"/>
    <w:next w:val="1"/>
    <w:qFormat/>
    <w:uiPriority w:val="0"/>
    <w:pPr>
      <w:snapToGrid w:val="0"/>
      <w:jc w:val="center"/>
    </w:pPr>
    <w:rPr>
      <w:rFonts w:ascii="宋体" w:hAnsi="Times New Roman" w:eastAsia="宋体" w:cs="Times New Roman"/>
      <w:b/>
      <w:sz w:val="36"/>
      <w:lang w:val="en-US" w:eastAsia="zh-CN" w:bidi="ar-SA"/>
    </w:rPr>
  </w:style>
  <w:style w:type="paragraph" w:customStyle="1" w:styleId="343">
    <w:name w:val="标准标志DB"/>
    <w:next w:val="1"/>
    <w:qFormat/>
    <w:uiPriority w:val="0"/>
    <w:pPr>
      <w:shd w:val="solid" w:color="FFFFFF" w:fill="FFFFFF"/>
      <w:spacing w:line="0" w:lineRule="atLeast"/>
      <w:jc w:val="right"/>
    </w:pPr>
    <w:rPr>
      <w:rFonts w:ascii="Britannic Bold" w:hAnsi="Britannic Bold" w:eastAsia="Times New Roman" w:cs="Times New Roman"/>
      <w:b/>
      <w:w w:val="110"/>
      <w:kern w:val="2"/>
      <w:sz w:val="96"/>
      <w:lang w:val="en-US" w:eastAsia="zh-CN" w:bidi="ar-SA"/>
    </w:rPr>
  </w:style>
  <w:style w:type="paragraph" w:customStyle="1" w:styleId="344">
    <w:name w:val="标准标志QB"/>
    <w:next w:val="1"/>
    <w:qFormat/>
    <w:uiPriority w:val="0"/>
    <w:pPr>
      <w:shd w:val="solid" w:color="FFFFFF" w:fill="FFFFFF"/>
      <w:spacing w:line="0" w:lineRule="atLeast"/>
      <w:jc w:val="right"/>
    </w:pPr>
    <w:rPr>
      <w:rFonts w:ascii="Arial Black" w:hAnsi="Britannic Bold" w:eastAsia="Times New Roman" w:cs="Times New Roman"/>
      <w:b/>
      <w:w w:val="110"/>
      <w:kern w:val="2"/>
      <w:sz w:val="113"/>
      <w:lang w:val="en-US" w:eastAsia="zh-CN" w:bidi="ar-SA"/>
    </w:rPr>
  </w:style>
  <w:style w:type="paragraph" w:customStyle="1" w:styleId="345">
    <w:name w:val="标准标志GB"/>
    <w:next w:val="1"/>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46">
    <w:name w:val="示例X"/>
    <w:basedOn w:val="258"/>
    <w:next w:val="293"/>
    <w:qFormat/>
    <w:uiPriority w:val="0"/>
    <w:rPr>
      <w:sz w:val="18"/>
    </w:rPr>
  </w:style>
  <w:style w:type="paragraph" w:customStyle="1" w:styleId="347">
    <w:name w:val="附录表标号"/>
    <w:basedOn w:val="1"/>
    <w:next w:val="258"/>
    <w:qFormat/>
    <w:uiPriority w:val="0"/>
    <w:pPr>
      <w:numPr>
        <w:ilvl w:val="0"/>
        <w:numId w:val="13"/>
      </w:numPr>
      <w:snapToGrid w:val="0"/>
      <w:spacing w:line="14" w:lineRule="exact"/>
      <w:jc w:val="center"/>
    </w:pPr>
    <w:rPr>
      <w:color w:val="FFFFFF"/>
    </w:rPr>
  </w:style>
  <w:style w:type="paragraph" w:customStyle="1" w:styleId="348">
    <w:name w:val="附录图标号"/>
    <w:basedOn w:val="1"/>
    <w:next w:val="258"/>
    <w:qFormat/>
    <w:uiPriority w:val="0"/>
    <w:pPr>
      <w:numPr>
        <w:ilvl w:val="0"/>
        <w:numId w:val="14"/>
      </w:numPr>
      <w:snapToGrid w:val="0"/>
      <w:spacing w:line="14" w:lineRule="exact"/>
      <w:jc w:val="center"/>
    </w:pPr>
    <w:rPr>
      <w:color w:val="FFFFFF"/>
    </w:rPr>
  </w:style>
  <w:style w:type="paragraph" w:customStyle="1" w:styleId="349">
    <w:name w:val="公式编号制表符"/>
    <w:basedOn w:val="1"/>
    <w:next w:val="1"/>
    <w:qFormat/>
    <w:uiPriority w:val="0"/>
    <w:pPr>
      <w:tabs>
        <w:tab w:val="center" w:pos="4679"/>
        <w:tab w:val="right" w:leader="dot" w:pos="9299"/>
      </w:tabs>
      <w:autoSpaceDE w:val="0"/>
      <w:autoSpaceDN w:val="0"/>
      <w:textAlignment w:val="center"/>
    </w:pPr>
    <w:rPr>
      <w:rFonts w:ascii="宋体"/>
      <w:kern w:val="0"/>
      <w:szCs w:val="20"/>
    </w:rPr>
  </w:style>
  <w:style w:type="paragraph" w:customStyle="1" w:styleId="350">
    <w:name w:val="TOC 标题1"/>
    <w:basedOn w:val="4"/>
    <w:next w:val="1"/>
    <w:semiHidden/>
    <w:unhideWhenUsed/>
    <w:qFormat/>
    <w:uiPriority w:val="39"/>
    <w:pPr>
      <w:outlineLvl w:val="9"/>
    </w:pPr>
  </w:style>
  <w:style w:type="character" w:customStyle="1" w:styleId="351">
    <w:name w:val="不明显参考1"/>
    <w:basedOn w:val="23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2">
    <w:name w:val="不明显强调1"/>
    <w:basedOn w:val="231"/>
    <w:qFormat/>
    <w:uiPriority w:val="19"/>
    <w:rPr>
      <w:i/>
      <w:iCs/>
      <w:color w:val="404040" w:themeColor="text1" w:themeTint="BF"/>
      <w14:textFill>
        <w14:solidFill>
          <w14:schemeClr w14:val="tx1">
            <w14:lumMod w14:val="75000"/>
            <w14:lumOff w14:val="25000"/>
          </w14:schemeClr>
        </w14:solidFill>
      </w14:textFill>
    </w:rPr>
  </w:style>
  <w:style w:type="character" w:customStyle="1" w:styleId="353">
    <w:name w:val="称呼 字符"/>
    <w:basedOn w:val="231"/>
    <w:link w:val="35"/>
    <w:semiHidden/>
    <w:qFormat/>
    <w:uiPriority w:val="99"/>
    <w:rPr>
      <w:kern w:val="2"/>
      <w:sz w:val="21"/>
      <w:szCs w:val="24"/>
    </w:rPr>
  </w:style>
  <w:style w:type="character" w:customStyle="1" w:styleId="354">
    <w:name w:val="纯文本 字符"/>
    <w:basedOn w:val="231"/>
    <w:link w:val="48"/>
    <w:semiHidden/>
    <w:qFormat/>
    <w:uiPriority w:val="99"/>
    <w:rPr>
      <w:rFonts w:ascii="宋体" w:hAnsi="Courier New" w:cs="Courier New"/>
      <w:kern w:val="2"/>
      <w:sz w:val="21"/>
      <w:szCs w:val="21"/>
    </w:rPr>
  </w:style>
  <w:style w:type="character" w:customStyle="1" w:styleId="355">
    <w:name w:val="电子邮件签名 字符"/>
    <w:basedOn w:val="231"/>
    <w:link w:val="24"/>
    <w:semiHidden/>
    <w:qFormat/>
    <w:uiPriority w:val="99"/>
    <w:rPr>
      <w:kern w:val="2"/>
      <w:sz w:val="21"/>
      <w:szCs w:val="24"/>
    </w:rPr>
  </w:style>
  <w:style w:type="character" w:customStyle="1" w:styleId="356">
    <w:name w:val="副标题 字符"/>
    <w:basedOn w:val="231"/>
    <w:link w:val="66"/>
    <w:qFormat/>
    <w:uiPriority w:val="11"/>
    <w:rPr>
      <w:rFonts w:asciiTheme="majorHAnsi" w:hAnsiTheme="majorHAnsi" w:cstheme="majorBidi"/>
      <w:b/>
      <w:bCs/>
      <w:kern w:val="28"/>
      <w:sz w:val="32"/>
      <w:szCs w:val="32"/>
    </w:rPr>
  </w:style>
  <w:style w:type="character" w:customStyle="1" w:styleId="357">
    <w:name w:val="宏文本 字符"/>
    <w:basedOn w:val="231"/>
    <w:link w:val="3"/>
    <w:semiHidden/>
    <w:qFormat/>
    <w:uiPriority w:val="99"/>
    <w:rPr>
      <w:rFonts w:ascii="Courier New" w:hAnsi="Courier New" w:cs="Courier New"/>
      <w:kern w:val="2"/>
      <w:sz w:val="24"/>
      <w:szCs w:val="24"/>
    </w:rPr>
  </w:style>
  <w:style w:type="character" w:customStyle="1" w:styleId="358">
    <w:name w:val="结束语 字符"/>
    <w:basedOn w:val="231"/>
    <w:link w:val="37"/>
    <w:semiHidden/>
    <w:qFormat/>
    <w:uiPriority w:val="99"/>
    <w:rPr>
      <w:kern w:val="2"/>
      <w:sz w:val="21"/>
      <w:szCs w:val="24"/>
    </w:rPr>
  </w:style>
  <w:style w:type="paragraph" w:styleId="359">
    <w:name w:val="List Paragraph"/>
    <w:basedOn w:val="1"/>
    <w:qFormat/>
    <w:uiPriority w:val="34"/>
    <w:pPr>
      <w:ind w:firstLine="420" w:firstLineChars="200"/>
    </w:pPr>
  </w:style>
  <w:style w:type="character" w:customStyle="1" w:styleId="360">
    <w:name w:val="明显参考1"/>
    <w:basedOn w:val="231"/>
    <w:qFormat/>
    <w:uiPriority w:val="32"/>
    <w:rPr>
      <w:b/>
      <w:bCs/>
      <w:smallCaps/>
      <w:color w:val="5B9BD5" w:themeColor="accent1"/>
      <w:spacing w:val="5"/>
      <w14:textFill>
        <w14:solidFill>
          <w14:schemeClr w14:val="accent1"/>
        </w14:solidFill>
      </w14:textFill>
    </w:rPr>
  </w:style>
  <w:style w:type="character" w:customStyle="1" w:styleId="361">
    <w:name w:val="明显强调1"/>
    <w:basedOn w:val="231"/>
    <w:qFormat/>
    <w:uiPriority w:val="21"/>
    <w:rPr>
      <w:i/>
      <w:iCs/>
      <w:color w:val="5B9BD5" w:themeColor="accent1"/>
      <w14:textFill>
        <w14:solidFill>
          <w14:schemeClr w14:val="accent1"/>
        </w14:solidFill>
      </w14:textFill>
    </w:rPr>
  </w:style>
  <w:style w:type="paragraph" w:styleId="362">
    <w:name w:val="Intense Quote"/>
    <w:basedOn w:val="1"/>
    <w:next w:val="1"/>
    <w:link w:val="363"/>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63">
    <w:name w:val="明显引用 字符"/>
    <w:basedOn w:val="231"/>
    <w:link w:val="362"/>
    <w:qFormat/>
    <w:uiPriority w:val="30"/>
    <w:rPr>
      <w:i/>
      <w:iCs/>
      <w:color w:val="5B9BD5" w:themeColor="accent1"/>
      <w:kern w:val="2"/>
      <w:sz w:val="21"/>
      <w:szCs w:val="24"/>
      <w14:textFill>
        <w14:solidFill>
          <w14:schemeClr w14:val="accent1"/>
        </w14:solidFill>
      </w14:textFill>
    </w:rPr>
  </w:style>
  <w:style w:type="character" w:customStyle="1" w:styleId="364">
    <w:name w:val="批注框文本 字符"/>
    <w:basedOn w:val="231"/>
    <w:link w:val="57"/>
    <w:semiHidden/>
    <w:qFormat/>
    <w:uiPriority w:val="99"/>
    <w:rPr>
      <w:kern w:val="2"/>
      <w:sz w:val="18"/>
      <w:szCs w:val="18"/>
    </w:rPr>
  </w:style>
  <w:style w:type="character" w:customStyle="1" w:styleId="365">
    <w:name w:val="批注文字 字符"/>
    <w:basedOn w:val="231"/>
    <w:link w:val="33"/>
    <w:semiHidden/>
    <w:qFormat/>
    <w:uiPriority w:val="99"/>
    <w:rPr>
      <w:kern w:val="2"/>
      <w:sz w:val="21"/>
      <w:szCs w:val="24"/>
    </w:rPr>
  </w:style>
  <w:style w:type="character" w:customStyle="1" w:styleId="366">
    <w:name w:val="批注主题 字符"/>
    <w:basedOn w:val="365"/>
    <w:link w:val="85"/>
    <w:semiHidden/>
    <w:qFormat/>
    <w:uiPriority w:val="99"/>
    <w:rPr>
      <w:b/>
      <w:bCs/>
      <w:kern w:val="2"/>
      <w:sz w:val="21"/>
      <w:szCs w:val="24"/>
    </w:rPr>
  </w:style>
  <w:style w:type="character" w:customStyle="1" w:styleId="367">
    <w:name w:val="签名 字符"/>
    <w:basedOn w:val="231"/>
    <w:link w:val="61"/>
    <w:semiHidden/>
    <w:qFormat/>
    <w:uiPriority w:val="99"/>
    <w:rPr>
      <w:kern w:val="2"/>
      <w:sz w:val="21"/>
      <w:szCs w:val="24"/>
    </w:rPr>
  </w:style>
  <w:style w:type="table" w:customStyle="1" w:styleId="368">
    <w:name w:val="清单表 1 浅色1"/>
    <w:basedOn w:val="88"/>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69">
    <w:name w:val="清单表 1 浅色 - 着色 11"/>
    <w:basedOn w:val="88"/>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0">
    <w:name w:val="清单表 1 浅色 - 着色 21"/>
    <w:basedOn w:val="88"/>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1">
    <w:name w:val="清单表 1 浅色 - 着色 31"/>
    <w:basedOn w:val="88"/>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2">
    <w:name w:val="清单表 1 浅色 - 着色 41"/>
    <w:basedOn w:val="88"/>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73">
    <w:name w:val="清单表 1 浅色 - 着色 51"/>
    <w:basedOn w:val="88"/>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74">
    <w:name w:val="清单表 1 浅色 - 着色 61"/>
    <w:basedOn w:val="88"/>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75">
    <w:name w:val="清单表 21"/>
    <w:basedOn w:val="88"/>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6">
    <w:name w:val="清单表 2 - 着色 11"/>
    <w:basedOn w:val="88"/>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7">
    <w:name w:val="清单表 2 - 着色 21"/>
    <w:basedOn w:val="88"/>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8">
    <w:name w:val="清单表 2 - 着色 31"/>
    <w:basedOn w:val="88"/>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9">
    <w:name w:val="清单表 2 - 着色 41"/>
    <w:basedOn w:val="88"/>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0">
    <w:name w:val="清单表 2 - 着色 51"/>
    <w:basedOn w:val="88"/>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1">
    <w:name w:val="清单表 2 - 着色 61"/>
    <w:basedOn w:val="88"/>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2">
    <w:name w:val="清单表 31"/>
    <w:basedOn w:val="88"/>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83">
    <w:name w:val="清单表 3 - 着色 11"/>
    <w:basedOn w:val="88"/>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84">
    <w:name w:val="清单表 3 - 着色 21"/>
    <w:basedOn w:val="88"/>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85">
    <w:name w:val="清单表 3 - 着色 31"/>
    <w:basedOn w:val="88"/>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86">
    <w:name w:val="清单表 3 - 着色 41"/>
    <w:basedOn w:val="88"/>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87">
    <w:name w:val="清单表 3 - 着色 51"/>
    <w:basedOn w:val="88"/>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88">
    <w:name w:val="清单表 3 - 着色 61"/>
    <w:basedOn w:val="88"/>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89">
    <w:name w:val="清单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0">
    <w:name w:val="清单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1">
    <w:name w:val="清单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2">
    <w:name w:val="清单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93">
    <w:name w:val="清单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94">
    <w:name w:val="清单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95">
    <w:name w:val="清单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96">
    <w:name w:val="清单表 5 深色1"/>
    <w:basedOn w:val="88"/>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7">
    <w:name w:val="清单表 5 深色 - 着色 11"/>
    <w:basedOn w:val="88"/>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8">
    <w:name w:val="清单表 5 深色 - 着色 21"/>
    <w:basedOn w:val="88"/>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399">
    <w:name w:val="清单表 5 深色 - 着色 31"/>
    <w:basedOn w:val="88"/>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0">
    <w:name w:val="清单表 5 深色 - 着色 41"/>
    <w:basedOn w:val="88"/>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1">
    <w:name w:val="清单表 5 深色 - 着色 51"/>
    <w:basedOn w:val="88"/>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2">
    <w:name w:val="清单表 5 深色 - 着色 61"/>
    <w:basedOn w:val="88"/>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3">
    <w:name w:val="清单表 6 彩色1"/>
    <w:basedOn w:val="88"/>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04">
    <w:name w:val="清单表 6 彩色 - 着色 11"/>
    <w:basedOn w:val="88"/>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05">
    <w:name w:val="清单表 6 彩色 - 着色 21"/>
    <w:basedOn w:val="88"/>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06">
    <w:name w:val="清单表 6 彩色 - 着色 31"/>
    <w:basedOn w:val="88"/>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7">
    <w:name w:val="清单表 6 彩色 - 着色 41"/>
    <w:basedOn w:val="88"/>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8">
    <w:name w:val="清单表 6 彩色 - 着色 51"/>
    <w:basedOn w:val="88"/>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09">
    <w:name w:val="清单表 6 彩色 - 着色 61"/>
    <w:basedOn w:val="88"/>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0">
    <w:name w:val="清单表 7 彩色1"/>
    <w:basedOn w:val="88"/>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1">
    <w:name w:val="清单表 7 彩色 - 着色 11"/>
    <w:basedOn w:val="88"/>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2">
    <w:name w:val="清单表 7 彩色 - 着色 21"/>
    <w:basedOn w:val="88"/>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3">
    <w:name w:val="清单表 7 彩色 - 着色 31"/>
    <w:basedOn w:val="88"/>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4">
    <w:name w:val="清单表 7 彩色 - 着色 41"/>
    <w:basedOn w:val="88"/>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5">
    <w:name w:val="清单表 7 彩色 - 着色 51"/>
    <w:basedOn w:val="88"/>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6">
    <w:name w:val="清单表 7 彩色 - 着色 61"/>
    <w:basedOn w:val="88"/>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17">
    <w:name w:val="日期 字符"/>
    <w:basedOn w:val="231"/>
    <w:link w:val="53"/>
    <w:semiHidden/>
    <w:qFormat/>
    <w:uiPriority w:val="99"/>
    <w:rPr>
      <w:kern w:val="2"/>
      <w:sz w:val="21"/>
      <w:szCs w:val="24"/>
    </w:rPr>
  </w:style>
  <w:style w:type="character" w:customStyle="1" w:styleId="418">
    <w:name w:val="书籍标题1"/>
    <w:basedOn w:val="231"/>
    <w:qFormat/>
    <w:uiPriority w:val="33"/>
    <w:rPr>
      <w:b/>
      <w:bCs/>
      <w:i/>
      <w:iCs/>
      <w:spacing w:val="5"/>
    </w:rPr>
  </w:style>
  <w:style w:type="paragraph" w:customStyle="1" w:styleId="419">
    <w:name w:val="书目1"/>
    <w:basedOn w:val="1"/>
    <w:next w:val="1"/>
    <w:semiHidden/>
    <w:unhideWhenUsed/>
    <w:qFormat/>
    <w:uiPriority w:val="37"/>
  </w:style>
  <w:style w:type="table" w:customStyle="1" w:styleId="420">
    <w:name w:val="网格表 1 浅色1"/>
    <w:basedOn w:val="88"/>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1">
    <w:name w:val="网格表 1 浅色 - 着色 11"/>
    <w:basedOn w:val="88"/>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2">
    <w:name w:val="网格表 1 浅色 - 着色 21"/>
    <w:basedOn w:val="88"/>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23">
    <w:name w:val="网格表 1 浅色 - 着色 31"/>
    <w:basedOn w:val="88"/>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24">
    <w:name w:val="网格表 1 浅色 - 着色 41"/>
    <w:basedOn w:val="88"/>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25">
    <w:name w:val="网格表 1 浅色 - 着色 51"/>
    <w:basedOn w:val="88"/>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26">
    <w:name w:val="网格表 1 浅色 - 着色 61"/>
    <w:basedOn w:val="88"/>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27">
    <w:name w:val="网格表 21"/>
    <w:basedOn w:val="88"/>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28">
    <w:name w:val="网格表 2 - 着色 11"/>
    <w:basedOn w:val="88"/>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29">
    <w:name w:val="网格表 2 - 着色 21"/>
    <w:basedOn w:val="88"/>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0">
    <w:name w:val="网格表 2 - 着色 31"/>
    <w:basedOn w:val="88"/>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1">
    <w:name w:val="网格表 2 - 着色 41"/>
    <w:basedOn w:val="88"/>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2">
    <w:name w:val="网格表 2 - 着色 51"/>
    <w:basedOn w:val="88"/>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33">
    <w:name w:val="网格表 2 - 着色 61"/>
    <w:basedOn w:val="88"/>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34">
    <w:name w:val="网格表 31"/>
    <w:basedOn w:val="88"/>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35">
    <w:name w:val="网格表 3 - 着色 11"/>
    <w:basedOn w:val="88"/>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36">
    <w:name w:val="网格表 3 - 着色 21"/>
    <w:basedOn w:val="88"/>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37">
    <w:name w:val="网格表 3 - 着色 31"/>
    <w:basedOn w:val="88"/>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38">
    <w:name w:val="网格表 3 - 着色 41"/>
    <w:basedOn w:val="88"/>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39">
    <w:name w:val="网格表 3 - 着色 51"/>
    <w:basedOn w:val="88"/>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0">
    <w:name w:val="网格表 3 - 着色 61"/>
    <w:basedOn w:val="88"/>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1">
    <w:name w:val="网格表 41"/>
    <w:basedOn w:val="88"/>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2">
    <w:name w:val="网格表 4 - 着色 11"/>
    <w:basedOn w:val="88"/>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43">
    <w:name w:val="网格表 4 - 着色 21"/>
    <w:basedOn w:val="88"/>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44">
    <w:name w:val="网格表 4 - 着色 31"/>
    <w:basedOn w:val="88"/>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45">
    <w:name w:val="网格表 4 - 着色 41"/>
    <w:basedOn w:val="88"/>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46">
    <w:name w:val="网格表 4 - 着色 51"/>
    <w:basedOn w:val="88"/>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47">
    <w:name w:val="网格表 4 - 着色 61"/>
    <w:basedOn w:val="88"/>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48">
    <w:name w:val="网格表 5 深色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49">
    <w:name w:val="网格表 5 深色 - 着色 1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0">
    <w:name w:val="网格表 5 深色 - 着色 2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1">
    <w:name w:val="网格表 5 深色 - 着色 3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2">
    <w:name w:val="网格表 5 深色 - 着色 4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53">
    <w:name w:val="网格表 5 深色 - 着色 5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54">
    <w:name w:val="网格表 5 深色 - 着色 61"/>
    <w:basedOn w:val="88"/>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55">
    <w:name w:val="网格表 6 彩色1"/>
    <w:basedOn w:val="88"/>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56">
    <w:name w:val="网格表 6 彩色 - 着色 11"/>
    <w:basedOn w:val="88"/>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57">
    <w:name w:val="网格表 6 彩色 - 着色 21"/>
    <w:basedOn w:val="88"/>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58">
    <w:name w:val="网格表 6 彩色 - 着色 31"/>
    <w:basedOn w:val="88"/>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59">
    <w:name w:val="网格表 6 彩色 - 着色 41"/>
    <w:basedOn w:val="88"/>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0">
    <w:name w:val="网格表 6 彩色 - 着色 51"/>
    <w:basedOn w:val="88"/>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1">
    <w:name w:val="网格表 6 彩色 - 着色 61"/>
    <w:basedOn w:val="88"/>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2">
    <w:name w:val="网格表 7 彩色1"/>
    <w:basedOn w:val="88"/>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63">
    <w:name w:val="网格表 7 彩色 - 着色 11"/>
    <w:basedOn w:val="88"/>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64">
    <w:name w:val="网格表 7 彩色 - 着色 21"/>
    <w:basedOn w:val="88"/>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65">
    <w:name w:val="网格表 7 彩色 - 着色 31"/>
    <w:basedOn w:val="88"/>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66">
    <w:name w:val="网格表 7 彩色 - 着色 41"/>
    <w:basedOn w:val="88"/>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67">
    <w:name w:val="网格表 7 彩色 - 着色 51"/>
    <w:basedOn w:val="88"/>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68">
    <w:name w:val="网格表 7 彩色 - 着色 61"/>
    <w:basedOn w:val="88"/>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69">
    <w:name w:val="网格型浅色1"/>
    <w:basedOn w:val="88"/>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470">
    <w:name w:val="尾注文本 字符"/>
    <w:basedOn w:val="231"/>
    <w:link w:val="55"/>
    <w:semiHidden/>
    <w:qFormat/>
    <w:uiPriority w:val="99"/>
    <w:rPr>
      <w:kern w:val="2"/>
      <w:sz w:val="21"/>
      <w:szCs w:val="24"/>
    </w:rPr>
  </w:style>
  <w:style w:type="character" w:customStyle="1" w:styleId="471">
    <w:name w:val="文档结构图 字符"/>
    <w:basedOn w:val="231"/>
    <w:link w:val="31"/>
    <w:semiHidden/>
    <w:qFormat/>
    <w:uiPriority w:val="99"/>
    <w:rPr>
      <w:rFonts w:ascii="Microsoft YaHei UI" w:eastAsia="Microsoft YaHei UI"/>
      <w:kern w:val="2"/>
      <w:sz w:val="18"/>
      <w:szCs w:val="18"/>
    </w:rPr>
  </w:style>
  <w:style w:type="table" w:customStyle="1" w:styleId="472">
    <w:name w:val="无格式表格 11"/>
    <w:basedOn w:val="88"/>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3">
    <w:name w:val="无格式表格 21"/>
    <w:basedOn w:val="88"/>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74">
    <w:name w:val="无格式表格 31"/>
    <w:basedOn w:val="88"/>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75">
    <w:name w:val="无格式表格 41"/>
    <w:basedOn w:val="88"/>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76">
    <w:name w:val="无格式表格 51"/>
    <w:basedOn w:val="88"/>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7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78">
    <w:name w:val="信息标题 字符"/>
    <w:basedOn w:val="231"/>
    <w:link w:val="79"/>
    <w:semiHidden/>
    <w:qFormat/>
    <w:uiPriority w:val="99"/>
    <w:rPr>
      <w:rFonts w:asciiTheme="majorHAnsi" w:hAnsiTheme="majorHAnsi" w:eastAsiaTheme="majorEastAsia" w:cstheme="majorBidi"/>
      <w:kern w:val="2"/>
      <w:sz w:val="24"/>
      <w:szCs w:val="24"/>
      <w:shd w:val="pct20" w:color="auto" w:fill="auto"/>
    </w:rPr>
  </w:style>
  <w:style w:type="paragraph" w:styleId="479">
    <w:name w:val="Quote"/>
    <w:basedOn w:val="1"/>
    <w:next w:val="1"/>
    <w:link w:val="480"/>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0">
    <w:name w:val="引用 字符"/>
    <w:basedOn w:val="231"/>
    <w:link w:val="479"/>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1">
    <w:name w:val="Placeholder Text"/>
    <w:basedOn w:val="231"/>
    <w:semiHidden/>
    <w:qFormat/>
    <w:uiPriority w:val="99"/>
    <w:rPr>
      <w:color w:val="808080"/>
    </w:rPr>
  </w:style>
  <w:style w:type="character" w:customStyle="1" w:styleId="482">
    <w:name w:val="正文首行缩进 字符"/>
    <w:basedOn w:val="332"/>
    <w:link w:val="86"/>
    <w:semiHidden/>
    <w:qFormat/>
    <w:uiPriority w:val="99"/>
    <w:rPr>
      <w:kern w:val="2"/>
      <w:sz w:val="21"/>
      <w:szCs w:val="24"/>
    </w:rPr>
  </w:style>
  <w:style w:type="character" w:customStyle="1" w:styleId="483">
    <w:name w:val="正文文本缩进 字符"/>
    <w:basedOn w:val="231"/>
    <w:link w:val="40"/>
    <w:semiHidden/>
    <w:qFormat/>
    <w:uiPriority w:val="99"/>
    <w:rPr>
      <w:kern w:val="2"/>
      <w:sz w:val="21"/>
      <w:szCs w:val="24"/>
    </w:rPr>
  </w:style>
  <w:style w:type="character" w:customStyle="1" w:styleId="484">
    <w:name w:val="正文首行缩进 2 字符"/>
    <w:basedOn w:val="483"/>
    <w:link w:val="87"/>
    <w:semiHidden/>
    <w:qFormat/>
    <w:uiPriority w:val="99"/>
    <w:rPr>
      <w:kern w:val="2"/>
      <w:sz w:val="21"/>
      <w:szCs w:val="24"/>
    </w:rPr>
  </w:style>
  <w:style w:type="character" w:customStyle="1" w:styleId="485">
    <w:name w:val="正文文本 2 字符"/>
    <w:basedOn w:val="231"/>
    <w:link w:val="76"/>
    <w:semiHidden/>
    <w:qFormat/>
    <w:uiPriority w:val="99"/>
    <w:rPr>
      <w:kern w:val="2"/>
      <w:sz w:val="21"/>
      <w:szCs w:val="24"/>
    </w:rPr>
  </w:style>
  <w:style w:type="character" w:customStyle="1" w:styleId="486">
    <w:name w:val="正文文本 3 字符"/>
    <w:basedOn w:val="231"/>
    <w:link w:val="36"/>
    <w:semiHidden/>
    <w:qFormat/>
    <w:uiPriority w:val="99"/>
    <w:rPr>
      <w:kern w:val="2"/>
      <w:sz w:val="16"/>
      <w:szCs w:val="16"/>
    </w:rPr>
  </w:style>
  <w:style w:type="character" w:customStyle="1" w:styleId="487">
    <w:name w:val="正文文本缩进 2 字符"/>
    <w:basedOn w:val="231"/>
    <w:link w:val="54"/>
    <w:semiHidden/>
    <w:qFormat/>
    <w:uiPriority w:val="99"/>
    <w:rPr>
      <w:kern w:val="2"/>
      <w:sz w:val="21"/>
      <w:szCs w:val="24"/>
    </w:rPr>
  </w:style>
  <w:style w:type="character" w:customStyle="1" w:styleId="488">
    <w:name w:val="正文文本缩进 3 字符"/>
    <w:basedOn w:val="231"/>
    <w:link w:val="71"/>
    <w:semiHidden/>
    <w:qFormat/>
    <w:uiPriority w:val="99"/>
    <w:rPr>
      <w:kern w:val="2"/>
      <w:sz w:val="16"/>
      <w:szCs w:val="16"/>
    </w:rPr>
  </w:style>
  <w:style w:type="character" w:customStyle="1" w:styleId="489">
    <w:name w:val="注释标题 字符"/>
    <w:basedOn w:val="231"/>
    <w:link w:val="21"/>
    <w:semiHidden/>
    <w:qFormat/>
    <w:uiPriority w:val="99"/>
    <w:rPr>
      <w:kern w:val="2"/>
      <w:sz w:val="21"/>
      <w:szCs w:val="24"/>
    </w:rPr>
  </w:style>
  <w:style w:type="paragraph" w:customStyle="1" w:styleId="490">
    <w:name w:val="附录无标题章"/>
    <w:basedOn w:val="276"/>
    <w:next w:val="276"/>
    <w:qFormat/>
    <w:uiPriority w:val="0"/>
    <w:pPr>
      <w:spacing w:before="0" w:beforeLines="0" w:after="0" w:afterLines="0"/>
      <w:outlineLvl w:val="9"/>
    </w:pPr>
    <w:rPr>
      <w:rFonts w:ascii="宋体" w:eastAsiaTheme="majorEastAsia"/>
    </w:rPr>
  </w:style>
  <w:style w:type="paragraph" w:customStyle="1" w:styleId="491">
    <w:name w:val="附录一级无标题条"/>
    <w:basedOn w:val="277"/>
    <w:qFormat/>
    <w:uiPriority w:val="0"/>
    <w:pPr>
      <w:spacing w:before="0" w:beforeLines="0" w:after="0" w:afterLines="0"/>
      <w:outlineLvl w:val="9"/>
    </w:pPr>
    <w:rPr>
      <w:rFonts w:asciiTheme="majorEastAsia" w:eastAsiaTheme="majorEastAsia"/>
    </w:rPr>
  </w:style>
  <w:style w:type="paragraph" w:customStyle="1" w:styleId="492">
    <w:name w:val="附录二级无标题条"/>
    <w:basedOn w:val="278"/>
    <w:qFormat/>
    <w:uiPriority w:val="0"/>
    <w:pPr>
      <w:spacing w:before="0" w:beforeLines="0" w:after="0" w:afterLines="0"/>
      <w:outlineLvl w:val="9"/>
    </w:pPr>
    <w:rPr>
      <w:rFonts w:asciiTheme="majorEastAsia" w:eastAsiaTheme="majorEastAsia"/>
    </w:rPr>
  </w:style>
  <w:style w:type="paragraph" w:customStyle="1" w:styleId="493">
    <w:name w:val="附录三级无标题条"/>
    <w:basedOn w:val="279"/>
    <w:qFormat/>
    <w:uiPriority w:val="0"/>
    <w:pPr>
      <w:spacing w:before="0" w:beforeLines="0" w:after="0" w:afterLines="0"/>
      <w:outlineLvl w:val="9"/>
    </w:pPr>
    <w:rPr>
      <w:rFonts w:asciiTheme="majorEastAsia" w:eastAsiaTheme="majorEastAsia"/>
    </w:rPr>
  </w:style>
  <w:style w:type="paragraph" w:customStyle="1" w:styleId="494">
    <w:name w:val="附录四级无标题条"/>
    <w:basedOn w:val="280"/>
    <w:qFormat/>
    <w:uiPriority w:val="0"/>
    <w:pPr>
      <w:spacing w:before="0" w:beforeLines="0" w:after="0" w:afterLines="0"/>
      <w:outlineLvl w:val="9"/>
    </w:pPr>
    <w:rPr>
      <w:rFonts w:asciiTheme="majorEastAsia" w:eastAsiaTheme="majorEastAsia"/>
    </w:rPr>
  </w:style>
  <w:style w:type="paragraph" w:customStyle="1" w:styleId="495">
    <w:name w:val="发布DB"/>
    <w:basedOn w:val="335"/>
    <w:qFormat/>
    <w:uiPriority w:val="0"/>
    <w:pPr>
      <w:ind w:left="567"/>
    </w:pPr>
  </w:style>
  <w:style w:type="paragraph" w:customStyle="1" w:styleId="496">
    <w:name w:val="发布HB"/>
    <w:basedOn w:val="335"/>
    <w:qFormat/>
    <w:uiPriority w:val="0"/>
    <w:pPr>
      <w:ind w:left="567"/>
    </w:pPr>
  </w:style>
  <w:style w:type="paragraph" w:customStyle="1" w:styleId="497">
    <w:name w:val="发布QB"/>
    <w:basedOn w:val="335"/>
    <w:qFormat/>
    <w:uiPriority w:val="0"/>
    <w:pPr>
      <w:ind w:left="567"/>
    </w:pPr>
  </w:style>
  <w:style w:type="paragraph" w:customStyle="1" w:styleId="498">
    <w:name w:val="标准标志TB"/>
    <w:basedOn w:val="344"/>
    <w:qFormat/>
    <w:uiPriority w:val="0"/>
  </w:style>
  <w:style w:type="paragraph" w:customStyle="1" w:styleId="499">
    <w:name w:val="标准称谓TB"/>
    <w:basedOn w:val="338"/>
    <w:qFormat/>
    <w:uiPriority w:val="0"/>
    <w:pPr>
      <w:jc w:val="center"/>
    </w:pPr>
  </w:style>
  <w:style w:type="paragraph" w:customStyle="1" w:styleId="500">
    <w:name w:val="发布TB"/>
    <w:basedOn w:val="335"/>
    <w:qFormat/>
    <w:uiPriority w:val="0"/>
    <w:pPr>
      <w:ind w:left="567"/>
    </w:pPr>
  </w:style>
  <w:style w:type="paragraph" w:customStyle="1" w:styleId="501">
    <w:name w:val="发布部门TB"/>
    <w:basedOn w:val="342"/>
    <w:qFormat/>
    <w:uiPriority w:val="0"/>
  </w:style>
  <w:style w:type="paragraph" w:customStyle="1" w:styleId="502">
    <w:name w:val="标准标志CEC"/>
    <w:basedOn w:val="1"/>
    <w:qFormat/>
    <w:uiPriority w:val="0"/>
    <w:pPr>
      <w:jc w:val="right"/>
    </w:pPr>
    <w:rPr>
      <w:rFonts w:eastAsia="Times New Roman"/>
      <w:b/>
      <w:sz w:val="96"/>
    </w:rPr>
  </w:style>
  <w:style w:type="paragraph" w:customStyle="1" w:styleId="503">
    <w:name w:val="标准称谓CEC"/>
    <w:basedOn w:val="1"/>
    <w:qFormat/>
    <w:uiPriority w:val="0"/>
    <w:pPr>
      <w:jc w:val="center"/>
    </w:pPr>
    <w:rPr>
      <w:rFonts w:eastAsia="黑体"/>
      <w:b/>
      <w:w w:val="132"/>
      <w:kern w:val="0"/>
      <w:sz w:val="52"/>
    </w:rPr>
  </w:style>
  <w:style w:type="paragraph" w:customStyle="1" w:styleId="504">
    <w:name w:val="发布CEC"/>
    <w:basedOn w:val="335"/>
    <w:qFormat/>
    <w:uiPriority w:val="0"/>
  </w:style>
  <w:style w:type="paragraph" w:customStyle="1" w:styleId="505">
    <w:name w:val="发布部门CEC"/>
    <w:basedOn w:val="1"/>
    <w:qFormat/>
    <w:uiPriority w:val="0"/>
    <w:pPr>
      <w:snapToGrid w:val="0"/>
    </w:pPr>
    <w:rPr>
      <w:b/>
      <w:w w:val="135"/>
      <w:kern w:val="0"/>
      <w:sz w:val="36"/>
    </w:rPr>
  </w:style>
  <w:style w:type="paragraph" w:customStyle="1" w:styleId="506">
    <w:name w:val="引言二级条标题"/>
    <w:basedOn w:val="1"/>
    <w:next w:val="258"/>
    <w:qFormat/>
    <w:uiPriority w:val="0"/>
    <w:pPr>
      <w:numPr>
        <w:ilvl w:val="2"/>
        <w:numId w:val="27"/>
      </w:numPr>
      <w:autoSpaceDE w:val="0"/>
      <w:autoSpaceDN w:val="0"/>
      <w:spacing w:before="50" w:beforeLines="50" w:after="50" w:afterLines="50"/>
    </w:pPr>
    <w:rPr>
      <w:rFonts w:ascii="黑体" w:eastAsia="黑体"/>
      <w:kern w:val="0"/>
      <w:szCs w:val="20"/>
    </w:rPr>
  </w:style>
  <w:style w:type="paragraph" w:customStyle="1" w:styleId="507">
    <w:name w:val="引言二级无标题条"/>
    <w:basedOn w:val="506"/>
    <w:next w:val="258"/>
    <w:qFormat/>
    <w:uiPriority w:val="0"/>
    <w:pPr>
      <w:spacing w:before="0" w:beforeLines="0" w:after="0" w:afterLines="0" w:line="276" w:lineRule="auto"/>
    </w:pPr>
    <w:rPr>
      <w:rFonts w:ascii="宋体" w:eastAsia="宋体"/>
    </w:rPr>
  </w:style>
  <w:style w:type="paragraph" w:customStyle="1" w:styleId="508">
    <w:name w:val="引言三级条标题"/>
    <w:basedOn w:val="1"/>
    <w:next w:val="258"/>
    <w:qFormat/>
    <w:uiPriority w:val="0"/>
    <w:pPr>
      <w:numPr>
        <w:ilvl w:val="3"/>
        <w:numId w:val="27"/>
      </w:numPr>
      <w:autoSpaceDE w:val="0"/>
      <w:autoSpaceDN w:val="0"/>
      <w:spacing w:before="50" w:beforeLines="50" w:after="50" w:afterLines="50"/>
    </w:pPr>
    <w:rPr>
      <w:rFonts w:ascii="黑体" w:eastAsia="黑体"/>
      <w:kern w:val="0"/>
      <w:szCs w:val="20"/>
    </w:rPr>
  </w:style>
  <w:style w:type="paragraph" w:customStyle="1" w:styleId="509">
    <w:name w:val="引言三级无标题条"/>
    <w:basedOn w:val="508"/>
    <w:next w:val="258"/>
    <w:qFormat/>
    <w:uiPriority w:val="0"/>
    <w:pPr>
      <w:spacing w:before="0" w:beforeLines="0" w:after="0" w:afterLines="0" w:line="276" w:lineRule="auto"/>
    </w:pPr>
    <w:rPr>
      <w:rFonts w:ascii="宋体" w:eastAsia="宋体"/>
    </w:rPr>
  </w:style>
  <w:style w:type="paragraph" w:customStyle="1" w:styleId="510">
    <w:name w:val="引言四级条标题"/>
    <w:basedOn w:val="1"/>
    <w:next w:val="258"/>
    <w:qFormat/>
    <w:uiPriority w:val="0"/>
    <w:pPr>
      <w:numPr>
        <w:ilvl w:val="4"/>
        <w:numId w:val="27"/>
      </w:numPr>
      <w:autoSpaceDE w:val="0"/>
      <w:autoSpaceDN w:val="0"/>
      <w:spacing w:before="50" w:beforeLines="50" w:after="50" w:afterLines="50"/>
    </w:pPr>
    <w:rPr>
      <w:rFonts w:ascii="黑体" w:eastAsia="黑体"/>
      <w:kern w:val="0"/>
      <w:szCs w:val="20"/>
    </w:rPr>
  </w:style>
  <w:style w:type="paragraph" w:customStyle="1" w:styleId="511">
    <w:name w:val="引言四级无标题条"/>
    <w:basedOn w:val="510"/>
    <w:next w:val="258"/>
    <w:qFormat/>
    <w:uiPriority w:val="0"/>
    <w:pPr>
      <w:spacing w:before="0" w:beforeLines="0" w:after="0" w:afterLines="0" w:line="276" w:lineRule="auto"/>
    </w:pPr>
    <w:rPr>
      <w:rFonts w:ascii="宋体" w:eastAsia="宋体"/>
    </w:rPr>
  </w:style>
  <w:style w:type="paragraph" w:customStyle="1" w:styleId="512">
    <w:name w:val="引言五级条标题"/>
    <w:basedOn w:val="1"/>
    <w:next w:val="258"/>
    <w:qFormat/>
    <w:uiPriority w:val="0"/>
    <w:pPr>
      <w:numPr>
        <w:ilvl w:val="5"/>
        <w:numId w:val="27"/>
      </w:numPr>
      <w:autoSpaceDE w:val="0"/>
      <w:autoSpaceDN w:val="0"/>
      <w:spacing w:before="50" w:beforeLines="50" w:after="50" w:afterLines="50"/>
    </w:pPr>
    <w:rPr>
      <w:rFonts w:ascii="黑体" w:eastAsia="黑体"/>
      <w:kern w:val="0"/>
      <w:szCs w:val="20"/>
    </w:rPr>
  </w:style>
  <w:style w:type="paragraph" w:customStyle="1" w:styleId="513">
    <w:name w:val="引言五级无标题条"/>
    <w:basedOn w:val="512"/>
    <w:next w:val="258"/>
    <w:qFormat/>
    <w:uiPriority w:val="0"/>
    <w:pPr>
      <w:spacing w:before="0" w:beforeLines="0" w:after="0" w:afterLines="0" w:line="276" w:lineRule="auto"/>
    </w:pPr>
    <w:rPr>
      <w:rFonts w:ascii="宋体" w:eastAsia="宋体"/>
    </w:rPr>
  </w:style>
  <w:style w:type="paragraph" w:customStyle="1" w:styleId="514">
    <w:name w:val="引言一级条标题"/>
    <w:basedOn w:val="1"/>
    <w:next w:val="258"/>
    <w:qFormat/>
    <w:uiPriority w:val="0"/>
    <w:pPr>
      <w:numPr>
        <w:ilvl w:val="1"/>
        <w:numId w:val="27"/>
      </w:numPr>
      <w:autoSpaceDE w:val="0"/>
      <w:autoSpaceDN w:val="0"/>
      <w:spacing w:before="50" w:beforeLines="50" w:after="50" w:afterLines="50"/>
    </w:pPr>
    <w:rPr>
      <w:rFonts w:ascii="黑体" w:eastAsia="黑体"/>
      <w:kern w:val="0"/>
      <w:szCs w:val="20"/>
    </w:rPr>
  </w:style>
  <w:style w:type="paragraph" w:customStyle="1" w:styleId="515">
    <w:name w:val="引言一级无标题条"/>
    <w:basedOn w:val="514"/>
    <w:next w:val="258"/>
    <w:qFormat/>
    <w:uiPriority w:val="0"/>
    <w:pPr>
      <w:spacing w:before="0" w:beforeLines="0" w:after="0" w:afterLines="0" w:line="276" w:lineRule="auto"/>
    </w:pPr>
    <w:rPr>
      <w:rFonts w:ascii="宋体" w:eastAsia="宋体"/>
    </w:rPr>
  </w:style>
  <w:style w:type="paragraph" w:customStyle="1" w:styleId="516">
    <w:name w:val="表格段"/>
    <w:basedOn w:val="258"/>
    <w:qFormat/>
    <w:uiPriority w:val="0"/>
    <w:pPr>
      <w:ind w:firstLine="420"/>
    </w:pPr>
    <w:rPr>
      <w:sz w:val="18"/>
    </w:rPr>
  </w:style>
  <w:style w:type="paragraph" w:customStyle="1" w:styleId="517">
    <w:name w:val="表格正文"/>
    <w:basedOn w:val="1"/>
    <w:qFormat/>
    <w:uiPriority w:val="0"/>
    <w:rPr>
      <w:sz w:val="18"/>
    </w:rPr>
  </w:style>
  <w:style w:type="character" w:customStyle="1" w:styleId="518">
    <w:name w:val="fontstyle01"/>
    <w:basedOn w:val="231"/>
    <w:qFormat/>
    <w:uiPriority w:val="0"/>
    <w:rPr>
      <w:rFonts w:ascii="TimesNewRomanPSMT" w:hAnsi="TimesNewRomanPSMT" w:eastAsia="TimesNewRomanPSMT" w:cs="TimesNewRomanPSMT"/>
      <w:color w:val="000000"/>
      <w:sz w:val="22"/>
      <w:szCs w:val="22"/>
    </w:rPr>
  </w:style>
  <w:style w:type="character" w:customStyle="1" w:styleId="519">
    <w:name w:val="fontstyle21"/>
    <w:basedOn w:val="231"/>
    <w:qFormat/>
    <w:uiPriority w:val="0"/>
    <w:rPr>
      <w:rFonts w:ascii="宋体" w:hAnsi="宋体" w:eastAsia="宋体" w:cs="宋体"/>
      <w:color w:val="000000"/>
      <w:sz w:val="22"/>
      <w:szCs w:val="22"/>
    </w:rPr>
  </w:style>
  <w:style w:type="character" w:customStyle="1" w:styleId="520">
    <w:name w:val="fontstyle11"/>
    <w:basedOn w:val="231"/>
    <w:qFormat/>
    <w:uiPriority w:val="0"/>
    <w:rPr>
      <w:rFonts w:ascii="TimesNewRomanPSMT" w:hAnsi="TimesNewRomanPSMT" w:eastAsia="TimesNewRomanPSMT" w:cs="TimesNewRomanPSMT"/>
      <w:color w:val="000000"/>
      <w:sz w:val="22"/>
      <w:szCs w:val="22"/>
    </w:rPr>
  </w:style>
  <w:style w:type="paragraph" w:customStyle="1" w:styleId="521">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2">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523">
    <w:name w:val="标准文件_二级无标题"/>
    <w:basedOn w:val="524"/>
    <w:qFormat/>
    <w:uiPriority w:val="0"/>
    <w:pPr>
      <w:spacing w:before="0" w:beforeLines="0" w:after="0" w:afterLines="0"/>
      <w:outlineLvl w:val="9"/>
    </w:pPr>
    <w:rPr>
      <w:rFonts w:ascii="宋体" w:eastAsia="宋体"/>
    </w:rPr>
  </w:style>
  <w:style w:type="paragraph" w:customStyle="1" w:styleId="524">
    <w:name w:val="标准文件_二级条标题"/>
    <w:next w:val="521"/>
    <w:qFormat/>
    <w:uiPriority w:val="0"/>
    <w:pPr>
      <w:widowControl w:val="0"/>
      <w:numPr>
        <w:ilvl w:val="3"/>
        <w:numId w:val="28"/>
      </w:numPr>
      <w:spacing w:before="50" w:beforeLines="50" w:after="50" w:afterLines="50"/>
      <w:ind w:left="0"/>
      <w:jc w:val="both"/>
      <w:outlineLvl w:val="2"/>
    </w:pPr>
    <w:rPr>
      <w:rFonts w:ascii="黑体" w:hAnsi="Times New Roman" w:eastAsia="黑体" w:cs="Times New Roman"/>
      <w:sz w:val="21"/>
      <w:lang w:val="en-US" w:eastAsia="zh-CN" w:bidi="ar-SA"/>
    </w:rPr>
  </w:style>
  <w:style w:type="paragraph" w:customStyle="1" w:styleId="525">
    <w:name w:val="标准文件_字母编号列项（一级）"/>
    <w:qFormat/>
    <w:uiPriority w:val="0"/>
    <w:pPr>
      <w:numPr>
        <w:ilvl w:val="0"/>
        <w:numId w:val="17"/>
      </w:numPr>
      <w:jc w:val="both"/>
    </w:pPr>
    <w:rPr>
      <w:rFonts w:ascii="宋体" w:hAnsi="Times New Roman" w:eastAsia="宋体" w:cs="Times New Roman"/>
      <w:sz w:val="21"/>
      <w:lang w:val="en-US" w:eastAsia="zh-CN" w:bidi="ar-SA"/>
    </w:rPr>
  </w:style>
  <w:style w:type="paragraph" w:customStyle="1" w:styleId="526">
    <w:name w:val="标准文件_一级条标题"/>
    <w:basedOn w:val="527"/>
    <w:next w:val="521"/>
    <w:qFormat/>
    <w:uiPriority w:val="0"/>
    <w:pPr>
      <w:numPr>
        <w:ilvl w:val="2"/>
      </w:numPr>
      <w:spacing w:before="50" w:beforeLines="50" w:after="50" w:afterLines="50"/>
      <w:outlineLvl w:val="1"/>
    </w:pPr>
  </w:style>
  <w:style w:type="paragraph" w:customStyle="1" w:styleId="527">
    <w:name w:val="标准文件_章标题"/>
    <w:next w:val="521"/>
    <w:qFormat/>
    <w:uiPriority w:val="0"/>
    <w:pPr>
      <w:numPr>
        <w:ilvl w:val="1"/>
        <w:numId w:val="28"/>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528">
    <w:name w:val="标题 3 字符"/>
    <w:basedOn w:val="231"/>
    <w:link w:val="6"/>
    <w:qFormat/>
    <w:uiPriority w:val="0"/>
    <w:rPr>
      <w:b/>
      <w:bCs/>
      <w:sz w:val="32"/>
      <w:szCs w:val="32"/>
    </w:rPr>
  </w:style>
  <w:style w:type="paragraph" w:customStyle="1" w:styleId="529">
    <w:name w:val="样式 正文文本 + 段前: 6 磅 行距: 多倍行距 1.4 字行"/>
    <w:qFormat/>
    <w:uiPriority w:val="0"/>
    <w:pPr>
      <w:widowControl w:val="0"/>
      <w:tabs>
        <w:tab w:val="left" w:pos="1040"/>
      </w:tabs>
      <w:adjustRightInd w:val="0"/>
      <w:snapToGrid w:val="0"/>
      <w:spacing w:beforeLines="10" w:after="120" w:afterLines="10"/>
      <w:ind w:left="964"/>
      <w:jc w:val="both"/>
    </w:pPr>
    <w:rPr>
      <w:rFonts w:ascii="Univers" w:hAnsi="Univers" w:eastAsia="Arial" w:cs="宋体"/>
      <w:sz w:val="22"/>
      <w:lang w:val="en-US" w:eastAsia="zh-CN" w:bidi="ar-SA"/>
    </w:rPr>
  </w:style>
  <w:style w:type="paragraph" w:customStyle="1" w:styleId="530">
    <w:name w:val="标准文件_目录标题"/>
    <w:basedOn w:val="1"/>
    <w:qFormat/>
    <w:uiPriority w:val="0"/>
    <w:pPr>
      <w:spacing w:after="150" w:afterLines="150"/>
      <w:jc w:val="center"/>
    </w:pPr>
    <w:rPr>
      <w:rFonts w:ascii="黑体" w:eastAsia="黑体"/>
      <w:sz w:val="32"/>
    </w:rPr>
  </w:style>
  <w:style w:type="paragraph" w:customStyle="1" w:styleId="531">
    <w:name w:val="WPSOffice手动目录 1"/>
    <w:basedOn w:val="1"/>
    <w:qFormat/>
    <w:uiPriority w:val="0"/>
    <w:rPr>
      <w:kern w:val="0"/>
      <w:sz w:val="24"/>
    </w:rPr>
  </w:style>
  <w:style w:type="paragraph" w:customStyle="1" w:styleId="532">
    <w:name w:val="三级无"/>
    <w:basedOn w:val="290"/>
    <w:qFormat/>
    <w:uiPriority w:val="0"/>
    <w:pPr>
      <w:spacing w:before="0" w:beforeLines="0" w:after="0" w:afterLines="0"/>
    </w:pPr>
    <w:rPr>
      <w:rFonts w:ascii="宋体" w:eastAsia="宋体"/>
    </w:rPr>
  </w:style>
  <w:style w:type="paragraph" w:customStyle="1" w:styleId="533">
    <w:name w:val="正文m"/>
    <w:basedOn w:val="1"/>
    <w:qFormat/>
    <w:uiPriority w:val="0"/>
    <w:pPr>
      <w:ind w:firstLine="200" w:firstLineChars="200"/>
    </w:pPr>
    <w:rPr>
      <w:rFonts w:cs="宋体"/>
    </w:rPr>
  </w:style>
  <w:style w:type="paragraph" w:customStyle="1" w:styleId="534">
    <w:name w:val="Table Paragraph"/>
    <w:basedOn w:val="1"/>
    <w:qFormat/>
    <w:uiPriority w:val="1"/>
    <w:pPr>
      <w:spacing w:before="20"/>
    </w:pPr>
    <w:rPr>
      <w:rFonts w:ascii="宋体" w:hAnsi="宋体" w:cs="宋体"/>
    </w:rPr>
  </w:style>
  <w:style w:type="character" w:customStyle="1" w:styleId="535">
    <w:name w:val="三级无标题条 Char"/>
    <w:link w:val="327"/>
    <w:qFormat/>
    <w:uiPriority w:val="0"/>
    <w:rPr>
      <w:rFonts w:asciiTheme="majorEastAsia" w:eastAsiaTheme="majorEastAsia"/>
      <w:sz w:val="21"/>
      <w:szCs w:val="21"/>
    </w:rPr>
  </w:style>
  <w:style w:type="character" w:customStyle="1" w:styleId="536">
    <w:name w:val="二级无标题条 Char"/>
    <w:link w:val="326"/>
    <w:qFormat/>
    <w:uiPriority w:val="0"/>
    <w:rPr>
      <w:rFonts w:asciiTheme="majorEastAsia" w:eastAsiaTheme="majorEastAsia"/>
      <w:sz w:val="21"/>
      <w:szCs w:val="21"/>
    </w:rPr>
  </w:style>
  <w:style w:type="table" w:customStyle="1" w:styleId="537">
    <w:name w:val="Table Normal"/>
    <w:unhideWhenUsed/>
    <w:qFormat/>
    <w:uiPriority w:val="0"/>
    <w:tblPr>
      <w:tblCellMar>
        <w:top w:w="0" w:type="dxa"/>
        <w:left w:w="0" w:type="dxa"/>
        <w:bottom w:w="0" w:type="dxa"/>
        <w:right w:w="0" w:type="dxa"/>
      </w:tblCellMar>
    </w:tblPr>
  </w:style>
  <w:style w:type="paragraph" w:customStyle="1" w:styleId="538">
    <w:name w:val="bai3"/>
    <w:qFormat/>
    <w:uiPriority w:val="0"/>
    <w:pPr>
      <w:numPr>
        <w:ilvl w:val="2"/>
        <w:numId w:val="29"/>
      </w:numPr>
      <w:jc w:val="both"/>
    </w:pPr>
    <w:rPr>
      <w:rFonts w:ascii="黑体" w:hAnsi="黑体" w:eastAsia="宋体" w:cs="Microsoft Himalaya"/>
      <w:kern w:val="2"/>
      <w:sz w:val="21"/>
      <w:szCs w:val="22"/>
      <w:lang w:val="en-US" w:eastAsia="zh-CN" w:bidi="ar-SA"/>
    </w:rPr>
  </w:style>
  <w:style w:type="paragraph" w:customStyle="1" w:styleId="539">
    <w:name w:val="Table Text"/>
    <w:basedOn w:val="1"/>
    <w:semiHidden/>
    <w:qFormat/>
    <w:uiPriority w:val="0"/>
    <w:rPr>
      <w:rFonts w:ascii="宋体" w:hAnsi="宋体" w:cs="宋体"/>
      <w:szCs w:val="21"/>
      <w:lang w:eastAsia="en-US"/>
    </w:rPr>
  </w:style>
  <w:style w:type="paragraph" w:customStyle="1" w:styleId="540">
    <w:name w:val="发布部门"/>
    <w:next w:val="258"/>
    <w:qFormat/>
    <w:uiPriority w:val="0"/>
    <w:pPr>
      <w:framePr w:w="7433" w:h="585" w:hRule="exact" w:hSpace="180" w:vSpace="180" w:wrap="around" w:vAnchor="margin" w:hAnchor="margin" w:xAlign="center" w:y="14401" w:anchorLock="1"/>
      <w:jc w:val="center"/>
    </w:pPr>
    <w:rPr>
      <w:rFonts w:ascii="宋体" w:hAnsi="Times New Roman" w:eastAsia="宋体" w:cs="Times New Roman"/>
      <w:b/>
      <w:spacing w:val="20"/>
      <w:w w:val="135"/>
      <w:sz w:val="36"/>
      <w:lang w:val="en-US" w:eastAsia="zh-CN" w:bidi="ar-SA"/>
    </w:rPr>
  </w:style>
  <w:style w:type="character" w:customStyle="1" w:styleId="541">
    <w:name w:val="页码1"/>
    <w:qFormat/>
    <w:uiPriority w:val="0"/>
    <w:rPr>
      <w:rFonts w:ascii="Times New Roman" w:hAnsi="Times New Roman" w:eastAsia="宋体"/>
      <w:sz w:val="18"/>
    </w:rPr>
  </w:style>
  <w:style w:type="character" w:customStyle="1" w:styleId="542">
    <w:name w:val="一级条标题 Char"/>
    <w:link w:val="260"/>
    <w:qFormat/>
    <w:uiPriority w:val="0"/>
    <w:rPr>
      <w:rFonts w:ascii="黑体" w:hAnsi="Times New Roman" w:eastAsia="黑体" w:cs="Times New Roman"/>
      <w:sz w:val="21"/>
      <w:szCs w:val="21"/>
      <w:lang w:val="en-US" w:eastAsia="zh-CN" w:bidi="ar-SA"/>
    </w:rPr>
  </w:style>
  <w:style w:type="paragraph" w:customStyle="1" w:styleId="543">
    <w:name w:val="其他发布日期"/>
    <w:basedOn w:val="264"/>
    <w:qFormat/>
    <w:uiPriority w:val="0"/>
    <w:pPr>
      <w:framePr w:w="3997" w:h="471" w:hRule="exact" w:vSpace="181" w:wrap="auto" w:vAnchor="page" w:hAnchor="page" w:x="1419" w:y="14097"/>
    </w:pPr>
  </w:style>
  <w:style w:type="paragraph" w:customStyle="1" w:styleId="544">
    <w:name w:val="标准文件_文件名称"/>
    <w:basedOn w:val="521"/>
    <w:next w:val="521"/>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glossaryDocument" Target="glossary/document.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3.jpeg"/><Relationship Id="rId28" Type="http://schemas.openxmlformats.org/officeDocument/2006/relationships/image" Target="media/image2.tiff"/><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4.xml"/><Relationship Id="rId24" Type="http://schemas.openxmlformats.org/officeDocument/2006/relationships/footer" Target="footer13.xml"/><Relationship Id="rId23" Type="http://schemas.openxmlformats.org/officeDocument/2006/relationships/header" Target="header9.xml"/><Relationship Id="rId22" Type="http://schemas.openxmlformats.org/officeDocument/2006/relationships/header" Target="header8.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yj/C:\home\greatwall\C:\home\cnooc\C:\home\greatwall\C:\Users\haojm\AppData\Roaming\&#26631;&#20934;&#32534;&#20889;WPS\bzbx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9BE852335354B25A9A1502BD6B4F871"/>
        <w:style w:val=""/>
        <w:category>
          <w:name w:val="常规"/>
          <w:gallery w:val="placeholder"/>
        </w:category>
        <w:types>
          <w:type w:val="bbPlcHdr"/>
        </w:types>
        <w:behaviors>
          <w:behavior w:val="content"/>
        </w:behaviors>
        <w:description w:val=""/>
        <w:guid w:val="{217E8AD6-D0C5-4280-9F7C-798E10C55AAF}"/>
      </w:docPartPr>
      <w:docPartBody>
        <w:p w14:paraId="2E5DB6D4">
          <w:pPr>
            <w:pStyle w:val="5"/>
          </w:pPr>
          <w:r>
            <w:rPr>
              <w:rStyle w:val="4"/>
              <w:rFonts w:hint="eastAsia"/>
            </w:rPr>
            <w:t>选择一项。</w:t>
          </w:r>
        </w:p>
      </w:docPartBody>
    </w:docPart>
    <w:docPart>
      <w:docPartPr>
        <w:name w:val="F15AA0937B0E4072B2014D8F39C268A5"/>
        <w:style w:val=""/>
        <w:category>
          <w:name w:val="常规"/>
          <w:gallery w:val="placeholder"/>
        </w:category>
        <w:types>
          <w:type w:val="bbPlcHdr"/>
        </w:types>
        <w:behaviors>
          <w:behavior w:val="content"/>
        </w:behaviors>
        <w:description w:val=""/>
        <w:guid w:val="{A2B14580-3EBB-43F2-A275-C429E093176D}"/>
      </w:docPartPr>
      <w:docPartBody>
        <w:p w14:paraId="1B3D6335">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revisionView w:markup="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ADB"/>
    <w:rsid w:val="00593CBA"/>
    <w:rsid w:val="006A2149"/>
    <w:rsid w:val="008D2ADB"/>
    <w:rsid w:val="009C38D1"/>
    <w:rsid w:val="00B12C9B"/>
    <w:rsid w:val="00B176F4"/>
    <w:rsid w:val="00D43272"/>
    <w:rsid w:val="00E5381A"/>
    <w:rsid w:val="00F576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9BE852335354B25A9A1502BD6B4F87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15AA0937B0E4072B2014D8F39C268A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bzbx20</Template>
  <Company>神州网信技术有限公司</Company>
  <Pages>71</Pages>
  <Words>47076</Words>
  <Characters>50706</Characters>
  <Lines>549</Lines>
  <Paragraphs>154</Paragraphs>
  <TotalTime>3</TotalTime>
  <ScaleCrop>false</ScaleCrop>
  <LinksUpToDate>false</LinksUpToDate>
  <CharactersWithSpaces>54674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2023-09-03T06:15:00Z</dcterms:created>
  <dc:creator>haojm</dc:creator>
  <cp:lastModifiedBy>yj</cp:lastModifiedBy>
  <cp:lastPrinted>2023-12-03T09:08:00Z</cp:lastPrinted>
  <dcterms:modified xsi:type="dcterms:W3CDTF">2026-02-04T15:36:08Z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D569C38B81484A3AB0B01742AC73C3BF_13</vt:lpwstr>
  </property>
  <property fmtid="{D5CDD505-2E9C-101B-9397-08002B2CF9AE}" pid="4" name="条文说明标记" linkTarget="条文说明标记">
    <vt:lpwstr>无</vt:lpwstr>
  </property>
  <property fmtid="{D5CDD505-2E9C-101B-9397-08002B2CF9AE}" pid="5" name="文件标记" linkTarget="文件标记">
    <vt:lpwstr>蓝元软件</vt:lpwstr>
  </property>
  <property fmtid="{D5CDD505-2E9C-101B-9397-08002B2CF9AE}" pid="6" name="标准版本" linkTarget="标准版本">
    <vt:lpwstr>2020</vt:lpwstr>
  </property>
  <property fmtid="{D5CDD505-2E9C-101B-9397-08002B2CF9AE}" pid="7" name="ICS" linkTarget="ICS">
    <vt:lpwstr>ICS13.100</vt:lpwstr>
  </property>
  <property fmtid="{D5CDD505-2E9C-101B-9397-08002B2CF9AE}" pid="8" name="CCS" linkTarget="CCS">
    <vt:lpwstr>CCSE09</vt:lpwstr>
  </property>
  <property fmtid="{D5CDD505-2E9C-101B-9397-08002B2CF9AE}" pid="9" name="BAH" linkTarget="BAH">
    <vt:lpwstr>备案号：</vt:lpwstr>
  </property>
  <property fmtid="{D5CDD505-2E9C-101B-9397-08002B2CF9AE}" pid="10" name="BT" linkTarget="BT">
    <vt:lpwstr>中华人民共和国国家标准</vt:lpwstr>
  </property>
  <property fmtid="{D5CDD505-2E9C-101B-9397-08002B2CF9AE}" pid="11" name="BZBH" linkTarget="BZBH">
    <vt:lpwstr>GB</vt:lpwstr>
  </property>
  <property fmtid="{D5CDD505-2E9C-101B-9397-08002B2CF9AE}" pid="12" name="TDBH" linkTarget="TDBH">
    <vt:lpwstr>代替 GB</vt:lpwstr>
  </property>
  <property fmtid="{D5CDD505-2E9C-101B-9397-08002B2CF9AE}" pid="13" name="BZMC" linkTarget="BZMC">
    <vt:lpwstr>浮式生产储油装置（FPSO）安全规范</vt:lpwstr>
  </property>
  <property fmtid="{D5CDD505-2E9C-101B-9397-08002B2CF9AE}" pid="14" name="YWMC" linkTarget="YWMC">
    <vt:lpwstr>Safety specification for floating production storage offloading unit (FPSO )</vt:lpwstr>
  </property>
  <property fmtid="{D5CDD505-2E9C-101B-9397-08002B2CF9AE}" pid="15" name="CBCD" linkTarget="CBCD">
    <vt:lpwstr>（与国际标准一致性程度的标识）</vt:lpwstr>
  </property>
  <property fmtid="{D5CDD505-2E9C-101B-9397-08002B2CF9AE}" pid="16" name="WGLB" linkTarget="WGLB">
    <vt:lpwstr>（不设文稿类别）</vt:lpwstr>
  </property>
  <property fmtid="{D5CDD505-2E9C-101B-9397-08002B2CF9AE}" pid="17" name="FBRQ" linkTarget="FBRQ">
    <vt:lpwstr>20XX-XX-XX</vt:lpwstr>
  </property>
  <property fmtid="{D5CDD505-2E9C-101B-9397-08002B2CF9AE}" pid="18" name="SSRQ" linkTarget="SSRQ">
    <vt:lpwstr>20XX-XX-XX</vt:lpwstr>
  </property>
  <property fmtid="{D5CDD505-2E9C-101B-9397-08002B2CF9AE}" pid="19" name="BZLX" linkTarget="BZLX">
    <vt:lpwstr>GB</vt:lpwstr>
  </property>
  <property fmtid="{D5CDD505-2E9C-101B-9397-08002B2CF9AE}" pid="20" name="标准类型" linkTarget="标准类型">
    <vt:lpwstr>GB</vt:lpwstr>
  </property>
  <property fmtid="{D5CDD505-2E9C-101B-9397-08002B2CF9AE}" pid="21" name="FBDW" linkTarget="FBDW">
    <vt:lpwstr>国家市场监督管理总局###ENTER###国家标准化管理委员会</vt:lpwstr>
  </property>
  <property fmtid="{D5CDD505-2E9C-101B-9397-08002B2CF9AE}" pid="22" name="IMAGE" linkTarget="IMAGE">
    <vt:lpwstr>GB.bmp</vt:lpwstr>
  </property>
  <property fmtid="{D5CDD505-2E9C-101B-9397-08002B2CF9AE}" pid="23" name="KSOTemplateDocerSaveRecord">
    <vt:lpwstr>eyJoZGlkIjoiNDk2Y2NjMTA2OGY2YzgxNDNlNTNhZjEzMjRhOTZiNTEiLCJ1c2VySWQiOiI2ODg0NTE3MzAifQ==</vt:lpwstr>
  </property>
</Properties>
</file>