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6"/>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14:paraId="1324A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2794C6AB">
            <w:pPr>
              <w:snapToGrid w:val="0"/>
              <w:jc w:val="left"/>
              <w:rPr>
                <w:rFonts w:ascii="宋体" w:hAnsi="宋体" w:eastAsia="黑体" w:cs="Times New Roman"/>
                <w:szCs w:val="21"/>
              </w:rPr>
            </w:pPr>
            <w:r>
              <w:rPr>
                <w:rFonts w:ascii="宋体" w:hAnsi="宋体" w:eastAsia="黑体" w:cs="Times New Roman"/>
                <w:szCs w:val="21"/>
              </w:rPr>
              <w:t xml:space="preserve">ICS  </w:t>
            </w:r>
          </w:p>
        </w:tc>
        <w:tc>
          <w:tcPr>
            <w:tcW w:w="8855" w:type="dxa"/>
          </w:tcPr>
          <w:p w14:paraId="761B3C97">
            <w:pPr>
              <w:snapToGrid w:val="0"/>
              <w:ind w:left="3"/>
              <w:rPr>
                <w:rFonts w:ascii="宋体" w:hAnsi="宋体" w:eastAsia="黑体" w:cs="Times New Roman"/>
                <w:szCs w:val="21"/>
              </w:rPr>
            </w:pPr>
            <w:r>
              <w:rPr>
                <w:rFonts w:hint="eastAsia" w:ascii="宋体" w:hAnsi="宋体" w:eastAsia="黑体" w:cs="Times New Roman"/>
                <w:szCs w:val="21"/>
              </w:rPr>
              <w:t>13</w:t>
            </w:r>
            <w:r>
              <w:rPr>
                <w:rFonts w:ascii="宋体" w:hAnsi="宋体" w:eastAsia="黑体" w:cs="Times New Roman"/>
                <w:szCs w:val="21"/>
              </w:rPr>
              <w:t>.</w:t>
            </w:r>
            <w:r>
              <w:rPr>
                <w:rFonts w:hint="eastAsia" w:ascii="宋体" w:hAnsi="宋体" w:eastAsia="黑体" w:cs="Times New Roman"/>
                <w:szCs w:val="21"/>
              </w:rPr>
              <w:t>1</w:t>
            </w:r>
            <w:r>
              <w:rPr>
                <w:rFonts w:ascii="宋体" w:hAnsi="宋体" w:eastAsia="黑体" w:cs="Times New Roman"/>
                <w:szCs w:val="21"/>
              </w:rPr>
              <w:t>00</w:t>
            </w:r>
          </w:p>
        </w:tc>
      </w:tr>
      <w:tr w14:paraId="6F1A1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14:paraId="14781789">
            <w:pPr>
              <w:snapToGrid w:val="0"/>
              <w:spacing w:before="40"/>
              <w:jc w:val="left"/>
              <w:rPr>
                <w:rFonts w:ascii="宋体" w:hAnsi="宋体" w:eastAsia="黑体" w:cs="Times New Roman"/>
                <w:szCs w:val="21"/>
              </w:rPr>
            </w:pPr>
            <w:r>
              <w:rPr>
                <w:rFonts w:ascii="宋体" w:hAnsi="宋体" w:eastAsia="黑体" w:cs="Times New Roman"/>
                <w:szCs w:val="21"/>
              </w:rPr>
              <w:t xml:space="preserve">CCS  </w:t>
            </w:r>
          </w:p>
        </w:tc>
        <w:tc>
          <w:tcPr>
            <w:tcW w:w="8855" w:type="dxa"/>
          </w:tcPr>
          <w:p w14:paraId="60C2BD81">
            <w:pPr>
              <w:snapToGrid w:val="0"/>
              <w:spacing w:before="40"/>
              <w:jc w:val="left"/>
              <w:rPr>
                <w:rFonts w:ascii="宋体" w:hAnsi="宋体" w:eastAsia="黑体" w:cs="Times New Roman"/>
                <w:szCs w:val="21"/>
              </w:rPr>
            </w:pPr>
            <w:r>
              <w:rPr>
                <w:rFonts w:ascii="宋体" w:hAnsi="宋体" w:eastAsia="黑体" w:cs="Times New Roman"/>
                <w:szCs w:val="21"/>
              </w:rPr>
              <w:t>E</w:t>
            </w:r>
            <w:r>
              <w:rPr>
                <w:rFonts w:hint="eastAsia" w:ascii="宋体" w:hAnsi="宋体" w:eastAsia="黑体" w:cs="Times New Roman"/>
                <w:szCs w:val="21"/>
              </w:rPr>
              <w:t xml:space="preserve"> 09</w:t>
            </w:r>
          </w:p>
        </w:tc>
      </w:tr>
    </w:tbl>
    <w:p w14:paraId="62AA88BE">
      <w:pPr>
        <w:pStyle w:val="36"/>
        <w:rPr>
          <w:rFonts w:ascii="宋体" w:hAnsi="宋体" w:cs="宋体"/>
          <w:sz w:val="21"/>
          <w:szCs w:val="21"/>
        </w:rPr>
        <w:sectPr>
          <w:headerReference r:id="rId5" w:type="first"/>
          <w:footerReference r:id="rId7" w:type="first"/>
          <w:headerReference r:id="rId3" w:type="default"/>
          <w:footerReference r:id="rId6" w:type="default"/>
          <w:headerReference r:id="rId4" w:type="even"/>
          <w:pgSz w:w="11907" w:h="16839"/>
          <w:pgMar w:top="567" w:right="851" w:bottom="1361" w:left="1418" w:header="0" w:footer="0" w:gutter="0"/>
          <w:pgNumType w:fmt="upperRoman" w:start="1"/>
          <w:cols w:space="720" w:num="1"/>
          <w:docGrid w:type="lines" w:linePitch="312" w:charSpace="0"/>
        </w:sectPr>
      </w:pPr>
      <w:r>
        <w:rPr>
          <w:rFonts w:hint="eastAsia" w:ascii="宋体" w:hAnsi="宋体" w:cs="宋体"/>
          <w:sz w:val="21"/>
          <w:szCs w:val="21"/>
        </w:rPr>
        <w:br w:type="page"/>
      </w:r>
      <w:bookmarkStart w:id="0" w:name="SectionMark0"/>
      <w:r>
        <w:rPr>
          <w:rFonts w:ascii="宋体" w:hAnsi="宋体"/>
          <w:sz w:val="28"/>
          <w:szCs w:val="28"/>
        </w:rPr>
        <w:pict>
          <v:line id="直接连接符 34" o:spid="_x0000_s2059" o:spt="20" style="position:absolute;left:0pt;margin-left:70.85pt;margin-top:728.55pt;height:0pt;width:481.9pt;mso-position-horizontal-relative:page;mso-position-vertical-relative:page;z-index:251674624;mso-width-relative:page;mso-height-relative:page;" coordsize="21600,21600" o:gfxdata="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5qdGL&#10;1wAAAA4BAAAPAAAAAAAAAAEAIAAAACIAAABkcnMvZG93bnJldi54bWxQSwECFAAUAAAACACHTuJA&#10;fsVnBOkBAAC5AwAADgAAAAAAAAABACAAAAAmAQAAZHJzL2Uyb0RvYy54bWxQSwUGAAAAAAYABgBZ&#10;AQAAgQUAAAAA&#10;">
            <v:path arrowok="t"/>
            <v:fill focussize="0,0"/>
            <v:stroke/>
            <v:imagedata o:title=""/>
            <o:lock v:ext="edit"/>
            <w10:anchorlock/>
          </v:line>
        </w:pict>
      </w:r>
      <w:r>
        <w:rPr>
          <w:rFonts w:ascii="宋体" w:hAnsi="宋体"/>
        </w:rPr>
        <w:pict>
          <v:shape id="_x0000_s2058" o:spid="_x0000_s2058" o:spt="202" type="#_x0000_t202" style="position:absolute;left:0pt;margin-left:0.9pt;margin-top:720.95pt;height:20.8pt;width:481.9pt;mso-position-horizontal-relative:margin;mso-position-vertical-relative:margin;z-index:251673600;mso-width-relative:page;mso-height-relative:page;" stroked="f" coordsize="21600,21600" o:gfxdata="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Fz4QjaAAAACwEAAA8A&#10;AAAAAAAAAQAgAAAAIgAAAGRycy9kb3ducmV2LnhtbFBLAQIUABQAAAAIAIdO4kDxTvW93AEAALcD&#10;AAAOAAAAAAAAAAEAIAAAACkBAABkcnMvZTJvRG9jLnhtbFBLBQYAAAAABgAGAFkBAAB3BQAAAAA=&#10;">
            <v:path/>
            <v:fill focussize="0,0"/>
            <v:stroke on="f" joinstyle="miter"/>
            <v:imagedata o:title=""/>
            <o:lock v:ext="edit"/>
            <v:textbox inset="0mm,0mm,0mm,0mm">
              <w:txbxContent>
                <w:p w14:paraId="272E7532">
                  <w:pPr>
                    <w:pStyle w:val="82"/>
                    <w:rPr>
                      <w:spacing w:val="0"/>
                      <w:w w:val="100"/>
                      <w:sz w:val="28"/>
                      <w:szCs w:val="28"/>
                    </w:rPr>
                  </w:pPr>
                  <w:r>
                    <w:rPr>
                      <w:rFonts w:hint="eastAsia"/>
                      <w:spacing w:val="0"/>
                      <w:w w:val="100"/>
                      <w:sz w:val="28"/>
                      <w:szCs w:val="28"/>
                    </w:rPr>
                    <w:t xml:space="preserve">中华人民共和国应急管理部   </w:t>
                  </w:r>
                  <w:r>
                    <w:rPr>
                      <w:rStyle w:val="45"/>
                      <w:rFonts w:hint="eastAsia"/>
                      <w:spacing w:val="0"/>
                      <w:position w:val="0"/>
                      <w:szCs w:val="28"/>
                    </w:rPr>
                    <w:t>发 布</w:t>
                  </w:r>
                </w:p>
              </w:txbxContent>
            </v:textbox>
            <w10:anchorlock/>
          </v:shape>
        </w:pict>
      </w:r>
      <w:r>
        <w:rPr>
          <w:rFonts w:ascii="宋体" w:hAnsi="宋体" w:cs="宋体"/>
          <w:sz w:val="21"/>
          <w:szCs w:val="21"/>
        </w:rPr>
        <w:pict>
          <v:shape id="文本框 12" o:spid="_x0000_s2057" o:spt="202" type="#_x0000_t202" style="position:absolute;left:0pt;margin-left:0pt;margin-top:110.35pt;height:67.75pt;width:467.25pt;mso-position-horizontal-relative:margin;mso-position-vertical-relative:margin;z-index:251672576;mso-width-relative:page;mso-height-relative:page;" stroked="f" coordsize="21600,21600" o:gfxdata="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KS/Oe9gAAAAIAQAADwAAAAAAAAABACAA&#10;AAAiAAAAZHJzL2Rvd25yZXYueG1sUEsBAhQAFAAAAAgAh07iQEQnNanUAQAAqgMAAA4AAAAAAAAA&#10;AQAgAAAAJwEAAGRycy9lMm9Eb2MueG1sUEsFBgAAAAAGAAYAWQEAAG0FAAAAAA==&#10;">
            <v:path/>
            <v:fill focussize="0,0"/>
            <v:stroke on="f" joinstyle="miter"/>
            <v:imagedata o:title=""/>
            <o:lock v:ext="edit"/>
            <v:textbox inset="0mm,0mm,0mm,0mm">
              <w:txbxContent>
                <w:p w14:paraId="471A9CFF">
                  <w:pPr>
                    <w:pStyle w:val="37"/>
                    <w:rPr>
                      <w:rFonts w:eastAsia="黑体"/>
                      <w:b/>
                    </w:rPr>
                  </w:pPr>
                  <w:r>
                    <w:rPr>
                      <w:rFonts w:hint="eastAsia" w:ascii="黑体" w:eastAsia="黑体"/>
                    </w:rPr>
                    <w:t>AQ XXXX-XXXX</w:t>
                  </w:r>
                </w:p>
                <w:p w14:paraId="141DE562">
                  <w:pPr>
                    <w:pStyle w:val="39"/>
                    <w:spacing w:before="57"/>
                    <w:rPr>
                      <w:rFonts w:ascii="宋体" w:hAnsi="宋体"/>
                      <w:sz w:val="21"/>
                      <w:szCs w:val="21"/>
                    </w:rPr>
                  </w:pPr>
                </w:p>
              </w:txbxContent>
            </v:textbox>
            <w10:anchorlock/>
          </v:shape>
        </w:pict>
      </w:r>
      <w:r>
        <w:rPr>
          <w:rFonts w:ascii="宋体" w:hAnsi="宋体" w:cs="宋体"/>
          <w:sz w:val="21"/>
          <w:szCs w:val="21"/>
        </w:rPr>
        <w:pict>
          <v:shape id="文本框 15" o:spid="_x0000_s2056" o:spt="202" type="#_x0000_t202" style="position:absolute;left:0pt;margin-left:320.25pt;margin-top:671pt;height:24.6pt;width:159pt;mso-position-horizontal-relative:margin;mso-position-vertical-relative:margin;z-index:251671552;mso-width-relative:page;mso-height-relative:page;" stroked="f" coordsize="21600,21600" o:gfxdata="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WOHs5toAAAANAQAADwAAAAAAAAAB&#10;ACAAAAAiAAAAZHJzL2Rvd25yZXYueG1sUEsBAhQAFAAAAAgAh07iQK3HUcHVAQAAqgMAAA4AAAAA&#10;AAAAAQAgAAAAKQEAAGRycy9lMm9Eb2MueG1sUEsFBgAAAAAGAAYAWQEAAHAFAAAAAA==&#10;">
            <v:path/>
            <v:fill focussize="0,0"/>
            <v:stroke on="f" joinstyle="miter"/>
            <v:imagedata o:title=""/>
            <o:lock v:ext="edit"/>
            <v:textbox inset="0mm,0mm,0mm,0mm">
              <w:txbxContent>
                <w:p w14:paraId="6E0EDA6E">
                  <w:pPr>
                    <w:pStyle w:val="40"/>
                    <w:ind w:left="0" w:right="46"/>
                  </w:pPr>
                  <w:r>
                    <w:rPr>
                      <w:rFonts w:hint="eastAsia"/>
                    </w:rPr>
                    <w:t>××××-××-××实施</w:t>
                  </w:r>
                </w:p>
                <w:p w14:paraId="65187E20">
                  <w:pPr>
                    <w:pStyle w:val="40"/>
                    <w:ind w:right="560"/>
                    <w:jc w:val="both"/>
                  </w:pPr>
                  <w:r>
                    <w:rPr>
                      <w:rFonts w:hint="eastAsia"/>
                    </w:rPr>
                    <w:t>×-××-××实施</w:t>
                  </w:r>
                </w:p>
              </w:txbxContent>
            </v:textbox>
            <w10:anchorlock/>
          </v:shape>
        </w:pict>
      </w:r>
      <w:r>
        <w:rPr>
          <w:rFonts w:ascii="宋体" w:hAnsi="宋体" w:cs="宋体"/>
          <w:sz w:val="21"/>
          <w:szCs w:val="21"/>
        </w:rPr>
        <w:pict>
          <v:shape id="文本框 11" o:spid="_x0000_s2055" o:spt="202" type="#_x0000_t202" style="position:absolute;left:0pt;margin-left:0pt;margin-top:671pt;height:24.6pt;width:159pt;mso-position-horizontal-relative:margin;mso-position-vertical-relative:margin;z-index:251670528;mso-width-relative:page;mso-height-relative:page;" stroked="f" coordsize="21600,21600" o:gfxdata="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p8OVu1gAAAAoBAAAPAAAAAAAAAAEAIAAA&#10;ACIAAABkcnMvZG93bnJldi54bWxQSwECFAAUAAAACACHTuJAvj2YaNUBAACqAwAADgAAAAAAAAAB&#10;ACAAAAAlAQAAZHJzL2Uyb0RvYy54bWxQSwUGAAAAAAYABgBZAQAAbAUAAAAA&#10;">
            <v:path/>
            <v:fill focussize="0,0"/>
            <v:stroke on="f" joinstyle="miter"/>
            <v:imagedata o:title=""/>
            <o:lock v:ext="edit"/>
            <v:textbox inset="0mm,0mm,0mm,0mm">
              <w:txbxContent>
                <w:p w14:paraId="4FD09234">
                  <w:pPr>
                    <w:pStyle w:val="41"/>
                  </w:pPr>
                  <w:r>
                    <w:rPr>
                      <w:rFonts w:hint="eastAsia"/>
                    </w:rPr>
                    <w:t>××××-××-××发布</w:t>
                  </w:r>
                </w:p>
              </w:txbxContent>
            </v:textbox>
            <w10:anchorlock/>
          </v:shape>
        </w:pict>
      </w:r>
      <w:r>
        <w:rPr>
          <w:rFonts w:ascii="宋体" w:hAnsi="宋体" w:cs="宋体"/>
          <w:sz w:val="21"/>
          <w:szCs w:val="21"/>
        </w:rPr>
        <w:pict>
          <v:line id="_x0000_s2054" o:spid="_x0000_s2054" o:spt="20" style="position:absolute;left:0pt;margin-left:0pt;margin-top:700pt;height:0pt;width:482pt;z-index:251669504;mso-width-relative:page;mso-height-relative:page;" coordsize="21600,21600" o:gfxdata="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Gw37+1QAAAAoBAAAPAAAAAAAAAAEAIAAAACIAAABkcnMvZG93bnJldi54bWxQSwECFAAUAAAA&#10;CACHTuJAaw+j8/EBAADnAwAADgAAAAAAAAABACAAAAAkAQAAZHJzL2Uyb0RvYy54bWxQSwUGAAAA&#10;AAYABgBZAQAAhwUAAAAA&#10;">
            <v:path arrowok="t"/>
            <v:fill focussize="0,0"/>
            <v:stroke weight="1pt"/>
            <v:imagedata o:title=""/>
            <o:lock v:ext="edit"/>
          </v:line>
        </w:pict>
      </w:r>
      <w:r>
        <w:rPr>
          <w:rFonts w:ascii="宋体" w:hAnsi="宋体" w:cs="宋体"/>
          <w:sz w:val="21"/>
          <w:szCs w:val="21"/>
        </w:rPr>
        <w:pict>
          <v:line id="_x0000_s2053" o:spid="_x0000_s2053" o:spt="20" style="position:absolute;left:0pt;margin-left:0pt;margin-top:179pt;height:0pt;width:482pt;z-index:251668480;mso-width-relative:page;mso-height-relative:page;" coordsize="21600,21600" o:gfxdata="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vqahW1gAAAAgBAAAPAAAAAAAAAAEAIAAAACIAAABkcnMvZG93bnJldi54bWxQSwECFAAUAAAA&#10;CACHTuJAIabEBfABAADpAwAADgAAAAAAAAABACAAAAAlAQAAZHJzL2Uyb0RvYy54bWxQSwUGAAAA&#10;AAYABgBZAQAAhwUAAAAA&#10;">
            <v:path arrowok="t"/>
            <v:fill focussize="0,0"/>
            <v:stroke weight="1pt"/>
            <v:imagedata o:title=""/>
            <o:lock v:ext="edit"/>
          </v:line>
        </w:pict>
      </w:r>
      <w:r>
        <w:rPr>
          <w:rFonts w:ascii="宋体" w:hAnsi="宋体" w:cs="宋体"/>
          <w:sz w:val="21"/>
          <w:szCs w:val="21"/>
        </w:rPr>
        <w:pict>
          <v:shape id="文本框 6" o:spid="_x0000_s2052" o:spt="202" type="#_x0000_t202" style="position:absolute;left:0pt;margin-left:0pt;margin-top:286.25pt;height:368.6pt;width:470pt;mso-position-horizontal-relative:margin;mso-position-vertical-relative:margin;z-index:251667456;mso-width-relative:page;mso-height-relative:page;" stroked="f" coordsize="21600,21600" o:gfxdata="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UV59x2AAAAAkBAAAPAAAAAAAAAAEA&#10;IAAAACIAAABkcnMvZG93bnJldi54bWxQSwECFAAUAAAACACHTuJAzYVw8tYBAACqAwAADgAAAAAA&#10;AAABACAAAAAnAQAAZHJzL2Uyb0RvYy54bWxQSwUGAAAAAAYABgBZAQAAbwUAAAAA&#10;">
            <v:path/>
            <v:fill focussize="0,0"/>
            <v:stroke on="f" joinstyle="miter"/>
            <v:imagedata o:title=""/>
            <o:lock v:ext="edit"/>
            <v:textbox inset="0mm,0mm,0mm,0mm">
              <w:txbxContent>
                <w:p w14:paraId="1B803988">
                  <w:pPr>
                    <w:pStyle w:val="46"/>
                    <w:spacing w:line="700" w:lineRule="exact"/>
                    <w:rPr>
                      <w:rFonts w:hAnsi="Calibri"/>
                    </w:rPr>
                  </w:pPr>
                  <w:r>
                    <w:rPr>
                      <w:rFonts w:hint="eastAsia" w:hAnsi="Calibri"/>
                    </w:rPr>
                    <w:t>海洋石油安全评价检测检验机构条件</w:t>
                  </w:r>
                </w:p>
                <w:p w14:paraId="49D88FB1">
                  <w:pPr>
                    <w:pStyle w:val="47"/>
                    <w:spacing w:before="0" w:line="360" w:lineRule="exact"/>
                    <w:rPr>
                      <w:rFonts w:ascii="Times New Roman" w:eastAsia="黑体"/>
                      <w:sz w:val="28"/>
                    </w:rPr>
                  </w:pPr>
                </w:p>
                <w:p w14:paraId="32098F5A">
                  <w:pPr>
                    <w:pStyle w:val="47"/>
                    <w:spacing w:before="0" w:line="360" w:lineRule="exact"/>
                    <w:rPr>
                      <w:rFonts w:ascii="Times New Roman" w:eastAsia="黑体"/>
                      <w:sz w:val="28"/>
                    </w:rPr>
                  </w:pPr>
                  <w:r>
                    <w:rPr>
                      <w:rFonts w:hint="eastAsia" w:ascii="Times New Roman" w:eastAsia="黑体"/>
                      <w:sz w:val="28"/>
                    </w:rPr>
                    <w:t>Conditions of offshore oil safety evaluation, testing and inspection agency</w:t>
                  </w:r>
                </w:p>
                <w:p w14:paraId="07D039E6">
                  <w:pPr>
                    <w:pStyle w:val="47"/>
                  </w:pPr>
                  <w:r>
                    <w:rPr>
                      <w:rFonts w:hint="eastAsia"/>
                    </w:rPr>
                    <w:t>（征求意见稿）</w:t>
                  </w:r>
                </w:p>
                <w:p w14:paraId="63FA43F2">
                  <w:pPr>
                    <w:pStyle w:val="47"/>
                    <w:spacing w:before="0" w:line="240" w:lineRule="atLeast"/>
                    <w:rPr>
                      <w:rFonts w:ascii="Times New Roman" w:eastAsia="黑体"/>
                      <w:sz w:val="28"/>
                    </w:rPr>
                  </w:pPr>
                </w:p>
                <w:p w14:paraId="2761D3EF">
                  <w:pPr>
                    <w:pStyle w:val="48"/>
                    <w:spacing w:before="0" w:line="240" w:lineRule="atLeast"/>
                    <w:rPr>
                      <w:rFonts w:ascii="黑体" w:eastAsia="黑体"/>
                      <w:sz w:val="28"/>
                      <w:szCs w:val="28"/>
                    </w:rPr>
                  </w:pPr>
                </w:p>
              </w:txbxContent>
            </v:textbox>
            <w10:anchorlock/>
          </v:shape>
        </w:pict>
      </w:r>
      <w:r>
        <w:rPr>
          <w:rFonts w:ascii="宋体" w:hAnsi="宋体" w:cs="宋体"/>
          <w:sz w:val="21"/>
          <w:szCs w:val="21"/>
        </w:rPr>
        <w:pict>
          <v:shape id="文本框 14" o:spid="_x0000_s2051" o:spt="202" type="#_x0000_t202" style="position:absolute;left:0pt;margin-left:200.75pt;margin-top:8.45pt;height:56.7pt;width:250pt;mso-position-horizontal-relative:margin;mso-position-vertical-relative:margin;z-index:251666432;mso-width-relative:page;mso-height-relative:page;" stroked="f" coordsize="21600,21600" o:gfxdata="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lZOzzYAAAACgEAAA8AAAAAAAAAAQAg&#10;AAAAIgAAAGRycy9kb3ducmV2LnhtbFBLAQIUABQAAAAIAIdO4kBvgvRm1QEAAKoDAAAOAAAAAAAA&#10;AAEAIAAAACcBAABkcnMvZTJvRG9jLnhtbFBLBQYAAAAABgAGAFkBAABuBQAAAAA=&#10;">
            <v:path/>
            <v:fill focussize="0,0"/>
            <v:stroke on="f" joinstyle="miter"/>
            <v:imagedata o:title=""/>
            <o:lock v:ext="edit"/>
            <v:textbox inset="0mm,0mm,0mm,0mm">
              <w:txbxContent>
                <w:p w14:paraId="5040233F">
                  <w:pPr>
                    <w:pStyle w:val="49"/>
                  </w:pPr>
                  <w:r>
                    <w:rPr>
                      <w:rFonts w:hint="eastAsia"/>
                    </w:rPr>
                    <w:t>AQ</w:t>
                  </w:r>
                </w:p>
              </w:txbxContent>
            </v:textbox>
            <w10:anchorlock/>
          </v:shape>
        </w:pict>
      </w:r>
      <w:r>
        <w:rPr>
          <w:rFonts w:ascii="宋体" w:hAnsi="宋体" w:cs="宋体"/>
          <w:sz w:val="21"/>
          <w:szCs w:val="21"/>
        </w:rPr>
        <w:pict>
          <v:shape id="文本框 4" o:spid="_x0000_s2050" o:spt="202" type="#_x0000_t202" style="position:absolute;left:0pt;margin-left:0pt;margin-top:79.6pt;height:30.8pt;width:481.9pt;mso-position-horizontal-relative:margin;mso-position-vertical-relative:margin;z-index:251665408;mso-width-relative:page;mso-height-relative:page;" stroked="f" coordsize="21600,21600" o:gfxdata="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YORwXXAAAACAEAAA8AAAAAAAAAAQAgAAAA&#10;IgAAAGRycy9kb3ducmV2LnhtbFBLAQIUABQAAAAIAIdO4kBVibkk0wEAAKkDAAAOAAAAAAAAAAEA&#10;IAAAACYBAABkcnMvZTJvRG9jLnhtbFBLBQYAAAAABgAGAFkBAABrBQAAAAA=&#10;">
            <v:path/>
            <v:fill focussize="0,0"/>
            <v:stroke on="f" joinstyle="miter"/>
            <v:imagedata o:title=""/>
            <o:lock v:ext="edit"/>
            <v:textbox inset="0mm,0mm,0mm,0mm">
              <w:txbxContent>
                <w:p w14:paraId="7AF0916B">
                  <w:pPr>
                    <w:pStyle w:val="50"/>
                  </w:pPr>
                  <w:r>
                    <w:rPr>
                      <w:rFonts w:hint="eastAsia"/>
                    </w:rPr>
                    <w:t>中华人民共和国安全生产行业标准</w:t>
                  </w:r>
                </w:p>
              </w:txbxContent>
            </v:textbox>
            <w10:anchorlock/>
          </v:shape>
        </w:pict>
      </w:r>
    </w:p>
    <w:bookmarkEnd w:id="0"/>
    <w:sdt>
      <w:sdtPr>
        <w:rPr>
          <w:rFonts w:ascii="宋体" w:hAnsi="宋体" w:eastAsia="宋体"/>
          <w:sz w:val="21"/>
        </w:rPr>
        <w:id w:val="147454481"/>
        <w:docPartObj>
          <w:docPartGallery w:val="Table of Contents"/>
          <w:docPartUnique/>
        </w:docPartObj>
      </w:sdtPr>
      <w:sdtEndPr>
        <w:rPr>
          <w:rFonts w:ascii="宋体" w:hAnsi="宋体" w:eastAsia="宋体"/>
          <w:b/>
          <w:sz w:val="21"/>
        </w:rPr>
      </w:sdtEndPr>
      <w:sdtContent>
        <w:p w14:paraId="1F33DD4D">
          <w:pPr>
            <w:pStyle w:val="86"/>
            <w:adjustRightInd w:val="0"/>
            <w:spacing w:after="468"/>
            <w:rPr>
              <w:rFonts w:ascii="宋体" w:hAnsi="宋体" w:eastAsia="宋体"/>
            </w:rPr>
          </w:pPr>
          <w:r>
            <w:rPr>
              <w:rFonts w:hint="eastAsia" w:ascii="宋体" w:hAnsi="宋体" w:cs="Times New Roman"/>
              <w:spacing w:val="320"/>
              <w:szCs w:val="21"/>
            </w:rPr>
            <w:t>目次</w:t>
          </w:r>
        </w:p>
        <w:p w14:paraId="3564DAAC">
          <w:pPr>
            <w:pStyle w:val="21"/>
            <w:tabs>
              <w:tab w:val="right" w:leader="dot" w:pos="9638"/>
            </w:tabs>
            <w:spacing w:line="400" w:lineRule="atLeast"/>
            <w:rPr>
              <w:rFonts w:ascii="宋体" w:hAnsi="宋体" w:eastAsia="宋体"/>
            </w:rPr>
          </w:pPr>
          <w:r>
            <w:rPr>
              <w:rFonts w:hint="eastAsia" w:ascii="宋体" w:hAnsi="宋体" w:eastAsia="宋体" w:cs="宋体"/>
              <w:szCs w:val="21"/>
            </w:rPr>
            <w:fldChar w:fldCharType="begin"/>
          </w:r>
          <w:r>
            <w:rPr>
              <w:rFonts w:hint="eastAsia" w:ascii="宋体" w:hAnsi="宋体" w:eastAsia="宋体" w:cs="宋体"/>
              <w:szCs w:val="21"/>
            </w:rPr>
            <w:instrText xml:space="preserve">TOC \o "1-2" \h \u </w:instrText>
          </w:r>
          <w:r>
            <w:rPr>
              <w:rFonts w:hint="eastAsia" w:ascii="宋体" w:hAnsi="宋体" w:eastAsia="宋体" w:cs="宋体"/>
              <w:szCs w:val="21"/>
            </w:rPr>
            <w:fldChar w:fldCharType="separate"/>
          </w:r>
          <w:r>
            <w:fldChar w:fldCharType="begin"/>
          </w:r>
          <w:r>
            <w:instrText xml:space="preserve"> HYPERLINK \l "_Toc18517" </w:instrText>
          </w:r>
          <w:r>
            <w:fldChar w:fldCharType="separate"/>
          </w:r>
          <w:r>
            <w:rPr>
              <w:rFonts w:hint="eastAsia" w:ascii="宋体" w:hAnsi="宋体"/>
            </w:rPr>
            <w:t>前 言</w:t>
          </w:r>
          <w:r>
            <w:rPr>
              <w:rFonts w:ascii="宋体" w:hAnsi="宋体" w:eastAsia="宋体"/>
            </w:rPr>
            <w:tab/>
          </w:r>
          <w:r>
            <w:rPr>
              <w:rFonts w:ascii="宋体" w:hAnsi="宋体" w:eastAsia="宋体"/>
            </w:rPr>
            <w:fldChar w:fldCharType="begin"/>
          </w:r>
          <w:r>
            <w:rPr>
              <w:rFonts w:ascii="宋体" w:hAnsi="宋体" w:eastAsia="宋体"/>
            </w:rPr>
            <w:instrText xml:space="preserve"> PAGEREF _Toc18517 \h </w:instrText>
          </w:r>
          <w:r>
            <w:rPr>
              <w:rFonts w:ascii="宋体" w:hAnsi="宋体" w:eastAsia="宋体"/>
            </w:rPr>
            <w:fldChar w:fldCharType="separate"/>
          </w:r>
          <w:r>
            <w:rPr>
              <w:rFonts w:ascii="宋体" w:hAnsi="宋体" w:eastAsia="宋体"/>
            </w:rPr>
            <w:t>II</w:t>
          </w:r>
          <w:r>
            <w:rPr>
              <w:rFonts w:ascii="宋体" w:hAnsi="宋体" w:eastAsia="宋体"/>
            </w:rPr>
            <w:fldChar w:fldCharType="end"/>
          </w:r>
          <w:r>
            <w:rPr>
              <w:rFonts w:ascii="宋体" w:hAnsi="宋体" w:eastAsia="宋体"/>
            </w:rPr>
            <w:fldChar w:fldCharType="end"/>
          </w:r>
        </w:p>
        <w:p w14:paraId="657A6906">
          <w:pPr>
            <w:pStyle w:val="21"/>
            <w:tabs>
              <w:tab w:val="right" w:leader="dot" w:pos="9638"/>
            </w:tabs>
            <w:spacing w:line="400" w:lineRule="atLeast"/>
            <w:rPr>
              <w:rFonts w:ascii="宋体" w:hAnsi="宋体" w:eastAsia="宋体"/>
            </w:rPr>
          </w:pPr>
          <w:r>
            <w:fldChar w:fldCharType="begin"/>
          </w:r>
          <w:r>
            <w:instrText xml:space="preserve"> HYPERLINK \l "_Toc25430" </w:instrText>
          </w:r>
          <w:r>
            <w:fldChar w:fldCharType="separate"/>
          </w:r>
          <w:r>
            <w:rPr>
              <w:rFonts w:ascii="宋体" w:hAnsi="宋体" w:eastAsia="宋体" w:cs="黑体"/>
            </w:rPr>
            <w:t xml:space="preserve">1 </w:t>
          </w:r>
          <w:r>
            <w:rPr>
              <w:rFonts w:hint="eastAsia" w:ascii="宋体" w:hAnsi="宋体" w:eastAsia="宋体" w:cs="黑体"/>
              <w:szCs w:val="22"/>
            </w:rPr>
            <w:t>范围</w:t>
          </w:r>
          <w:r>
            <w:rPr>
              <w:rFonts w:ascii="宋体" w:hAnsi="宋体" w:eastAsia="宋体"/>
            </w:rPr>
            <w:tab/>
          </w:r>
          <w:r>
            <w:rPr>
              <w:rFonts w:ascii="宋体" w:hAnsi="宋体" w:eastAsia="宋体"/>
            </w:rPr>
            <w:fldChar w:fldCharType="begin"/>
          </w:r>
          <w:r>
            <w:rPr>
              <w:rFonts w:ascii="宋体" w:hAnsi="宋体" w:eastAsia="宋体"/>
            </w:rPr>
            <w:instrText xml:space="preserve"> PAGEREF _Toc25430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5F725247">
          <w:pPr>
            <w:pStyle w:val="21"/>
            <w:tabs>
              <w:tab w:val="right" w:leader="dot" w:pos="9638"/>
            </w:tabs>
            <w:spacing w:line="400" w:lineRule="atLeast"/>
            <w:rPr>
              <w:rFonts w:ascii="宋体" w:hAnsi="宋体" w:eastAsia="宋体"/>
            </w:rPr>
          </w:pPr>
          <w:r>
            <w:fldChar w:fldCharType="begin"/>
          </w:r>
          <w:r>
            <w:instrText xml:space="preserve"> HYPERLINK \l "_Toc9698" </w:instrText>
          </w:r>
          <w:r>
            <w:fldChar w:fldCharType="separate"/>
          </w:r>
          <w:r>
            <w:rPr>
              <w:rFonts w:ascii="宋体" w:hAnsi="宋体" w:eastAsia="宋体" w:cs="黑体"/>
              <w:szCs w:val="22"/>
            </w:rPr>
            <w:t xml:space="preserve">2 </w:t>
          </w:r>
          <w:r>
            <w:rPr>
              <w:rFonts w:hint="eastAsia" w:ascii="宋体" w:hAnsi="宋体" w:eastAsia="宋体" w:cs="黑体"/>
              <w:szCs w:val="22"/>
            </w:rPr>
            <w:t>规范性引用文件</w:t>
          </w:r>
          <w:r>
            <w:rPr>
              <w:rFonts w:ascii="宋体" w:hAnsi="宋体" w:eastAsia="宋体"/>
            </w:rPr>
            <w:tab/>
          </w:r>
          <w:r>
            <w:rPr>
              <w:rFonts w:ascii="宋体" w:hAnsi="宋体" w:eastAsia="宋体"/>
            </w:rPr>
            <w:fldChar w:fldCharType="begin"/>
          </w:r>
          <w:r>
            <w:rPr>
              <w:rFonts w:ascii="宋体" w:hAnsi="宋体" w:eastAsia="宋体"/>
            </w:rPr>
            <w:instrText xml:space="preserve"> PAGEREF _Toc9698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09C4658D">
          <w:pPr>
            <w:pStyle w:val="21"/>
            <w:tabs>
              <w:tab w:val="right" w:leader="dot" w:pos="9638"/>
            </w:tabs>
            <w:spacing w:line="400" w:lineRule="atLeast"/>
            <w:rPr>
              <w:rFonts w:ascii="宋体" w:hAnsi="宋体" w:eastAsia="宋体"/>
            </w:rPr>
          </w:pPr>
          <w:r>
            <w:fldChar w:fldCharType="begin"/>
          </w:r>
          <w:r>
            <w:instrText xml:space="preserve"> HYPERLINK \l "_Toc13781" </w:instrText>
          </w:r>
          <w:r>
            <w:fldChar w:fldCharType="separate"/>
          </w:r>
          <w:r>
            <w:rPr>
              <w:rFonts w:ascii="宋体" w:hAnsi="宋体" w:eastAsia="宋体" w:cs="黑体"/>
              <w:szCs w:val="22"/>
            </w:rPr>
            <w:t xml:space="preserve">3 </w:t>
          </w:r>
          <w:r>
            <w:rPr>
              <w:rFonts w:hint="eastAsia" w:ascii="宋体" w:hAnsi="宋体" w:eastAsia="宋体" w:cs="黑体"/>
              <w:szCs w:val="22"/>
            </w:rPr>
            <w:t>术语和定义</w:t>
          </w:r>
          <w:r>
            <w:rPr>
              <w:rFonts w:ascii="宋体" w:hAnsi="宋体" w:eastAsia="宋体"/>
            </w:rPr>
            <w:tab/>
          </w:r>
          <w:r>
            <w:rPr>
              <w:rFonts w:ascii="宋体" w:hAnsi="宋体" w:eastAsia="宋体"/>
            </w:rPr>
            <w:fldChar w:fldCharType="begin"/>
          </w:r>
          <w:r>
            <w:rPr>
              <w:rFonts w:ascii="宋体" w:hAnsi="宋体" w:eastAsia="宋体"/>
            </w:rPr>
            <w:instrText xml:space="preserve"> PAGEREF _Toc13781 \h </w:instrText>
          </w:r>
          <w:r>
            <w:rPr>
              <w:rFonts w:ascii="宋体" w:hAnsi="宋体" w:eastAsia="宋体"/>
            </w:rPr>
            <w:fldChar w:fldCharType="separate"/>
          </w:r>
          <w:r>
            <w:rPr>
              <w:rFonts w:ascii="宋体" w:hAnsi="宋体" w:eastAsia="宋体"/>
            </w:rPr>
            <w:t>1</w:t>
          </w:r>
          <w:r>
            <w:rPr>
              <w:rFonts w:ascii="宋体" w:hAnsi="宋体" w:eastAsia="宋体"/>
            </w:rPr>
            <w:fldChar w:fldCharType="end"/>
          </w:r>
          <w:r>
            <w:rPr>
              <w:rFonts w:ascii="宋体" w:hAnsi="宋体" w:eastAsia="宋体"/>
            </w:rPr>
            <w:fldChar w:fldCharType="end"/>
          </w:r>
        </w:p>
        <w:p w14:paraId="2BEB7E1F">
          <w:pPr>
            <w:pStyle w:val="21"/>
            <w:tabs>
              <w:tab w:val="right" w:leader="dot" w:pos="9638"/>
            </w:tabs>
            <w:spacing w:line="400" w:lineRule="atLeast"/>
            <w:rPr>
              <w:rFonts w:ascii="宋体" w:hAnsi="宋体" w:eastAsia="宋体"/>
            </w:rPr>
          </w:pPr>
          <w:r>
            <w:fldChar w:fldCharType="begin"/>
          </w:r>
          <w:r>
            <w:instrText xml:space="preserve"> HYPERLINK \l "_Toc2279" </w:instrText>
          </w:r>
          <w:r>
            <w:fldChar w:fldCharType="separate"/>
          </w:r>
          <w:r>
            <w:rPr>
              <w:rFonts w:ascii="宋体" w:hAnsi="宋体" w:eastAsia="宋体" w:cs="黑体"/>
              <w:szCs w:val="22"/>
            </w:rPr>
            <w:t xml:space="preserve">4 </w:t>
          </w:r>
          <w:r>
            <w:rPr>
              <w:rFonts w:hint="eastAsia" w:ascii="宋体" w:hAnsi="宋体" w:eastAsia="宋体" w:cs="黑体"/>
              <w:szCs w:val="22"/>
            </w:rPr>
            <w:t>基本条件</w:t>
          </w:r>
          <w:r>
            <w:rPr>
              <w:rFonts w:ascii="宋体" w:hAnsi="宋体" w:eastAsia="宋体"/>
            </w:rPr>
            <w:tab/>
          </w:r>
          <w:r>
            <w:rPr>
              <w:rFonts w:ascii="宋体" w:hAnsi="宋体" w:eastAsia="宋体"/>
            </w:rPr>
            <w:fldChar w:fldCharType="begin"/>
          </w:r>
          <w:r>
            <w:rPr>
              <w:rFonts w:ascii="宋体" w:hAnsi="宋体" w:eastAsia="宋体"/>
            </w:rPr>
            <w:instrText xml:space="preserve"> PAGEREF _Toc2279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0FAC3CA3">
          <w:pPr>
            <w:pStyle w:val="2"/>
            <w:tabs>
              <w:tab w:val="right" w:leader="dot" w:pos="9638"/>
            </w:tabs>
            <w:spacing w:line="400" w:lineRule="atLeast"/>
            <w:rPr>
              <w:rFonts w:ascii="宋体" w:hAnsi="宋体" w:eastAsia="宋体"/>
            </w:rPr>
          </w:pPr>
          <w:r>
            <w:fldChar w:fldCharType="begin"/>
          </w:r>
          <w:r>
            <w:instrText xml:space="preserve"> HYPERLINK \l "_Toc10718" </w:instrText>
          </w:r>
          <w:r>
            <w:fldChar w:fldCharType="separate"/>
          </w:r>
          <w:r>
            <w:rPr>
              <w:rFonts w:ascii="宋体" w:hAnsi="宋体" w:eastAsia="宋体" w:cs="黑体"/>
            </w:rPr>
            <w:t xml:space="preserve">4.1 </w:t>
          </w:r>
          <w:r>
            <w:rPr>
              <w:rFonts w:hint="eastAsia" w:ascii="宋体" w:hAnsi="宋体" w:eastAsia="宋体" w:cs="黑体"/>
            </w:rPr>
            <w:t>通用条件</w:t>
          </w:r>
          <w:r>
            <w:rPr>
              <w:rFonts w:ascii="宋体" w:hAnsi="宋体" w:eastAsia="宋体"/>
            </w:rPr>
            <w:tab/>
          </w:r>
          <w:r>
            <w:rPr>
              <w:rFonts w:ascii="宋体" w:hAnsi="宋体" w:eastAsia="宋体"/>
            </w:rPr>
            <w:fldChar w:fldCharType="begin"/>
          </w:r>
          <w:r>
            <w:rPr>
              <w:rFonts w:ascii="宋体" w:hAnsi="宋体" w:eastAsia="宋体"/>
            </w:rPr>
            <w:instrText xml:space="preserve"> PAGEREF _Toc10718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1A7141D8">
          <w:pPr>
            <w:pStyle w:val="2"/>
            <w:tabs>
              <w:tab w:val="right" w:leader="dot" w:pos="9638"/>
            </w:tabs>
            <w:spacing w:line="400" w:lineRule="atLeast"/>
            <w:rPr>
              <w:rFonts w:ascii="宋体" w:hAnsi="宋体" w:eastAsia="宋体"/>
            </w:rPr>
          </w:pPr>
          <w:r>
            <w:fldChar w:fldCharType="begin"/>
          </w:r>
          <w:r>
            <w:instrText xml:space="preserve"> HYPERLINK \l "_Toc20389" </w:instrText>
          </w:r>
          <w:r>
            <w:fldChar w:fldCharType="separate"/>
          </w:r>
          <w:r>
            <w:rPr>
              <w:rFonts w:ascii="宋体" w:hAnsi="宋体" w:eastAsia="宋体" w:cs="黑体"/>
            </w:rPr>
            <w:t xml:space="preserve">4.2 </w:t>
          </w:r>
          <w:r>
            <w:rPr>
              <w:rFonts w:hint="eastAsia" w:ascii="宋体" w:hAnsi="宋体" w:eastAsia="宋体" w:cs="黑体"/>
            </w:rPr>
            <w:t>专项条件</w:t>
          </w:r>
          <w:r>
            <w:rPr>
              <w:rFonts w:ascii="宋体" w:hAnsi="宋体" w:eastAsia="宋体"/>
            </w:rPr>
            <w:tab/>
          </w:r>
          <w:r>
            <w:rPr>
              <w:rFonts w:ascii="宋体" w:hAnsi="宋体" w:eastAsia="宋体"/>
            </w:rPr>
            <w:fldChar w:fldCharType="begin"/>
          </w:r>
          <w:r>
            <w:rPr>
              <w:rFonts w:ascii="宋体" w:hAnsi="宋体" w:eastAsia="宋体"/>
            </w:rPr>
            <w:instrText xml:space="preserve"> PAGEREF _Toc20389 \h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fldChar w:fldCharType="end"/>
          </w:r>
        </w:p>
        <w:p w14:paraId="3AEC8AF6">
          <w:pPr>
            <w:pStyle w:val="21"/>
            <w:tabs>
              <w:tab w:val="right" w:leader="dot" w:pos="9638"/>
            </w:tabs>
            <w:spacing w:line="400" w:lineRule="atLeast"/>
            <w:rPr>
              <w:rFonts w:ascii="宋体" w:hAnsi="宋体" w:eastAsia="宋体"/>
            </w:rPr>
          </w:pPr>
          <w:r>
            <w:fldChar w:fldCharType="begin"/>
          </w:r>
          <w:r>
            <w:instrText xml:space="preserve"> HYPERLINK \l "_Toc32446" </w:instrText>
          </w:r>
          <w:r>
            <w:fldChar w:fldCharType="separate"/>
          </w:r>
          <w:r>
            <w:rPr>
              <w:rFonts w:ascii="宋体" w:hAnsi="宋体" w:eastAsia="宋体" w:cs="黑体"/>
            </w:rPr>
            <w:t xml:space="preserve">5 </w:t>
          </w:r>
          <w:r>
            <w:rPr>
              <w:rFonts w:hint="eastAsia" w:ascii="宋体" w:hAnsi="宋体" w:eastAsia="宋体"/>
            </w:rPr>
            <w:t>运行条件</w:t>
          </w:r>
          <w:r>
            <w:rPr>
              <w:rFonts w:ascii="宋体" w:hAnsi="宋体" w:eastAsia="宋体"/>
            </w:rPr>
            <w:tab/>
          </w:r>
          <w:r>
            <w:rPr>
              <w:rFonts w:ascii="宋体" w:hAnsi="宋体" w:eastAsia="宋体"/>
            </w:rPr>
            <w:fldChar w:fldCharType="begin"/>
          </w:r>
          <w:r>
            <w:rPr>
              <w:rFonts w:ascii="宋体" w:hAnsi="宋体" w:eastAsia="宋体"/>
            </w:rPr>
            <w:instrText xml:space="preserve"> PAGEREF _Toc32446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1AD8ED2B">
          <w:pPr>
            <w:pStyle w:val="21"/>
            <w:tabs>
              <w:tab w:val="right" w:leader="dot" w:pos="9638"/>
            </w:tabs>
            <w:spacing w:line="400" w:lineRule="atLeast"/>
            <w:rPr>
              <w:rFonts w:ascii="宋体" w:hAnsi="宋体" w:eastAsia="宋体"/>
            </w:rPr>
          </w:pPr>
          <w:r>
            <w:fldChar w:fldCharType="begin"/>
          </w:r>
          <w:r>
            <w:instrText xml:space="preserve"> HYPERLINK \l "_Toc8413" </w:instrText>
          </w:r>
          <w:r>
            <w:fldChar w:fldCharType="separate"/>
          </w:r>
          <w:r>
            <w:rPr>
              <w:rFonts w:ascii="宋体" w:hAnsi="宋体" w:eastAsia="宋体" w:cs="黑体"/>
              <w:szCs w:val="21"/>
            </w:rPr>
            <w:t xml:space="preserve">附　录　A </w:t>
          </w:r>
          <w:r>
            <w:rPr>
              <w:rFonts w:ascii="宋体" w:hAnsi="宋体" w:eastAsia="宋体"/>
            </w:rPr>
            <w:t xml:space="preserve"> </w:t>
          </w:r>
          <w:r>
            <w:rPr>
              <w:rFonts w:hint="eastAsia" w:ascii="宋体" w:hAnsi="宋体" w:eastAsia="宋体"/>
            </w:rPr>
            <w:t>（规范性）</w:t>
          </w:r>
          <w:r>
            <w:rPr>
              <w:rFonts w:ascii="宋体" w:hAnsi="宋体" w:eastAsia="宋体"/>
            </w:rPr>
            <w:t xml:space="preserve"> </w:t>
          </w:r>
          <w:r>
            <w:rPr>
              <w:rFonts w:hint="eastAsia" w:ascii="宋体" w:hAnsi="宋体" w:eastAsia="宋体" w:cs="黑体"/>
            </w:rPr>
            <w:t>海洋石油安全评价检测检验机构专业软件、设备配置条件</w:t>
          </w:r>
          <w:r>
            <w:rPr>
              <w:rFonts w:ascii="宋体" w:hAnsi="宋体" w:eastAsia="宋体"/>
            </w:rPr>
            <w:tab/>
          </w:r>
          <w:r>
            <w:rPr>
              <w:rFonts w:ascii="宋体" w:hAnsi="宋体" w:eastAsia="宋体"/>
            </w:rPr>
            <w:fldChar w:fldCharType="begin"/>
          </w:r>
          <w:r>
            <w:rPr>
              <w:rFonts w:ascii="宋体" w:hAnsi="宋体" w:eastAsia="宋体"/>
            </w:rPr>
            <w:instrText xml:space="preserve"> PAGEREF _Toc8413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63D52711">
          <w:pPr>
            <w:pStyle w:val="21"/>
            <w:tabs>
              <w:tab w:val="right" w:leader="dot" w:pos="9638"/>
            </w:tabs>
            <w:spacing w:line="400" w:lineRule="atLeast"/>
            <w:rPr>
              <w:rFonts w:ascii="宋体" w:hAnsi="宋体" w:eastAsia="宋体"/>
            </w:rPr>
          </w:pPr>
          <w:r>
            <w:fldChar w:fldCharType="begin"/>
          </w:r>
          <w:r>
            <w:instrText xml:space="preserve"> HYPERLINK \l "_Toc14894" </w:instrText>
          </w:r>
          <w:r>
            <w:fldChar w:fldCharType="separate"/>
          </w:r>
          <w:r>
            <w:rPr>
              <w:rFonts w:ascii="宋体" w:hAnsi="宋体" w:eastAsia="宋体" w:cs="黑体"/>
              <w:szCs w:val="21"/>
            </w:rPr>
            <w:t xml:space="preserve">附　录　B </w:t>
          </w:r>
          <w:r>
            <w:rPr>
              <w:rFonts w:ascii="宋体" w:hAnsi="宋体" w:eastAsia="宋体"/>
            </w:rPr>
            <w:t xml:space="preserve"> </w:t>
          </w:r>
          <w:r>
            <w:rPr>
              <w:rFonts w:hint="eastAsia" w:ascii="宋体" w:hAnsi="宋体" w:eastAsia="宋体"/>
            </w:rPr>
            <w:t>（规范性）</w:t>
          </w:r>
          <w:r>
            <w:rPr>
              <w:rFonts w:ascii="宋体" w:hAnsi="宋体" w:eastAsia="宋体"/>
            </w:rPr>
            <w:t xml:space="preserve"> </w:t>
          </w:r>
          <w:r>
            <w:rPr>
              <w:rFonts w:hint="eastAsia" w:ascii="宋体" w:hAnsi="宋体" w:eastAsia="宋体"/>
            </w:rPr>
            <w:t>海洋石油安全评价检测检验机构人员配置条件</w:t>
          </w:r>
          <w:r>
            <w:rPr>
              <w:rFonts w:ascii="宋体" w:hAnsi="宋体" w:eastAsia="宋体"/>
            </w:rPr>
            <w:tab/>
          </w:r>
          <w:r>
            <w:rPr>
              <w:rFonts w:ascii="宋体" w:hAnsi="宋体" w:eastAsia="宋体"/>
            </w:rPr>
            <w:fldChar w:fldCharType="begin"/>
          </w:r>
          <w:r>
            <w:rPr>
              <w:rFonts w:ascii="宋体" w:hAnsi="宋体" w:eastAsia="宋体"/>
            </w:rPr>
            <w:instrText xml:space="preserve"> PAGEREF _Toc14894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04835733">
          <w:pPr>
            <w:pStyle w:val="21"/>
            <w:tabs>
              <w:tab w:val="right" w:leader="dot" w:pos="9638"/>
            </w:tabs>
            <w:spacing w:line="400" w:lineRule="atLeast"/>
            <w:rPr>
              <w:rFonts w:ascii="宋体" w:hAnsi="宋体" w:eastAsia="宋体"/>
            </w:rPr>
          </w:pPr>
          <w:r>
            <w:fldChar w:fldCharType="begin"/>
          </w:r>
          <w:r>
            <w:instrText xml:space="preserve"> HYPERLINK \l "_Toc1372" </w:instrText>
          </w:r>
          <w:r>
            <w:fldChar w:fldCharType="separate"/>
          </w:r>
          <w:r>
            <w:rPr>
              <w:rFonts w:ascii="宋体" w:hAnsi="宋体" w:eastAsia="宋体" w:cs="黑体"/>
              <w:szCs w:val="21"/>
            </w:rPr>
            <w:t xml:space="preserve">附　录　C </w:t>
          </w:r>
          <w:r>
            <w:rPr>
              <w:rFonts w:ascii="宋体" w:hAnsi="宋体" w:eastAsia="宋体"/>
            </w:rPr>
            <w:t xml:space="preserve"> </w:t>
          </w:r>
          <w:r>
            <w:rPr>
              <w:rFonts w:hint="eastAsia" w:ascii="宋体" w:hAnsi="宋体" w:eastAsia="宋体"/>
            </w:rPr>
            <w:t>（规范性）</w:t>
          </w:r>
          <w:r>
            <w:rPr>
              <w:rFonts w:ascii="宋体" w:hAnsi="宋体" w:eastAsia="宋体"/>
            </w:rPr>
            <w:t xml:space="preserve"> </w:t>
          </w:r>
          <w:r>
            <w:rPr>
              <w:rFonts w:hint="eastAsia" w:ascii="宋体" w:hAnsi="宋体" w:eastAsia="宋体"/>
            </w:rPr>
            <w:t>海洋石油安全评价检测检验机构质量管理体系（过程控制体系）基本要素</w:t>
          </w:r>
          <w:r>
            <w:rPr>
              <w:rFonts w:ascii="宋体" w:hAnsi="宋体" w:eastAsia="宋体"/>
            </w:rPr>
            <w:tab/>
          </w:r>
          <w:r>
            <w:rPr>
              <w:rFonts w:ascii="宋体" w:hAnsi="宋体" w:eastAsia="宋体"/>
            </w:rPr>
            <w:fldChar w:fldCharType="begin"/>
          </w:r>
          <w:r>
            <w:rPr>
              <w:rFonts w:ascii="宋体" w:hAnsi="宋体" w:eastAsia="宋体"/>
            </w:rPr>
            <w:instrText xml:space="preserve"> PAGEREF _Toc1372 \h </w:instrText>
          </w:r>
          <w:r>
            <w:rPr>
              <w:rFonts w:ascii="宋体" w:hAnsi="宋体" w:eastAsia="宋体"/>
            </w:rPr>
            <w:fldChar w:fldCharType="separate"/>
          </w:r>
          <w:r>
            <w:rPr>
              <w:rFonts w:ascii="宋体" w:hAnsi="宋体" w:eastAsia="宋体"/>
            </w:rPr>
            <w:t>15</w:t>
          </w:r>
          <w:r>
            <w:rPr>
              <w:rFonts w:ascii="宋体" w:hAnsi="宋体" w:eastAsia="宋体"/>
            </w:rPr>
            <w:fldChar w:fldCharType="end"/>
          </w:r>
          <w:r>
            <w:rPr>
              <w:rFonts w:ascii="宋体" w:hAnsi="宋体" w:eastAsia="宋体"/>
            </w:rPr>
            <w:fldChar w:fldCharType="end"/>
          </w:r>
        </w:p>
        <w:p w14:paraId="0F460635">
          <w:pPr>
            <w:pStyle w:val="21"/>
            <w:tabs>
              <w:tab w:val="right" w:leader="dot" w:pos="9638"/>
            </w:tabs>
            <w:spacing w:line="400" w:lineRule="atLeast"/>
            <w:rPr>
              <w:rFonts w:ascii="宋体" w:hAnsi="宋体" w:eastAsia="宋体"/>
            </w:rPr>
          </w:pPr>
          <w:r>
            <w:fldChar w:fldCharType="begin"/>
          </w:r>
          <w:r>
            <w:instrText xml:space="preserve"> HYPERLINK \l "_Toc23519" </w:instrText>
          </w:r>
          <w:r>
            <w:fldChar w:fldCharType="separate"/>
          </w:r>
          <w:r>
            <w:rPr>
              <w:rFonts w:ascii="宋体" w:hAnsi="宋体" w:eastAsia="宋体" w:cs="黑体"/>
              <w:szCs w:val="21"/>
            </w:rPr>
            <w:t xml:space="preserve">附　录　D </w:t>
          </w:r>
          <w:r>
            <w:rPr>
              <w:rFonts w:ascii="宋体" w:hAnsi="宋体" w:eastAsia="宋体"/>
            </w:rPr>
            <w:t xml:space="preserve"> </w:t>
          </w:r>
          <w:r>
            <w:rPr>
              <w:rFonts w:hint="eastAsia" w:ascii="宋体" w:hAnsi="宋体" w:eastAsia="宋体"/>
            </w:rPr>
            <w:t>（规范性）</w:t>
          </w:r>
          <w:r>
            <w:rPr>
              <w:rFonts w:ascii="宋体" w:hAnsi="宋体" w:eastAsia="宋体"/>
            </w:rPr>
            <w:t xml:space="preserve"> </w:t>
          </w:r>
          <w:r>
            <w:rPr>
              <w:rFonts w:hint="eastAsia" w:ascii="宋体" w:hAnsi="宋体" w:eastAsia="宋体"/>
            </w:rPr>
            <w:t>海洋石油专业设备检测检验机构人员职业资格证书或能力认定证书取得要求</w:t>
          </w:r>
          <w:r>
            <w:rPr>
              <w:rFonts w:ascii="宋体" w:hAnsi="宋体" w:eastAsia="宋体"/>
            </w:rPr>
            <w:tab/>
          </w:r>
          <w:r>
            <w:rPr>
              <w:rFonts w:ascii="宋体" w:hAnsi="宋体" w:eastAsia="宋体"/>
            </w:rPr>
            <w:fldChar w:fldCharType="begin"/>
          </w:r>
          <w:r>
            <w:rPr>
              <w:rFonts w:ascii="宋体" w:hAnsi="宋体" w:eastAsia="宋体"/>
            </w:rPr>
            <w:instrText xml:space="preserve"> PAGEREF _Toc23519 \h </w:instrText>
          </w:r>
          <w:r>
            <w:rPr>
              <w:rFonts w:ascii="宋体" w:hAnsi="宋体" w:eastAsia="宋体"/>
            </w:rPr>
            <w:fldChar w:fldCharType="separate"/>
          </w:r>
          <w:r>
            <w:rPr>
              <w:rFonts w:ascii="宋体" w:hAnsi="宋体" w:eastAsia="宋体"/>
            </w:rPr>
            <w:t>17</w:t>
          </w:r>
          <w:r>
            <w:rPr>
              <w:rFonts w:ascii="宋体" w:hAnsi="宋体" w:eastAsia="宋体"/>
            </w:rPr>
            <w:fldChar w:fldCharType="end"/>
          </w:r>
          <w:r>
            <w:rPr>
              <w:rFonts w:ascii="宋体" w:hAnsi="宋体" w:eastAsia="宋体"/>
            </w:rPr>
            <w:fldChar w:fldCharType="end"/>
          </w:r>
        </w:p>
        <w:p w14:paraId="0BE01D99">
          <w:pPr>
            <w:pStyle w:val="21"/>
            <w:tabs>
              <w:tab w:val="right" w:leader="dot" w:pos="9638"/>
            </w:tabs>
            <w:spacing w:line="400" w:lineRule="atLeast"/>
            <w:rPr>
              <w:rFonts w:ascii="宋体" w:hAnsi="宋体" w:eastAsia="宋体"/>
            </w:rPr>
          </w:pPr>
          <w:r>
            <w:fldChar w:fldCharType="begin"/>
          </w:r>
          <w:r>
            <w:instrText xml:space="preserve"> HYPERLINK \l "_Toc30684" </w:instrText>
          </w:r>
          <w:r>
            <w:fldChar w:fldCharType="separate"/>
          </w:r>
          <w:r>
            <w:rPr>
              <w:rFonts w:ascii="宋体" w:hAnsi="宋体" w:eastAsia="宋体" w:cs="黑体"/>
              <w:szCs w:val="21"/>
            </w:rPr>
            <w:t xml:space="preserve">附　录　E </w:t>
          </w:r>
          <w:r>
            <w:rPr>
              <w:rFonts w:ascii="宋体" w:hAnsi="宋体" w:eastAsia="宋体"/>
            </w:rPr>
            <w:t xml:space="preserve"> </w:t>
          </w:r>
          <w:r>
            <w:rPr>
              <w:rFonts w:hint="eastAsia" w:ascii="宋体" w:hAnsi="宋体" w:eastAsia="宋体"/>
            </w:rPr>
            <w:t>（规范性）</w:t>
          </w:r>
          <w:r>
            <w:rPr>
              <w:rFonts w:ascii="宋体" w:hAnsi="宋体" w:eastAsia="宋体"/>
            </w:rPr>
            <w:t xml:space="preserve"> </w:t>
          </w:r>
          <w:r>
            <w:rPr>
              <w:rFonts w:hint="eastAsia" w:ascii="宋体" w:hAnsi="宋体" w:eastAsia="宋体"/>
            </w:rPr>
            <w:t>海洋石油安全评价检测检验机构人员培训要求</w:t>
          </w:r>
          <w:r>
            <w:rPr>
              <w:rFonts w:ascii="宋体" w:hAnsi="宋体" w:eastAsia="宋体"/>
            </w:rPr>
            <w:tab/>
          </w:r>
          <w:r>
            <w:rPr>
              <w:rFonts w:ascii="宋体" w:hAnsi="宋体" w:eastAsia="宋体"/>
            </w:rPr>
            <w:fldChar w:fldCharType="begin"/>
          </w:r>
          <w:r>
            <w:rPr>
              <w:rFonts w:ascii="宋体" w:hAnsi="宋体" w:eastAsia="宋体"/>
            </w:rPr>
            <w:instrText xml:space="preserve"> PAGEREF _Toc30684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4D5C5190">
          <w:pPr>
            <w:pStyle w:val="21"/>
            <w:tabs>
              <w:tab w:val="right" w:leader="dot" w:pos="9638"/>
            </w:tabs>
            <w:spacing w:line="400" w:lineRule="atLeast"/>
            <w:rPr>
              <w:rFonts w:ascii="宋体" w:hAnsi="宋体" w:eastAsia="宋体"/>
            </w:rPr>
          </w:pPr>
          <w:r>
            <w:fldChar w:fldCharType="begin"/>
          </w:r>
          <w:r>
            <w:instrText xml:space="preserve"> HYPERLINK \l "_Toc11845" </w:instrText>
          </w:r>
          <w:r>
            <w:fldChar w:fldCharType="separate"/>
          </w:r>
          <w:r>
            <w:rPr>
              <w:rFonts w:ascii="宋体" w:hAnsi="宋体" w:eastAsia="宋体" w:cs="黑体"/>
              <w:szCs w:val="21"/>
            </w:rPr>
            <w:t xml:space="preserve">附　录　F </w:t>
          </w:r>
          <w:r>
            <w:rPr>
              <w:rFonts w:ascii="宋体" w:hAnsi="宋体" w:eastAsia="宋体"/>
            </w:rPr>
            <w:t xml:space="preserve"> </w:t>
          </w:r>
          <w:r>
            <w:rPr>
              <w:rFonts w:hint="eastAsia" w:ascii="宋体" w:hAnsi="宋体" w:eastAsia="宋体"/>
            </w:rPr>
            <w:t>（规范性）</w:t>
          </w:r>
          <w:r>
            <w:rPr>
              <w:rFonts w:ascii="宋体" w:hAnsi="宋体" w:eastAsia="宋体"/>
            </w:rPr>
            <w:t xml:space="preserve"> </w:t>
          </w:r>
          <w:r>
            <w:rPr>
              <w:rFonts w:hint="eastAsia" w:ascii="宋体" w:hAnsi="宋体" w:eastAsia="宋体"/>
            </w:rPr>
            <w:t>企业自主实施火灾和可燃气体探测报警及控制系统检测数据采集要求</w:t>
          </w:r>
          <w:r>
            <w:rPr>
              <w:rFonts w:ascii="宋体" w:hAnsi="宋体" w:eastAsia="宋体"/>
            </w:rPr>
            <w:tab/>
          </w:r>
          <w:r>
            <w:rPr>
              <w:rFonts w:ascii="宋体" w:hAnsi="宋体" w:eastAsia="宋体"/>
            </w:rPr>
            <w:fldChar w:fldCharType="begin"/>
          </w:r>
          <w:r>
            <w:rPr>
              <w:rFonts w:ascii="宋体" w:hAnsi="宋体" w:eastAsia="宋体"/>
            </w:rPr>
            <w:instrText xml:space="preserve"> PAGEREF _Toc11845 \h </w:instrText>
          </w:r>
          <w:r>
            <w:rPr>
              <w:rFonts w:ascii="宋体" w:hAnsi="宋体" w:eastAsia="宋体"/>
            </w:rPr>
            <w:fldChar w:fldCharType="separate"/>
          </w:r>
          <w:r>
            <w:rPr>
              <w:rFonts w:ascii="宋体" w:hAnsi="宋体" w:eastAsia="宋体"/>
            </w:rPr>
            <w:t>30</w:t>
          </w:r>
          <w:r>
            <w:rPr>
              <w:rFonts w:ascii="宋体" w:hAnsi="宋体" w:eastAsia="宋体"/>
            </w:rPr>
            <w:fldChar w:fldCharType="end"/>
          </w:r>
          <w:r>
            <w:rPr>
              <w:rFonts w:ascii="宋体" w:hAnsi="宋体" w:eastAsia="宋体"/>
            </w:rPr>
            <w:fldChar w:fldCharType="end"/>
          </w:r>
        </w:p>
        <w:p w14:paraId="1F70ABD4">
          <w:pPr>
            <w:pStyle w:val="21"/>
            <w:tabs>
              <w:tab w:val="right" w:leader="dot" w:pos="9638"/>
            </w:tabs>
            <w:spacing w:line="400" w:lineRule="atLeast"/>
            <w:rPr>
              <w:rFonts w:ascii="宋体" w:hAnsi="宋体" w:eastAsia="宋体"/>
            </w:rPr>
          </w:pPr>
          <w:r>
            <w:fldChar w:fldCharType="begin"/>
          </w:r>
          <w:r>
            <w:instrText xml:space="preserve"> HYPERLINK \l "_Toc14773" </w:instrText>
          </w:r>
          <w:r>
            <w:fldChar w:fldCharType="separate"/>
          </w:r>
          <w:r>
            <w:rPr>
              <w:rFonts w:ascii="宋体" w:hAnsi="宋体" w:eastAsia="宋体" w:cs="黑体"/>
              <w:szCs w:val="21"/>
            </w:rPr>
            <w:t xml:space="preserve">附　录　G </w:t>
          </w:r>
          <w:r>
            <w:rPr>
              <w:rFonts w:ascii="宋体" w:hAnsi="宋体" w:eastAsia="宋体"/>
            </w:rPr>
            <w:t xml:space="preserve"> </w:t>
          </w:r>
          <w:r>
            <w:rPr>
              <w:rFonts w:hint="eastAsia" w:ascii="宋体" w:hAnsi="宋体" w:eastAsia="宋体"/>
            </w:rPr>
            <w:t>（规范性）</w:t>
          </w:r>
          <w:r>
            <w:rPr>
              <w:rFonts w:ascii="宋体" w:hAnsi="宋体" w:eastAsia="宋体"/>
            </w:rPr>
            <w:t xml:space="preserve"> </w:t>
          </w:r>
          <w:r>
            <w:rPr>
              <w:rFonts w:hint="eastAsia" w:ascii="宋体" w:hAnsi="宋体" w:eastAsia="宋体"/>
            </w:rPr>
            <w:t>火灾和可燃气体探测报警及控制系统检测数据采集记录模板</w:t>
          </w:r>
          <w:r>
            <w:rPr>
              <w:rFonts w:ascii="宋体" w:hAnsi="宋体" w:eastAsia="宋体"/>
            </w:rPr>
            <w:tab/>
          </w:r>
          <w:r>
            <w:rPr>
              <w:rFonts w:ascii="宋体" w:hAnsi="宋体" w:eastAsia="宋体"/>
            </w:rPr>
            <w:fldChar w:fldCharType="begin"/>
          </w:r>
          <w:r>
            <w:rPr>
              <w:rFonts w:ascii="宋体" w:hAnsi="宋体" w:eastAsia="宋体"/>
            </w:rPr>
            <w:instrText xml:space="preserve"> PAGEREF _Toc14773 \h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ascii="宋体" w:hAnsi="宋体" w:eastAsia="宋体"/>
            </w:rPr>
            <w:fldChar w:fldCharType="end"/>
          </w:r>
        </w:p>
        <w:p w14:paraId="2172F382">
          <w:pPr>
            <w:pStyle w:val="21"/>
            <w:tabs>
              <w:tab w:val="right" w:leader="dot" w:pos="9638"/>
            </w:tabs>
            <w:spacing w:line="400" w:lineRule="atLeast"/>
            <w:rPr>
              <w:rFonts w:ascii="宋体" w:hAnsi="宋体" w:eastAsia="宋体"/>
            </w:rPr>
          </w:pPr>
          <w:r>
            <w:fldChar w:fldCharType="begin"/>
          </w:r>
          <w:r>
            <w:instrText xml:space="preserve"> HYPERLINK \l "_Toc6398" </w:instrText>
          </w:r>
          <w:r>
            <w:fldChar w:fldCharType="separate"/>
          </w:r>
          <w:r>
            <w:rPr>
              <w:rFonts w:hint="eastAsia" w:ascii="宋体" w:hAnsi="宋体" w:eastAsia="宋体"/>
            </w:rPr>
            <w:t>参</w:t>
          </w:r>
          <w:r>
            <w:rPr>
              <w:rFonts w:ascii="宋体" w:hAnsi="宋体" w:eastAsia="宋体"/>
            </w:rPr>
            <w:t xml:space="preserve">  </w:t>
          </w:r>
          <w:r>
            <w:rPr>
              <w:rFonts w:hint="eastAsia" w:ascii="宋体" w:hAnsi="宋体" w:eastAsia="宋体"/>
            </w:rPr>
            <w:t>考</w:t>
          </w:r>
          <w:r>
            <w:rPr>
              <w:rFonts w:ascii="宋体" w:hAnsi="宋体" w:eastAsia="宋体"/>
            </w:rPr>
            <w:t xml:space="preserve">  </w:t>
          </w:r>
          <w:r>
            <w:rPr>
              <w:rFonts w:hint="eastAsia" w:ascii="宋体" w:hAnsi="宋体" w:eastAsia="宋体"/>
            </w:rPr>
            <w:t>文</w:t>
          </w:r>
          <w:r>
            <w:rPr>
              <w:rFonts w:ascii="宋体" w:hAnsi="宋体" w:eastAsia="宋体"/>
            </w:rPr>
            <w:t xml:space="preserve">  </w:t>
          </w:r>
          <w:r>
            <w:rPr>
              <w:rFonts w:hint="eastAsia" w:ascii="宋体" w:hAnsi="宋体" w:eastAsia="宋体"/>
            </w:rPr>
            <w:t>献</w:t>
          </w:r>
          <w:r>
            <w:rPr>
              <w:rFonts w:ascii="宋体" w:hAnsi="宋体" w:eastAsia="宋体"/>
            </w:rPr>
            <w:tab/>
          </w:r>
          <w:r>
            <w:rPr>
              <w:rFonts w:ascii="宋体" w:hAnsi="宋体" w:eastAsia="宋体"/>
            </w:rPr>
            <w:fldChar w:fldCharType="begin"/>
          </w:r>
          <w:r>
            <w:rPr>
              <w:rFonts w:ascii="宋体" w:hAnsi="宋体" w:eastAsia="宋体"/>
            </w:rPr>
            <w:instrText xml:space="preserve"> PAGEREF _Toc6398 \h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fldChar w:fldCharType="end"/>
          </w:r>
        </w:p>
        <w:p w14:paraId="406E7C4F">
          <w:pPr>
            <w:pStyle w:val="21"/>
            <w:tabs>
              <w:tab w:val="right" w:leader="dot" w:pos="9638"/>
            </w:tabs>
            <w:rPr>
              <w:rFonts w:ascii="宋体" w:hAnsi="宋体"/>
            </w:rPr>
          </w:pPr>
        </w:p>
        <w:p w14:paraId="6488C1E8">
          <w:pPr>
            <w:pStyle w:val="21"/>
            <w:tabs>
              <w:tab w:val="right" w:leader="dot" w:pos="8845"/>
            </w:tabs>
            <w:spacing w:line="400" w:lineRule="atLeast"/>
            <w:rPr>
              <w:rFonts w:ascii="宋体" w:hAnsi="宋体"/>
              <w:b/>
            </w:rPr>
          </w:pPr>
          <w:r>
            <w:rPr>
              <w:rFonts w:hint="eastAsia" w:ascii="宋体" w:hAnsi="宋体" w:eastAsia="宋体" w:cs="宋体"/>
              <w:szCs w:val="21"/>
            </w:rPr>
            <w:fldChar w:fldCharType="end"/>
          </w:r>
        </w:p>
      </w:sdtContent>
    </w:sdt>
    <w:p w14:paraId="4544265A">
      <w:pPr>
        <w:rPr>
          <w:rFonts w:ascii="宋体" w:hAnsi="宋体"/>
          <w:b/>
        </w:rPr>
      </w:pPr>
    </w:p>
    <w:p w14:paraId="14E9121B">
      <w:pPr>
        <w:rPr>
          <w:rFonts w:ascii="宋体" w:hAnsi="宋体" w:eastAsia="宋体" w:cs="宋体"/>
        </w:rPr>
      </w:pPr>
      <w:r>
        <w:rPr>
          <w:rFonts w:hint="eastAsia" w:ascii="宋体" w:hAnsi="宋体" w:eastAsia="宋体" w:cs="宋体"/>
        </w:rPr>
        <w:br w:type="page"/>
      </w:r>
    </w:p>
    <w:p w14:paraId="63F840EB">
      <w:pPr>
        <w:pStyle w:val="87"/>
        <w:spacing w:before="560" w:after="468"/>
        <w:rPr>
          <w:rFonts w:ascii="宋体" w:hAnsi="宋体"/>
          <w:spacing w:val="320"/>
        </w:rPr>
      </w:pPr>
      <w:bookmarkStart w:id="1" w:name="_Toc18517"/>
      <w:bookmarkStart w:id="2" w:name="_Toc31807"/>
      <w:bookmarkStart w:id="3" w:name="_Toc4754"/>
      <w:bookmarkStart w:id="4" w:name="_Toc18303"/>
      <w:bookmarkStart w:id="5" w:name="_Toc6902"/>
      <w:r>
        <w:rPr>
          <w:rFonts w:ascii="宋体" w:hAnsi="宋体"/>
          <w:spacing w:val="320"/>
        </w:rPr>
        <w:t>前言</w:t>
      </w:r>
      <w:bookmarkEnd w:id="1"/>
      <w:bookmarkEnd w:id="2"/>
      <w:bookmarkEnd w:id="3"/>
      <w:bookmarkEnd w:id="4"/>
      <w:bookmarkEnd w:id="5"/>
    </w:p>
    <w:p w14:paraId="1F02233F">
      <w:pPr>
        <w:pStyle w:val="43"/>
        <w:ind w:firstLine="638" w:firstLineChars="304"/>
        <w:rPr>
          <w:rFonts w:hAnsi="宋体" w:eastAsia="黑体" w:cs="黑体"/>
        </w:rPr>
      </w:pPr>
      <w:r>
        <w:rPr>
          <w:rFonts w:hint="eastAsia" w:hAnsi="宋体" w:eastAsia="黑体" w:cs="黑体"/>
        </w:rPr>
        <w:t>本文件的全部技术内容为强制性。</w:t>
      </w:r>
    </w:p>
    <w:p w14:paraId="647FC5B2">
      <w:pPr>
        <w:pStyle w:val="43"/>
        <w:ind w:left="216" w:leftChars="103" w:firstLine="420"/>
        <w:rPr>
          <w:rFonts w:hAnsi="宋体" w:cs="宋体"/>
        </w:rPr>
      </w:pPr>
      <w:r>
        <w:rPr>
          <w:rFonts w:hint="eastAsia" w:hAnsi="宋体" w:cs="宋体"/>
        </w:rPr>
        <w:t>本文件按照GB/T 1.1—2020《标准化工作导则  第1部分：标准化文件的结构和起草规则》的规定起草。</w:t>
      </w:r>
    </w:p>
    <w:p w14:paraId="255BE820">
      <w:pPr>
        <w:pStyle w:val="43"/>
        <w:ind w:firstLine="638" w:firstLineChars="304"/>
        <w:rPr>
          <w:rFonts w:hAnsi="宋体" w:cs="宋体"/>
        </w:rPr>
      </w:pPr>
      <w:r>
        <w:rPr>
          <w:rFonts w:hint="eastAsia" w:hAnsi="宋体" w:cs="宋体"/>
        </w:rPr>
        <w:t>请注意本文件的某些内容可能涉及专利。本文件的发布机构不承担识别这些专利的责任。</w:t>
      </w:r>
    </w:p>
    <w:p w14:paraId="17047C6D">
      <w:pPr>
        <w:pStyle w:val="43"/>
        <w:ind w:left="216" w:leftChars="103" w:firstLine="420"/>
        <w:rPr>
          <w:rFonts w:hAnsi="宋体" w:cs="宋体"/>
        </w:rPr>
      </w:pPr>
      <w:r>
        <w:rPr>
          <w:rFonts w:hint="eastAsia" w:hAnsi="宋体" w:cs="宋体"/>
        </w:rPr>
        <w:t>本文件由中华人民共和国应急管理部提出，危险化学品安全监督管理二司业务管理、政策法规司统筹管理。</w:t>
      </w:r>
    </w:p>
    <w:p w14:paraId="4A57749B">
      <w:pPr>
        <w:pStyle w:val="43"/>
        <w:kinsoku w:val="0"/>
        <w:overflowPunct w:val="0"/>
        <w:ind w:left="395" w:leftChars="188" w:firstLine="243" w:firstLineChars="116"/>
        <w:textAlignment w:val="center"/>
        <w:rPr>
          <w:rFonts w:hAnsi="宋体"/>
        </w:rPr>
      </w:pPr>
      <w:r>
        <w:rPr>
          <w:rFonts w:hint="eastAsia" w:hAnsi="宋体"/>
        </w:rPr>
        <w:t>本文件由全国安全生产标准化技术委员会石油天然气开采安全分技术委员会（SAC/TC 288/SC 10）</w:t>
      </w:r>
    </w:p>
    <w:p w14:paraId="447B28E0">
      <w:pPr>
        <w:pStyle w:val="43"/>
        <w:kinsoku w:val="0"/>
        <w:overflowPunct w:val="0"/>
        <w:autoSpaceDE/>
        <w:autoSpaceDN/>
        <w:ind w:firstLine="210" w:firstLineChars="100"/>
        <w:rPr>
          <w:rFonts w:hAnsi="宋体" w:cs="宋体"/>
        </w:rPr>
      </w:pPr>
      <w:r>
        <w:rPr>
          <w:rFonts w:hint="eastAsia" w:hAnsi="宋体"/>
        </w:rPr>
        <w:t>技术归口及咨询</w:t>
      </w:r>
      <w:r>
        <w:rPr>
          <w:rFonts w:hint="eastAsia" w:hAnsi="宋体" w:cs="宋体"/>
        </w:rPr>
        <w:t>。</w:t>
      </w:r>
    </w:p>
    <w:p w14:paraId="7559503A">
      <w:pPr>
        <w:pStyle w:val="43"/>
        <w:ind w:firstLine="638" w:firstLineChars="304"/>
        <w:rPr>
          <w:rFonts w:hAnsi="宋体" w:cs="宋体"/>
        </w:rPr>
      </w:pPr>
      <w:r>
        <w:rPr>
          <w:rFonts w:hint="eastAsia" w:hAnsi="宋体" w:cs="宋体"/>
        </w:rPr>
        <w:t>本文件起草单位：XXX</w:t>
      </w:r>
    </w:p>
    <w:p w14:paraId="615F43B4">
      <w:pPr>
        <w:pStyle w:val="43"/>
        <w:ind w:firstLine="638" w:firstLineChars="304"/>
        <w:rPr>
          <w:rFonts w:hAnsi="宋体" w:cs="宋体"/>
        </w:rPr>
      </w:pPr>
      <w:r>
        <w:rPr>
          <w:rFonts w:hint="eastAsia" w:hAnsi="宋体" w:cs="宋体"/>
        </w:rPr>
        <w:t>本文件主要起草人：XXX</w:t>
      </w:r>
    </w:p>
    <w:p w14:paraId="6C314841">
      <w:pPr>
        <w:pStyle w:val="43"/>
        <w:ind w:firstLine="638" w:firstLineChars="304"/>
        <w:rPr>
          <w:rFonts w:hAnsi="宋体"/>
        </w:rPr>
      </w:pPr>
      <w:r>
        <w:rPr>
          <w:rFonts w:hint="eastAsia" w:hAnsi="宋体" w:cs="宋体"/>
        </w:rPr>
        <w:t>本文件为首次发布</w:t>
      </w:r>
      <w:r>
        <w:rPr>
          <w:rFonts w:hAnsi="宋体"/>
        </w:rPr>
        <w:t>。</w:t>
      </w:r>
    </w:p>
    <w:p w14:paraId="0DAFF7D0">
      <w:pPr>
        <w:pStyle w:val="88"/>
        <w:spacing w:beforeLines="100" w:afterLines="1"/>
        <w:rPr>
          <w:rFonts w:ascii="宋体" w:hAnsi="宋体"/>
        </w:rPr>
        <w:sectPr>
          <w:headerReference r:id="rId8" w:type="default"/>
          <w:footerReference r:id="rId10" w:type="default"/>
          <w:headerReference r:id="rId9" w:type="even"/>
          <w:footerReference r:id="rId11" w:type="even"/>
          <w:pgSz w:w="11906" w:h="16838"/>
          <w:pgMar w:top="1928" w:right="1134" w:bottom="1134" w:left="1134" w:header="1417" w:footer="1134" w:gutter="0"/>
          <w:pgNumType w:fmt="upperRoman" w:start="1"/>
          <w:cols w:space="720" w:num="1"/>
          <w:docGrid w:type="lines" w:linePitch="312" w:charSpace="0"/>
        </w:sectPr>
      </w:pPr>
      <w:bookmarkStart w:id="6" w:name="_Toc5525"/>
      <w:bookmarkStart w:id="7" w:name="_Toc24790"/>
      <w:bookmarkStart w:id="8" w:name="_Toc23414"/>
    </w:p>
    <w:p w14:paraId="2AC2C321">
      <w:pPr>
        <w:pStyle w:val="88"/>
        <w:spacing w:beforeLines="100" w:afterLines="1"/>
        <w:outlineLvl w:val="0"/>
        <w:rPr>
          <w:rFonts w:ascii="宋体" w:hAnsi="宋体"/>
        </w:rPr>
      </w:pPr>
      <w:bookmarkStart w:id="9" w:name="_Toc8853"/>
      <w:bookmarkStart w:id="10" w:name="_Toc16094"/>
      <w:bookmarkStart w:id="11" w:name="_Toc24065"/>
      <w:bookmarkStart w:id="12" w:name="_Toc10654"/>
      <w:bookmarkStart w:id="13" w:name="_Toc27874"/>
      <w:bookmarkStart w:id="14" w:name="_Toc17658"/>
      <w:bookmarkStart w:id="15" w:name="_Toc22291"/>
      <w:bookmarkStart w:id="16" w:name="_Toc3913"/>
      <w:r>
        <w:rPr>
          <w:rFonts w:hint="eastAsia" w:ascii="宋体" w:hAnsi="宋体"/>
        </w:rPr>
        <w:t>海洋石油安全评价检测检验机构条件</w:t>
      </w:r>
      <w:bookmarkEnd w:id="6"/>
      <w:bookmarkEnd w:id="7"/>
      <w:bookmarkEnd w:id="8"/>
      <w:bookmarkEnd w:id="9"/>
      <w:bookmarkEnd w:id="10"/>
      <w:bookmarkEnd w:id="11"/>
      <w:bookmarkEnd w:id="12"/>
      <w:bookmarkEnd w:id="13"/>
      <w:bookmarkEnd w:id="14"/>
      <w:bookmarkEnd w:id="15"/>
      <w:bookmarkEnd w:id="16"/>
    </w:p>
    <w:p w14:paraId="40C08534">
      <w:pPr>
        <w:widowControl/>
        <w:numPr>
          <w:ilvl w:val="1"/>
          <w:numId w:val="2"/>
        </w:numPr>
        <w:spacing w:beforeLines="100" w:afterLines="100"/>
        <w:outlineLvl w:val="0"/>
        <w:rPr>
          <w:rFonts w:ascii="宋体" w:hAnsi="宋体"/>
        </w:rPr>
      </w:pPr>
      <w:bookmarkStart w:id="17" w:name="_Toc14676"/>
      <w:bookmarkStart w:id="18" w:name="_Toc25430"/>
      <w:bookmarkStart w:id="19" w:name="_Toc5296"/>
      <w:r>
        <w:rPr>
          <w:rFonts w:hint="eastAsia" w:ascii="宋体" w:hAnsi="宋体" w:eastAsia="黑体" w:cs="黑体"/>
          <w:szCs w:val="22"/>
        </w:rPr>
        <w:t>范围</w:t>
      </w:r>
      <w:bookmarkEnd w:id="17"/>
      <w:bookmarkEnd w:id="18"/>
      <w:bookmarkEnd w:id="19"/>
    </w:p>
    <w:p w14:paraId="5B1DBEA8">
      <w:pPr>
        <w:pStyle w:val="43"/>
        <w:ind w:firstLine="420"/>
        <w:rPr>
          <w:rFonts w:hAnsi="宋体"/>
        </w:rPr>
      </w:pPr>
      <w:r>
        <w:rPr>
          <w:rFonts w:hint="eastAsia" w:hAnsi="宋体"/>
        </w:rPr>
        <w:t>本文件规定了海洋石油安全评价检测检验机构的基本条件和运行条件等要求。</w:t>
      </w:r>
    </w:p>
    <w:p w14:paraId="77D0E9FA">
      <w:pPr>
        <w:pStyle w:val="43"/>
        <w:ind w:firstLine="420"/>
        <w:rPr>
          <w:rFonts w:hAnsi="宋体"/>
        </w:rPr>
      </w:pPr>
      <w:r>
        <w:rPr>
          <w:rFonts w:hint="eastAsia" w:hAnsi="宋体"/>
        </w:rPr>
        <w:t>本文件适用于从事海洋石油安全评价、生产设施发证检验、专业设备检测检验活动的技术服务机构。</w:t>
      </w:r>
    </w:p>
    <w:p w14:paraId="4EFF7D82">
      <w:pPr>
        <w:widowControl/>
        <w:numPr>
          <w:ilvl w:val="1"/>
          <w:numId w:val="2"/>
        </w:numPr>
        <w:spacing w:beforeLines="100" w:afterLines="100"/>
        <w:outlineLvl w:val="0"/>
        <w:rPr>
          <w:rFonts w:ascii="宋体" w:hAnsi="宋体" w:eastAsia="黑体" w:cs="黑体"/>
          <w:szCs w:val="22"/>
        </w:rPr>
      </w:pPr>
      <w:bookmarkStart w:id="20" w:name="_Toc22596"/>
      <w:bookmarkStart w:id="21" w:name="_Toc9698"/>
      <w:bookmarkStart w:id="22" w:name="_Toc337"/>
      <w:r>
        <w:rPr>
          <w:rFonts w:hint="eastAsia" w:ascii="宋体" w:hAnsi="宋体" w:eastAsia="黑体" w:cs="黑体"/>
          <w:szCs w:val="22"/>
        </w:rPr>
        <w:t>规范性引用文件</w:t>
      </w:r>
      <w:bookmarkEnd w:id="20"/>
      <w:bookmarkEnd w:id="21"/>
      <w:bookmarkEnd w:id="22"/>
    </w:p>
    <w:p w14:paraId="39886274">
      <w:pPr>
        <w:pStyle w:val="44"/>
        <w:ind w:firstLine="420"/>
        <w:rPr>
          <w:rFonts w:hAnsi="宋体"/>
          <w:kern w:val="0"/>
          <w:szCs w:val="20"/>
        </w:rPr>
      </w:pPr>
      <w:r>
        <w:rPr>
          <w:rFonts w:hint="eastAsia" w:hAnsi="宋体"/>
          <w:kern w:val="0"/>
          <w:szCs w:val="20"/>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24CD6479">
      <w:pPr>
        <w:pStyle w:val="44"/>
        <w:ind w:firstLine="416"/>
        <w:rPr>
          <w:rFonts w:hAnsi="宋体" w:cs="宋体"/>
          <w:spacing w:val="-1"/>
          <w:szCs w:val="21"/>
        </w:rPr>
      </w:pPr>
      <w:r>
        <w:rPr>
          <w:rFonts w:hint="eastAsia" w:hAnsi="宋体" w:cs="宋体"/>
          <w:spacing w:val="-1"/>
          <w:szCs w:val="21"/>
        </w:rPr>
        <w:t>AQ 2082</w:t>
      </w:r>
      <w:r>
        <w:rPr>
          <w:rFonts w:hint="eastAsia" w:hAnsi="宋体" w:eastAsia="黑体"/>
          <w:bCs/>
        </w:rPr>
        <w:t>—</w:t>
      </w:r>
      <w:r>
        <w:rPr>
          <w:rFonts w:hint="eastAsia" w:hAnsi="宋体" w:cs="宋体"/>
          <w:spacing w:val="-1"/>
          <w:szCs w:val="21"/>
        </w:rPr>
        <w:t>2025  海洋石油专业设备检测检验通则</w:t>
      </w:r>
    </w:p>
    <w:p w14:paraId="5D5E19D8">
      <w:pPr>
        <w:pStyle w:val="44"/>
        <w:ind w:firstLine="416"/>
        <w:rPr>
          <w:rFonts w:hAnsi="宋体" w:cs="宋体"/>
          <w:spacing w:val="-1"/>
          <w:szCs w:val="21"/>
        </w:rPr>
      </w:pPr>
      <w:r>
        <w:rPr>
          <w:rFonts w:hint="eastAsia" w:hAnsi="宋体" w:cs="宋体"/>
          <w:spacing w:val="-1"/>
          <w:szCs w:val="21"/>
        </w:rPr>
        <w:t>AQ 8006</w:t>
      </w:r>
      <w:r>
        <w:rPr>
          <w:rFonts w:hint="eastAsia" w:hAnsi="宋体" w:eastAsia="黑体"/>
          <w:bCs/>
        </w:rPr>
        <w:t>—</w:t>
      </w:r>
      <w:r>
        <w:rPr>
          <w:rFonts w:hint="eastAsia" w:hAnsi="宋体" w:cs="宋体"/>
          <w:spacing w:val="-1"/>
          <w:szCs w:val="21"/>
        </w:rPr>
        <w:t xml:space="preserve">2026  </w:t>
      </w:r>
      <w:r>
        <w:rPr>
          <w:rFonts w:hint="eastAsia" w:hAnsi="宋体" w:cs="宋体"/>
          <w:kern w:val="0"/>
          <w:szCs w:val="20"/>
        </w:rPr>
        <w:t>安全生</w:t>
      </w:r>
      <w:r>
        <w:rPr>
          <w:rFonts w:hint="eastAsia" w:hAnsi="宋体"/>
          <w:kern w:val="0"/>
          <w:szCs w:val="20"/>
        </w:rPr>
        <w:t>产检测检验机构能力的通用要求</w:t>
      </w:r>
    </w:p>
    <w:p w14:paraId="263B14E0">
      <w:pPr>
        <w:pStyle w:val="44"/>
        <w:ind w:firstLine="416"/>
        <w:rPr>
          <w:rFonts w:hAnsi="宋体" w:cs="宋体"/>
          <w:spacing w:val="-1"/>
          <w:szCs w:val="21"/>
        </w:rPr>
      </w:pPr>
      <w:r>
        <w:rPr>
          <w:rFonts w:hint="eastAsia" w:hAnsi="宋体" w:cs="宋体"/>
          <w:spacing w:val="-1"/>
          <w:szCs w:val="21"/>
        </w:rPr>
        <w:t>JJG 693  可燃气体检测报警器</w:t>
      </w:r>
    </w:p>
    <w:p w14:paraId="369156CA">
      <w:pPr>
        <w:pStyle w:val="44"/>
        <w:ind w:firstLine="416"/>
        <w:rPr>
          <w:rFonts w:hAnsi="宋体" w:cs="宋体"/>
          <w:spacing w:val="-1"/>
          <w:szCs w:val="21"/>
        </w:rPr>
      </w:pPr>
      <w:r>
        <w:rPr>
          <w:rFonts w:hint="eastAsia" w:hAnsi="宋体" w:cs="宋体"/>
          <w:spacing w:val="-1"/>
          <w:szCs w:val="21"/>
        </w:rPr>
        <w:t>JJG 695  硫化氢气体检测仪检定规程</w:t>
      </w:r>
    </w:p>
    <w:p w14:paraId="2D343183">
      <w:pPr>
        <w:widowControl/>
        <w:numPr>
          <w:ilvl w:val="1"/>
          <w:numId w:val="2"/>
        </w:numPr>
        <w:spacing w:beforeLines="100" w:afterLines="100"/>
        <w:outlineLvl w:val="0"/>
        <w:rPr>
          <w:rFonts w:ascii="宋体" w:hAnsi="宋体" w:eastAsia="黑体" w:cs="黑体"/>
          <w:szCs w:val="22"/>
        </w:rPr>
      </w:pPr>
      <w:bookmarkStart w:id="23" w:name="_Toc24961"/>
      <w:bookmarkStart w:id="24" w:name="_Toc18474"/>
      <w:bookmarkStart w:id="25" w:name="_Toc13781"/>
      <w:r>
        <w:rPr>
          <w:rFonts w:hint="eastAsia" w:ascii="宋体" w:hAnsi="宋体" w:eastAsia="黑体" w:cs="黑体"/>
          <w:szCs w:val="22"/>
        </w:rPr>
        <w:t>术语和定义</w:t>
      </w:r>
      <w:bookmarkEnd w:id="23"/>
      <w:bookmarkEnd w:id="24"/>
      <w:bookmarkEnd w:id="25"/>
    </w:p>
    <w:p w14:paraId="5901DFE1">
      <w:pPr>
        <w:pStyle w:val="44"/>
        <w:ind w:firstLine="420"/>
        <w:rPr>
          <w:rFonts w:hAnsi="宋体"/>
          <w:kern w:val="0"/>
          <w:szCs w:val="20"/>
        </w:rPr>
      </w:pPr>
      <w:r>
        <w:rPr>
          <w:rFonts w:hint="eastAsia" w:hAnsi="宋体"/>
          <w:kern w:val="0"/>
          <w:szCs w:val="20"/>
        </w:rPr>
        <w:t>下列术语和定义适用于本文件。</w:t>
      </w:r>
    </w:p>
    <w:p w14:paraId="092F9B83">
      <w:pPr>
        <w:numPr>
          <w:ilvl w:val="2"/>
          <w:numId w:val="2"/>
        </w:numPr>
        <w:ind w:left="0"/>
        <w:rPr>
          <w:rFonts w:ascii="宋体" w:hAnsi="宋体"/>
          <w:kern w:val="0"/>
          <w:szCs w:val="20"/>
        </w:rPr>
      </w:pPr>
    </w:p>
    <w:p w14:paraId="47D7D70B">
      <w:pPr>
        <w:pStyle w:val="44"/>
        <w:spacing w:beforeLines="50" w:afterLines="50"/>
        <w:ind w:firstLine="420"/>
        <w:rPr>
          <w:rFonts w:hAnsi="宋体" w:eastAsia="黑体"/>
          <w:color w:val="000000" w:themeColor="text1"/>
          <w:kern w:val="0"/>
          <w:szCs w:val="20"/>
        </w:rPr>
      </w:pPr>
      <w:bookmarkStart w:id="26" w:name="_Toc6468"/>
      <w:bookmarkStart w:id="27" w:name="_Toc29617"/>
      <w:bookmarkStart w:id="28" w:name="_Toc13912"/>
      <w:bookmarkStart w:id="29" w:name="_Toc27579"/>
      <w:bookmarkStart w:id="30" w:name="_Toc19429"/>
      <w:bookmarkStart w:id="31" w:name="_Toc4668"/>
      <w:bookmarkStart w:id="32" w:name="_Toc29695"/>
      <w:bookmarkStart w:id="33" w:name="_Toc22301"/>
      <w:bookmarkStart w:id="34" w:name="_Toc8029"/>
      <w:r>
        <w:rPr>
          <w:rFonts w:hint="eastAsia" w:hAnsi="宋体" w:eastAsia="黑体"/>
          <w:kern w:val="0"/>
          <w:szCs w:val="20"/>
        </w:rPr>
        <w:t>海洋石油</w:t>
      </w:r>
      <w:r>
        <w:rPr>
          <w:rFonts w:hAnsi="宋体" w:eastAsia="黑体"/>
          <w:kern w:val="0"/>
          <w:szCs w:val="20"/>
        </w:rPr>
        <w:t xml:space="preserve">安全评价检测检验机构 </w:t>
      </w:r>
      <w:bookmarkEnd w:id="26"/>
      <w:bookmarkEnd w:id="27"/>
      <w:bookmarkEnd w:id="28"/>
      <w:bookmarkEnd w:id="29"/>
      <w:bookmarkEnd w:id="30"/>
      <w:bookmarkEnd w:id="31"/>
      <w:bookmarkEnd w:id="32"/>
      <w:bookmarkEnd w:id="33"/>
      <w:bookmarkEnd w:id="34"/>
      <w:r>
        <w:rPr>
          <w:rFonts w:hint="eastAsia" w:hAnsi="宋体" w:eastAsia="黑体" w:cs="黑体"/>
          <w:color w:val="000000" w:themeColor="text1"/>
          <w:kern w:val="0"/>
          <w:szCs w:val="20"/>
        </w:rPr>
        <w:t xml:space="preserve"> </w:t>
      </w:r>
      <w:r>
        <w:rPr>
          <w:rFonts w:hAnsi="宋体"/>
          <w:b/>
          <w:kern w:val="0"/>
          <w:szCs w:val="21"/>
        </w:rPr>
        <w:t>offshore oil safety evaluation, testing and inspection agency</w:t>
      </w:r>
    </w:p>
    <w:p w14:paraId="2CA105AF">
      <w:pPr>
        <w:pStyle w:val="44"/>
        <w:ind w:firstLine="420"/>
        <w:rPr>
          <w:rFonts w:hAnsi="宋体"/>
          <w:kern w:val="0"/>
          <w:szCs w:val="20"/>
        </w:rPr>
      </w:pPr>
      <w:r>
        <w:rPr>
          <w:rFonts w:hint="eastAsia" w:hAnsi="宋体"/>
          <w:kern w:val="0"/>
          <w:szCs w:val="20"/>
        </w:rPr>
        <w:t>海洋石油安全评价机构、生产设施发证检验机构及专业设备检测检验机构等三类机构</w:t>
      </w:r>
      <w:r>
        <w:rPr>
          <w:rFonts w:hAnsi="宋体"/>
          <w:kern w:val="0"/>
          <w:szCs w:val="20"/>
        </w:rPr>
        <w:t>的总称。</w:t>
      </w:r>
    </w:p>
    <w:p w14:paraId="145CB8FC">
      <w:pPr>
        <w:pStyle w:val="44"/>
        <w:ind w:firstLine="420"/>
        <w:rPr>
          <w:rFonts w:hAnsi="宋体"/>
          <w:kern w:val="0"/>
          <w:szCs w:val="20"/>
        </w:rPr>
      </w:pPr>
    </w:p>
    <w:p w14:paraId="1F9FF47B">
      <w:pPr>
        <w:numPr>
          <w:ilvl w:val="2"/>
          <w:numId w:val="2"/>
        </w:numPr>
        <w:ind w:left="0"/>
        <w:rPr>
          <w:rFonts w:ascii="宋体" w:hAnsi="宋体" w:eastAsia="黑体" w:cs="Times New Roman"/>
          <w:kern w:val="0"/>
          <w:szCs w:val="20"/>
        </w:rPr>
      </w:pPr>
      <w:bookmarkStart w:id="35" w:name="_Toc20840"/>
      <w:bookmarkStart w:id="36" w:name="_Toc12608"/>
      <w:bookmarkStart w:id="37" w:name="_Toc23284"/>
      <w:bookmarkStart w:id="38" w:name="_Toc28323"/>
      <w:bookmarkStart w:id="39" w:name="_Toc3242"/>
      <w:bookmarkStart w:id="40" w:name="_Toc24908"/>
      <w:bookmarkStart w:id="41" w:name="_Toc16617"/>
      <w:bookmarkStart w:id="42" w:name="_Toc26688"/>
      <w:bookmarkStart w:id="43" w:name="_Toc26559"/>
    </w:p>
    <w:p w14:paraId="38C1A885">
      <w:pPr>
        <w:pStyle w:val="44"/>
        <w:spacing w:beforeLines="50" w:afterLines="50"/>
        <w:ind w:firstLine="420"/>
        <w:rPr>
          <w:rFonts w:hAnsi="宋体" w:eastAsia="黑体"/>
          <w:kern w:val="0"/>
          <w:szCs w:val="20"/>
        </w:rPr>
      </w:pPr>
      <w:r>
        <w:rPr>
          <w:rFonts w:hAnsi="宋体" w:eastAsia="黑体"/>
          <w:kern w:val="0"/>
          <w:szCs w:val="20"/>
        </w:rPr>
        <w:t>主持工作负责人</w:t>
      </w:r>
      <w:r>
        <w:rPr>
          <w:rFonts w:hint="eastAsia" w:hAnsi="宋体" w:eastAsia="黑体"/>
          <w:kern w:val="0"/>
          <w:szCs w:val="20"/>
        </w:rPr>
        <w:t xml:space="preserve"> </w:t>
      </w:r>
      <w:r>
        <w:rPr>
          <w:rFonts w:hAnsi="宋体" w:eastAsia="黑体"/>
          <w:kern w:val="0"/>
          <w:szCs w:val="20"/>
        </w:rPr>
        <w:t xml:space="preserve"> </w:t>
      </w:r>
      <w:bookmarkEnd w:id="35"/>
      <w:bookmarkEnd w:id="36"/>
      <w:bookmarkEnd w:id="37"/>
      <w:bookmarkEnd w:id="38"/>
      <w:bookmarkEnd w:id="39"/>
      <w:bookmarkEnd w:id="40"/>
      <w:bookmarkEnd w:id="41"/>
      <w:bookmarkEnd w:id="42"/>
      <w:bookmarkEnd w:id="43"/>
      <w:r>
        <w:rPr>
          <w:rFonts w:hAnsi="宋体"/>
          <w:b/>
          <w:kern w:val="0"/>
          <w:szCs w:val="21"/>
        </w:rPr>
        <w:t>presiding officer</w:t>
      </w:r>
    </w:p>
    <w:p w14:paraId="7BC12962">
      <w:pPr>
        <w:pStyle w:val="44"/>
        <w:ind w:firstLine="420"/>
        <w:rPr>
          <w:rFonts w:hAnsi="宋体"/>
          <w:kern w:val="0"/>
          <w:szCs w:val="20"/>
        </w:rPr>
      </w:pPr>
      <w:bookmarkStart w:id="44" w:name="_Toc16075"/>
      <w:bookmarkStart w:id="45" w:name="_Toc7840"/>
      <w:r>
        <w:rPr>
          <w:rFonts w:hint="eastAsia" w:hAnsi="宋体"/>
          <w:kern w:val="0"/>
          <w:szCs w:val="20"/>
        </w:rPr>
        <w:t>海洋石油生产设施发证检验机构或专业设备检测检验机构中主持检测检验工作的负责人</w:t>
      </w:r>
      <w:r>
        <w:rPr>
          <w:rFonts w:hAnsi="宋体"/>
          <w:kern w:val="0"/>
          <w:szCs w:val="20"/>
        </w:rPr>
        <w:t>。</w:t>
      </w:r>
    </w:p>
    <w:p w14:paraId="011F4177">
      <w:pPr>
        <w:numPr>
          <w:ilvl w:val="2"/>
          <w:numId w:val="2"/>
        </w:numPr>
        <w:ind w:left="0"/>
        <w:rPr>
          <w:rFonts w:ascii="宋体" w:hAnsi="宋体" w:eastAsia="黑体" w:cs="Times New Roman"/>
          <w:kern w:val="0"/>
          <w:szCs w:val="20"/>
        </w:rPr>
      </w:pPr>
    </w:p>
    <w:p w14:paraId="5DD9BCF1">
      <w:pPr>
        <w:pStyle w:val="44"/>
        <w:spacing w:line="360" w:lineRule="auto"/>
        <w:ind w:firstLine="420"/>
        <w:rPr>
          <w:rFonts w:hAnsi="宋体" w:eastAsia="黑体"/>
          <w:b/>
          <w:bCs/>
        </w:rPr>
      </w:pPr>
      <w:r>
        <w:rPr>
          <w:rFonts w:hint="eastAsia" w:hAnsi="宋体" w:eastAsia="黑体" w:cs="黑体"/>
        </w:rPr>
        <w:t xml:space="preserve">技术负责人 </w:t>
      </w:r>
      <w:r>
        <w:rPr>
          <w:rFonts w:hint="eastAsia" w:hAnsi="宋体" w:eastAsia="黑体" w:cs="黑体"/>
          <w:b/>
          <w:bCs/>
        </w:rPr>
        <w:t xml:space="preserve"> </w:t>
      </w:r>
      <w:r>
        <w:rPr>
          <w:rFonts w:hAnsi="宋体"/>
          <w:b/>
          <w:kern w:val="0"/>
          <w:szCs w:val="21"/>
        </w:rPr>
        <w:t>technical director</w:t>
      </w:r>
    </w:p>
    <w:p w14:paraId="10B6A6E7">
      <w:pPr>
        <w:pStyle w:val="44"/>
        <w:ind w:firstLine="420"/>
        <w:rPr>
          <w:rFonts w:hAnsi="宋体"/>
          <w:kern w:val="0"/>
          <w:szCs w:val="20"/>
        </w:rPr>
      </w:pPr>
      <w:r>
        <w:rPr>
          <w:rFonts w:hint="eastAsia" w:hAnsi="宋体"/>
          <w:kern w:val="0"/>
          <w:szCs w:val="20"/>
        </w:rPr>
        <w:t>海洋石油安全评价检测检验机构中全面负责机构技术运作和提供技术支持的人员。</w:t>
      </w:r>
    </w:p>
    <w:p w14:paraId="65EA737F">
      <w:pPr>
        <w:numPr>
          <w:ilvl w:val="2"/>
          <w:numId w:val="2"/>
        </w:numPr>
        <w:ind w:left="0"/>
        <w:rPr>
          <w:rFonts w:ascii="宋体" w:hAnsi="宋体" w:eastAsia="黑体" w:cs="Times New Roman"/>
          <w:kern w:val="0"/>
          <w:szCs w:val="20"/>
        </w:rPr>
      </w:pPr>
    </w:p>
    <w:p w14:paraId="277C5588">
      <w:pPr>
        <w:pStyle w:val="44"/>
        <w:spacing w:line="360" w:lineRule="auto"/>
        <w:ind w:firstLine="420"/>
        <w:rPr>
          <w:rFonts w:hAnsi="宋体" w:eastAsia="黑体"/>
          <w:b/>
          <w:bCs/>
        </w:rPr>
      </w:pPr>
      <w:r>
        <w:rPr>
          <w:rFonts w:hint="eastAsia" w:hAnsi="宋体" w:eastAsia="黑体" w:cs="黑体"/>
        </w:rPr>
        <w:t xml:space="preserve">质量负责人 </w:t>
      </w:r>
      <w:r>
        <w:rPr>
          <w:rFonts w:hint="eastAsia" w:hAnsi="宋体" w:eastAsia="黑体" w:cs="黑体"/>
          <w:b/>
          <w:bCs/>
        </w:rPr>
        <w:t xml:space="preserve"> </w:t>
      </w:r>
      <w:r>
        <w:rPr>
          <w:rFonts w:hAnsi="宋体"/>
          <w:b/>
          <w:kern w:val="0"/>
          <w:szCs w:val="21"/>
        </w:rPr>
        <w:t>quality director</w:t>
      </w:r>
    </w:p>
    <w:p w14:paraId="22B0AC2D">
      <w:pPr>
        <w:pStyle w:val="44"/>
        <w:ind w:firstLine="420"/>
        <w:rPr>
          <w:rFonts w:hAnsi="宋体"/>
          <w:kern w:val="0"/>
          <w:szCs w:val="20"/>
        </w:rPr>
      </w:pPr>
      <w:r>
        <w:rPr>
          <w:rFonts w:hint="eastAsia" w:hAnsi="宋体"/>
          <w:kern w:val="0"/>
          <w:szCs w:val="20"/>
        </w:rPr>
        <w:t>海洋石油生产设施发证检验机构或专业设备检测检验机构中全面负责建立、实施和保持质量管理体系的人员。</w:t>
      </w:r>
    </w:p>
    <w:p w14:paraId="76FE8126">
      <w:pPr>
        <w:numPr>
          <w:ilvl w:val="2"/>
          <w:numId w:val="2"/>
        </w:numPr>
        <w:ind w:left="0"/>
        <w:rPr>
          <w:rFonts w:ascii="宋体" w:hAnsi="宋体" w:eastAsia="黑体" w:cs="Times New Roman"/>
          <w:kern w:val="0"/>
          <w:szCs w:val="20"/>
        </w:rPr>
      </w:pPr>
    </w:p>
    <w:p w14:paraId="30CA51BA">
      <w:pPr>
        <w:pStyle w:val="44"/>
        <w:spacing w:line="360" w:lineRule="auto"/>
        <w:ind w:firstLine="420"/>
        <w:rPr>
          <w:rFonts w:hAnsi="宋体"/>
          <w:b/>
          <w:color w:val="000000" w:themeColor="text1"/>
        </w:rPr>
      </w:pPr>
      <w:r>
        <w:rPr>
          <w:rFonts w:hint="eastAsia" w:hAnsi="宋体" w:eastAsia="黑体"/>
          <w:bCs/>
          <w:color w:val="000000" w:themeColor="text1"/>
        </w:rPr>
        <w:t>授权签字人</w:t>
      </w:r>
      <w:r>
        <w:rPr>
          <w:rFonts w:hint="eastAsia" w:hAnsi="宋体" w:eastAsia="黑体"/>
          <w:b/>
          <w:color w:val="000000" w:themeColor="text1"/>
        </w:rPr>
        <w:t xml:space="preserve"> </w:t>
      </w:r>
      <w:r>
        <w:rPr>
          <w:rFonts w:hint="eastAsia" w:hAnsi="宋体"/>
          <w:b/>
          <w:color w:val="000000" w:themeColor="text1"/>
        </w:rPr>
        <w:t xml:space="preserve"> </w:t>
      </w:r>
      <w:r>
        <w:rPr>
          <w:rFonts w:hAnsi="宋体"/>
          <w:b/>
          <w:kern w:val="0"/>
          <w:szCs w:val="21"/>
        </w:rPr>
        <w:t>authorized signatory</w:t>
      </w:r>
    </w:p>
    <w:p w14:paraId="3ED5EE76">
      <w:pPr>
        <w:pStyle w:val="44"/>
        <w:ind w:firstLine="420"/>
        <w:rPr>
          <w:rFonts w:hAnsi="宋体"/>
          <w:strike/>
          <w:kern w:val="0"/>
          <w:szCs w:val="20"/>
        </w:rPr>
      </w:pPr>
      <w:r>
        <w:rPr>
          <w:rFonts w:hint="eastAsia" w:hAnsi="宋体"/>
          <w:kern w:val="0"/>
          <w:szCs w:val="20"/>
        </w:rPr>
        <w:t>由海洋石油生产设施发证检验机构或专业设备检测检验机构授权，负责批准签发授权范围内相关检测检验技术文件的人员。</w:t>
      </w:r>
    </w:p>
    <w:p w14:paraId="1D3F52AC">
      <w:pPr>
        <w:numPr>
          <w:ilvl w:val="2"/>
          <w:numId w:val="2"/>
        </w:numPr>
        <w:ind w:left="0"/>
        <w:rPr>
          <w:rFonts w:ascii="宋体" w:hAnsi="宋体" w:eastAsia="黑体" w:cs="Times New Roman"/>
          <w:kern w:val="0"/>
          <w:szCs w:val="20"/>
        </w:rPr>
      </w:pPr>
    </w:p>
    <w:p w14:paraId="681CBBCB">
      <w:pPr>
        <w:pStyle w:val="44"/>
        <w:spacing w:line="360" w:lineRule="auto"/>
        <w:ind w:firstLine="420"/>
        <w:rPr>
          <w:rFonts w:hAnsi="宋体" w:eastAsia="黑体"/>
          <w:b/>
          <w:bCs/>
        </w:rPr>
      </w:pPr>
      <w:r>
        <w:rPr>
          <w:rFonts w:hint="eastAsia" w:hAnsi="宋体" w:eastAsia="黑体" w:cs="黑体"/>
        </w:rPr>
        <w:t xml:space="preserve">过程控制负责人 </w:t>
      </w:r>
      <w:r>
        <w:rPr>
          <w:rFonts w:hint="eastAsia" w:hAnsi="宋体" w:eastAsia="黑体" w:cs="黑体"/>
          <w:b/>
          <w:bCs/>
        </w:rPr>
        <w:t xml:space="preserve"> </w:t>
      </w:r>
      <w:r>
        <w:rPr>
          <w:rFonts w:hAnsi="宋体"/>
          <w:b/>
          <w:kern w:val="0"/>
          <w:szCs w:val="21"/>
        </w:rPr>
        <w:t>director of process control</w:t>
      </w:r>
    </w:p>
    <w:p w14:paraId="7AB3B392">
      <w:pPr>
        <w:pStyle w:val="44"/>
        <w:ind w:firstLine="420"/>
        <w:rPr>
          <w:rFonts w:hAnsi="宋体"/>
          <w:kern w:val="0"/>
          <w:szCs w:val="20"/>
        </w:rPr>
      </w:pPr>
      <w:r>
        <w:rPr>
          <w:rFonts w:hint="eastAsia" w:hAnsi="宋体"/>
          <w:kern w:val="0"/>
          <w:szCs w:val="20"/>
        </w:rPr>
        <w:t>海洋石油安全评价机构中负责海洋石油安全评价项目过程控制的人员。</w:t>
      </w:r>
    </w:p>
    <w:p w14:paraId="75181207">
      <w:pPr>
        <w:numPr>
          <w:ilvl w:val="2"/>
          <w:numId w:val="2"/>
        </w:numPr>
        <w:ind w:left="0"/>
        <w:rPr>
          <w:rFonts w:ascii="宋体" w:hAnsi="宋体" w:eastAsia="黑体" w:cs="Times New Roman"/>
          <w:kern w:val="0"/>
          <w:szCs w:val="20"/>
        </w:rPr>
      </w:pPr>
    </w:p>
    <w:p w14:paraId="267460A8">
      <w:pPr>
        <w:pStyle w:val="44"/>
        <w:spacing w:line="360" w:lineRule="auto"/>
        <w:ind w:firstLine="420"/>
        <w:rPr>
          <w:rFonts w:hAnsi="宋体" w:eastAsia="黑体" w:cs="黑体"/>
          <w:kern w:val="0"/>
          <w:szCs w:val="20"/>
        </w:rPr>
      </w:pPr>
      <w:r>
        <w:rPr>
          <w:rFonts w:hint="eastAsia" w:hAnsi="宋体" w:eastAsia="黑体"/>
        </w:rPr>
        <w:t xml:space="preserve">专职检验人员  </w:t>
      </w:r>
      <w:r>
        <w:rPr>
          <w:rFonts w:hAnsi="宋体"/>
          <w:b/>
          <w:kern w:val="0"/>
          <w:szCs w:val="21"/>
        </w:rPr>
        <w:t>full-time survey personnel</w:t>
      </w:r>
    </w:p>
    <w:p w14:paraId="214A05BF">
      <w:pPr>
        <w:pStyle w:val="44"/>
        <w:ind w:firstLine="420"/>
        <w:rPr>
          <w:rFonts w:hAnsi="宋体" w:eastAsia="黑体"/>
          <w:kern w:val="0"/>
          <w:szCs w:val="20"/>
        </w:rPr>
      </w:pPr>
      <w:r>
        <w:rPr>
          <w:rFonts w:hint="eastAsia" w:hAnsi="宋体"/>
          <w:kern w:val="0"/>
          <w:szCs w:val="20"/>
        </w:rPr>
        <w:t>海洋石油生产设施发证检验机构中专门从事海洋石油生产设施发证检验的人员</w:t>
      </w:r>
      <w:r>
        <w:rPr>
          <w:rFonts w:hint="eastAsia" w:hAnsi="宋体"/>
        </w:rPr>
        <w:t>，包括设计审查和现场检验人员</w:t>
      </w:r>
      <w:r>
        <w:rPr>
          <w:rFonts w:hint="eastAsia" w:hAnsi="宋体"/>
          <w:kern w:val="0"/>
          <w:szCs w:val="20"/>
        </w:rPr>
        <w:t>。</w:t>
      </w:r>
    </w:p>
    <w:p w14:paraId="596E688F">
      <w:pPr>
        <w:numPr>
          <w:ilvl w:val="2"/>
          <w:numId w:val="2"/>
        </w:numPr>
        <w:ind w:left="0"/>
        <w:rPr>
          <w:rFonts w:ascii="宋体" w:hAnsi="宋体" w:eastAsia="黑体" w:cs="Times New Roman"/>
          <w:kern w:val="0"/>
          <w:szCs w:val="20"/>
        </w:rPr>
      </w:pPr>
    </w:p>
    <w:p w14:paraId="23680FC5">
      <w:pPr>
        <w:pStyle w:val="44"/>
        <w:spacing w:line="360" w:lineRule="auto"/>
        <w:ind w:firstLine="420"/>
        <w:rPr>
          <w:rFonts w:hAnsi="宋体" w:eastAsia="黑体"/>
        </w:rPr>
      </w:pPr>
      <w:r>
        <w:rPr>
          <w:rFonts w:hint="eastAsia" w:hAnsi="宋体" w:eastAsia="黑体"/>
        </w:rPr>
        <w:t xml:space="preserve">专业设备检测检验  </w:t>
      </w:r>
      <w:r>
        <w:rPr>
          <w:rFonts w:hAnsi="宋体"/>
          <w:b/>
          <w:kern w:val="0"/>
          <w:szCs w:val="21"/>
        </w:rPr>
        <w:t>special equipment testing and inspection</w:t>
      </w:r>
    </w:p>
    <w:p w14:paraId="08BC4CA6">
      <w:pPr>
        <w:pStyle w:val="44"/>
        <w:ind w:firstLine="420"/>
        <w:rPr>
          <w:rFonts w:hAnsi="宋体"/>
          <w:sz w:val="18"/>
          <w:szCs w:val="18"/>
        </w:rPr>
      </w:pPr>
      <w:r>
        <w:rPr>
          <w:rFonts w:hint="eastAsia" w:hAnsi="宋体"/>
          <w:kern w:val="0"/>
          <w:szCs w:val="20"/>
        </w:rPr>
        <w:t>根据相关技术规范、标准对海洋石油专业设备安全状况所进行的符合性验证活动，</w:t>
      </w:r>
      <w:r>
        <w:rPr>
          <w:rFonts w:hint="eastAsia" w:hAnsi="宋体"/>
          <w:szCs w:val="21"/>
        </w:rPr>
        <w:t>一般包括设备安全风险识别、</w:t>
      </w:r>
      <w:bookmarkStart w:id="46" w:name="OLE_LINK1"/>
      <w:r>
        <w:rPr>
          <w:rFonts w:hint="eastAsia" w:hAnsi="宋体"/>
          <w:szCs w:val="21"/>
        </w:rPr>
        <w:t>利用仪器或监测装置等获取设备安全风险相关数据</w:t>
      </w:r>
      <w:bookmarkEnd w:id="46"/>
      <w:r>
        <w:rPr>
          <w:rFonts w:hint="eastAsia" w:hAnsi="宋体"/>
          <w:szCs w:val="21"/>
        </w:rPr>
        <w:t>、结合数据对设备安全状况进行判定等内容。</w:t>
      </w:r>
    </w:p>
    <w:p w14:paraId="4B95C614">
      <w:pPr>
        <w:numPr>
          <w:ilvl w:val="2"/>
          <w:numId w:val="2"/>
        </w:numPr>
        <w:ind w:left="0"/>
        <w:rPr>
          <w:rFonts w:ascii="宋体" w:hAnsi="宋体"/>
        </w:rPr>
      </w:pPr>
    </w:p>
    <w:p w14:paraId="1D4C1251">
      <w:pPr>
        <w:pStyle w:val="44"/>
        <w:spacing w:line="360" w:lineRule="auto"/>
        <w:ind w:firstLine="420"/>
        <w:rPr>
          <w:rFonts w:hAnsi="宋体"/>
          <w:b/>
          <w:kern w:val="0"/>
          <w:szCs w:val="21"/>
        </w:rPr>
      </w:pPr>
      <w:r>
        <w:rPr>
          <w:rFonts w:hint="eastAsia" w:hAnsi="宋体" w:eastAsia="黑体"/>
        </w:rPr>
        <w:t xml:space="preserve">专业设备检验人员  </w:t>
      </w:r>
      <w:r>
        <w:rPr>
          <w:rFonts w:hAnsi="宋体"/>
          <w:b/>
          <w:kern w:val="0"/>
          <w:szCs w:val="21"/>
        </w:rPr>
        <w:t>qualified special equipment inspection personnel</w:t>
      </w:r>
    </w:p>
    <w:p w14:paraId="66964654">
      <w:pPr>
        <w:pStyle w:val="44"/>
        <w:ind w:firstLine="420"/>
        <w:rPr>
          <w:rFonts w:hAnsi="宋体"/>
          <w:kern w:val="0"/>
          <w:szCs w:val="20"/>
        </w:rPr>
      </w:pPr>
      <w:r>
        <w:rPr>
          <w:rFonts w:hint="eastAsia" w:hAnsi="宋体"/>
          <w:kern w:val="0"/>
          <w:szCs w:val="20"/>
        </w:rPr>
        <w:t>海洋石油专业设备检测检验机构中从事专业设备安全风险识别、对设备安全状况进行判定的人员。</w:t>
      </w:r>
    </w:p>
    <w:p w14:paraId="30FCA2B3">
      <w:pPr>
        <w:numPr>
          <w:ilvl w:val="2"/>
          <w:numId w:val="2"/>
        </w:numPr>
        <w:ind w:left="0"/>
        <w:rPr>
          <w:rFonts w:ascii="宋体" w:hAnsi="宋体"/>
        </w:rPr>
      </w:pPr>
    </w:p>
    <w:p w14:paraId="5A230608">
      <w:pPr>
        <w:pStyle w:val="44"/>
        <w:spacing w:line="360" w:lineRule="auto"/>
        <w:ind w:firstLine="420"/>
        <w:rPr>
          <w:rFonts w:hAnsi="宋体"/>
          <w:b/>
          <w:kern w:val="0"/>
          <w:szCs w:val="21"/>
        </w:rPr>
      </w:pPr>
      <w:r>
        <w:rPr>
          <w:rFonts w:hint="eastAsia" w:hAnsi="宋体" w:eastAsia="黑体"/>
        </w:rPr>
        <w:t xml:space="preserve">专业设备检测人员  </w:t>
      </w:r>
      <w:r>
        <w:rPr>
          <w:rFonts w:hAnsi="宋体"/>
          <w:b/>
          <w:kern w:val="0"/>
          <w:szCs w:val="21"/>
        </w:rPr>
        <w:t>qualified special equipment testing personnel</w:t>
      </w:r>
    </w:p>
    <w:p w14:paraId="277ABF76">
      <w:pPr>
        <w:pStyle w:val="44"/>
        <w:ind w:firstLine="420"/>
        <w:rPr>
          <w:rFonts w:hAnsi="宋体"/>
          <w:kern w:val="0"/>
          <w:szCs w:val="20"/>
        </w:rPr>
      </w:pPr>
      <w:r>
        <w:rPr>
          <w:rFonts w:hint="eastAsia" w:hAnsi="宋体"/>
          <w:kern w:val="0"/>
          <w:szCs w:val="20"/>
        </w:rPr>
        <w:t>海洋石油专业设备检测检验机构中从事专业设备安全风险相关数据采集的人员。</w:t>
      </w:r>
    </w:p>
    <w:p w14:paraId="34E77782">
      <w:pPr>
        <w:widowControl/>
        <w:numPr>
          <w:ilvl w:val="1"/>
          <w:numId w:val="2"/>
        </w:numPr>
        <w:spacing w:beforeLines="100" w:afterLines="100"/>
        <w:outlineLvl w:val="0"/>
        <w:rPr>
          <w:rFonts w:ascii="宋体" w:hAnsi="宋体" w:eastAsia="黑体" w:cs="黑体"/>
          <w:szCs w:val="22"/>
        </w:rPr>
      </w:pPr>
      <w:bookmarkStart w:id="47" w:name="_Toc2279"/>
      <w:bookmarkStart w:id="48" w:name="_Toc11616"/>
      <w:bookmarkStart w:id="49" w:name="_Toc31500"/>
      <w:r>
        <w:rPr>
          <w:rFonts w:hint="eastAsia" w:ascii="宋体" w:hAnsi="宋体" w:eastAsia="黑体" w:cs="黑体"/>
          <w:szCs w:val="22"/>
        </w:rPr>
        <w:t>基本条件</w:t>
      </w:r>
      <w:bookmarkEnd w:id="47"/>
      <w:bookmarkEnd w:id="48"/>
      <w:bookmarkEnd w:id="49"/>
    </w:p>
    <w:p w14:paraId="1BD56766">
      <w:pPr>
        <w:numPr>
          <w:ilvl w:val="2"/>
          <w:numId w:val="2"/>
        </w:numPr>
        <w:spacing w:beforeLines="50" w:afterLines="50"/>
        <w:ind w:left="0"/>
        <w:outlineLvl w:val="1"/>
        <w:rPr>
          <w:rFonts w:ascii="宋体" w:hAnsi="宋体"/>
        </w:rPr>
      </w:pPr>
      <w:bookmarkStart w:id="50" w:name="_Toc10718"/>
      <w:bookmarkStart w:id="51" w:name="_Toc19948"/>
      <w:bookmarkStart w:id="52" w:name="_Toc3992"/>
      <w:r>
        <w:rPr>
          <w:rFonts w:hint="eastAsia" w:ascii="宋体" w:hAnsi="宋体" w:eastAsia="黑体" w:cs="黑体"/>
        </w:rPr>
        <w:t>通用条件</w:t>
      </w:r>
      <w:bookmarkEnd w:id="50"/>
      <w:bookmarkEnd w:id="51"/>
      <w:bookmarkEnd w:id="52"/>
    </w:p>
    <w:p w14:paraId="4BC8E156">
      <w:pPr>
        <w:pStyle w:val="96"/>
        <w:numPr>
          <w:ilvl w:val="3"/>
          <w:numId w:val="2"/>
        </w:numPr>
        <w:spacing w:before="120" w:after="120"/>
        <w:rPr>
          <w:rFonts w:ascii="宋体" w:hAnsi="宋体"/>
        </w:rPr>
      </w:pPr>
      <w:r>
        <w:rPr>
          <w:rFonts w:hint="eastAsia" w:ascii="宋体" w:hAnsi="宋体"/>
        </w:rPr>
        <w:t>机构</w:t>
      </w:r>
    </w:p>
    <w:p w14:paraId="02F56708">
      <w:pPr>
        <w:pStyle w:val="128"/>
        <w:numPr>
          <w:ilvl w:val="4"/>
          <w:numId w:val="2"/>
        </w:numPr>
        <w:rPr>
          <w:rFonts w:hAnsi="宋体"/>
        </w:rPr>
      </w:pPr>
      <w:r>
        <w:rPr>
          <w:rFonts w:hint="eastAsia" w:hAnsi="宋体"/>
        </w:rPr>
        <w:t>海洋石油安全评价检测检验机构应是在中华人民共和国注册的独立法人。</w:t>
      </w:r>
    </w:p>
    <w:p w14:paraId="25BA08DD">
      <w:pPr>
        <w:pStyle w:val="128"/>
        <w:numPr>
          <w:ilvl w:val="4"/>
          <w:numId w:val="2"/>
        </w:numPr>
        <w:rPr>
          <w:rFonts w:hAnsi="宋体"/>
        </w:rPr>
      </w:pPr>
      <w:r>
        <w:rPr>
          <w:rFonts w:hint="eastAsia" w:hAnsi="宋体"/>
        </w:rPr>
        <w:t>海洋石油安全评价检测检验机构应具有与所从事业务相适应的固定资产，不同业务类型机构的固定资产应符合本文件4.2的相应要求</w:t>
      </w:r>
      <w:r>
        <w:rPr>
          <w:rFonts w:hAnsi="宋体"/>
        </w:rPr>
        <w:t>。</w:t>
      </w:r>
    </w:p>
    <w:p w14:paraId="22D24D1F">
      <w:pPr>
        <w:pStyle w:val="128"/>
        <w:numPr>
          <w:ilvl w:val="4"/>
          <w:numId w:val="2"/>
        </w:numPr>
        <w:rPr>
          <w:rFonts w:hAnsi="宋体"/>
        </w:rPr>
      </w:pPr>
      <w:r>
        <w:rPr>
          <w:rFonts w:hint="eastAsia" w:hAnsi="宋体"/>
        </w:rPr>
        <w:t>同一机构从事海洋石油安全评价、生产设施发证检验和专业设备检测检验活动中两种或者三种业务的，专职技术人员数量和固定资产不应重复计算。</w:t>
      </w:r>
    </w:p>
    <w:p w14:paraId="04AF8DCA">
      <w:pPr>
        <w:pStyle w:val="128"/>
        <w:numPr>
          <w:ilvl w:val="4"/>
          <w:numId w:val="2"/>
        </w:numPr>
        <w:rPr>
          <w:rFonts w:hAnsi="宋体"/>
        </w:rPr>
      </w:pPr>
      <w:r>
        <w:rPr>
          <w:rFonts w:hint="eastAsia" w:hAnsi="宋体"/>
        </w:rPr>
        <w:t>法定代表人应出具知悉并承担海洋石油安全评价检测检验的法律责任、义务、权利和风险的承诺书。</w:t>
      </w:r>
    </w:p>
    <w:p w14:paraId="666F6F9D">
      <w:pPr>
        <w:pStyle w:val="128"/>
        <w:numPr>
          <w:ilvl w:val="4"/>
          <w:numId w:val="2"/>
        </w:numPr>
        <w:rPr>
          <w:rFonts w:hAnsi="宋体"/>
        </w:rPr>
      </w:pPr>
      <w:r>
        <w:rPr>
          <w:rFonts w:hint="eastAsia" w:hAnsi="宋体"/>
        </w:rPr>
        <w:t>海洋石油安全评价检测检验机构近三年内应无从事海洋石油安全评价检测检验活动的重大行政处罚和不良信用记录。</w:t>
      </w:r>
    </w:p>
    <w:p w14:paraId="217A2B2A">
      <w:pPr>
        <w:pStyle w:val="128"/>
        <w:numPr>
          <w:ilvl w:val="4"/>
          <w:numId w:val="2"/>
        </w:numPr>
        <w:rPr>
          <w:rFonts w:hAnsi="宋体"/>
        </w:rPr>
      </w:pPr>
      <w:r>
        <w:rPr>
          <w:rFonts w:hint="eastAsia" w:hAnsi="宋体"/>
        </w:rPr>
        <w:t>海洋石油安全评价检测检验机构应有本机构制定或采用的有关安全评价检测检验的规范、标准。</w:t>
      </w:r>
    </w:p>
    <w:p w14:paraId="0FCD6159">
      <w:pPr>
        <w:pStyle w:val="128"/>
        <w:numPr>
          <w:ilvl w:val="4"/>
          <w:numId w:val="2"/>
        </w:numPr>
        <w:rPr>
          <w:rFonts w:hAnsi="宋体"/>
        </w:rPr>
      </w:pPr>
      <w:r>
        <w:rPr>
          <w:rFonts w:hint="eastAsia" w:hAnsi="宋体"/>
        </w:rPr>
        <w:t>海洋石油安全评价检测检验机构应具有健全的内部管理制度，建立信息存档管理程序并严格执行，归档留存有关安全评价检测检验原始记录和报告</w:t>
      </w:r>
      <w:r>
        <w:rPr>
          <w:rFonts w:hAnsi="宋体"/>
        </w:rPr>
        <w:t>。</w:t>
      </w:r>
    </w:p>
    <w:p w14:paraId="5C2C4813">
      <w:pPr>
        <w:pStyle w:val="128"/>
        <w:numPr>
          <w:ilvl w:val="4"/>
          <w:numId w:val="2"/>
        </w:numPr>
        <w:rPr>
          <w:rFonts w:hAnsi="宋体"/>
        </w:rPr>
      </w:pPr>
      <w:r>
        <w:rPr>
          <w:rFonts w:hAnsi="宋体"/>
          <w:szCs w:val="21"/>
        </w:rPr>
        <w:t>海洋石油安全评价检测检验机构应具有正常运行并可以供公众查询机构信息的网站。</w:t>
      </w:r>
    </w:p>
    <w:p w14:paraId="371E7AAF">
      <w:pPr>
        <w:pStyle w:val="95"/>
        <w:numPr>
          <w:ilvl w:val="3"/>
          <w:numId w:val="2"/>
        </w:numPr>
        <w:spacing w:beforeLines="50" w:afterLines="50"/>
        <w:outlineLvl w:val="2"/>
        <w:rPr>
          <w:rFonts w:hAnsi="宋体" w:eastAsia="黑体" w:cs="黑体"/>
        </w:rPr>
      </w:pPr>
      <w:r>
        <w:rPr>
          <w:rFonts w:hint="eastAsia" w:hAnsi="宋体" w:eastAsia="黑体" w:cs="黑体"/>
        </w:rPr>
        <w:t>场所</w:t>
      </w:r>
    </w:p>
    <w:p w14:paraId="43B8566E">
      <w:pPr>
        <w:pStyle w:val="128"/>
        <w:numPr>
          <w:ilvl w:val="4"/>
          <w:numId w:val="2"/>
        </w:numPr>
        <w:rPr>
          <w:rFonts w:hAnsi="宋体"/>
        </w:rPr>
      </w:pPr>
      <w:r>
        <w:rPr>
          <w:rFonts w:hint="eastAsia" w:hAnsi="宋体"/>
        </w:rPr>
        <w:t>海洋石油安全评价检测检验机构应具有与所从事业务相适应的固定工作场所，不同业务类型机构的场所应符合本文件4.2的相应要求。</w:t>
      </w:r>
    </w:p>
    <w:p w14:paraId="60ABE8D4">
      <w:pPr>
        <w:pStyle w:val="128"/>
        <w:numPr>
          <w:ilvl w:val="4"/>
          <w:numId w:val="2"/>
        </w:numPr>
        <w:rPr>
          <w:rFonts w:hAnsi="宋体"/>
        </w:rPr>
      </w:pPr>
      <w:r>
        <w:rPr>
          <w:rFonts w:hint="eastAsia" w:hAnsi="宋体"/>
        </w:rPr>
        <w:t>海洋石油安全评价检测检验机构应配置存档相关文件的档案室，不同业务类型机构的档案室应符合本文件4.2的相应要求</w:t>
      </w:r>
      <w:r>
        <w:rPr>
          <w:rFonts w:hAnsi="宋体"/>
        </w:rPr>
        <w:t>。</w:t>
      </w:r>
    </w:p>
    <w:p w14:paraId="323F2ED3">
      <w:pPr>
        <w:pStyle w:val="95"/>
        <w:numPr>
          <w:ilvl w:val="3"/>
          <w:numId w:val="2"/>
        </w:numPr>
        <w:spacing w:beforeLines="50" w:afterLines="50"/>
        <w:outlineLvl w:val="2"/>
        <w:rPr>
          <w:rFonts w:hAnsi="宋体" w:eastAsia="黑体" w:cs="黑体"/>
        </w:rPr>
      </w:pPr>
      <w:r>
        <w:rPr>
          <w:rFonts w:hint="eastAsia" w:hAnsi="宋体" w:eastAsia="黑体" w:cs="黑体"/>
        </w:rPr>
        <w:t>设备设施</w:t>
      </w:r>
    </w:p>
    <w:p w14:paraId="43F0C958">
      <w:pPr>
        <w:pStyle w:val="128"/>
        <w:numPr>
          <w:ilvl w:val="4"/>
          <w:numId w:val="2"/>
        </w:numPr>
        <w:rPr>
          <w:rFonts w:hAnsi="宋体"/>
        </w:rPr>
      </w:pPr>
      <w:r>
        <w:rPr>
          <w:rFonts w:hint="eastAsia" w:hAnsi="宋体"/>
        </w:rPr>
        <w:t>海洋石油安全评价检测检验机构应具有与所从事业务相适应的检测检验仪器、专业软件、设备、设施和环境条件，不同业务类型机构的设备设施应符合本文件4.2的相应要求。</w:t>
      </w:r>
    </w:p>
    <w:p w14:paraId="55F12503">
      <w:pPr>
        <w:pStyle w:val="128"/>
        <w:numPr>
          <w:ilvl w:val="4"/>
          <w:numId w:val="2"/>
        </w:numPr>
        <w:rPr>
          <w:rFonts w:hAnsi="宋体"/>
        </w:rPr>
      </w:pPr>
      <w:r>
        <w:rPr>
          <w:rFonts w:hint="eastAsia" w:hAnsi="宋体"/>
        </w:rPr>
        <w:t>海洋石油安全评价检测检验机构专业软件、设备的最低配置应符合附录A的要求</w:t>
      </w:r>
      <w:r>
        <w:rPr>
          <w:rFonts w:hAnsi="宋体"/>
        </w:rPr>
        <w:t>。</w:t>
      </w:r>
    </w:p>
    <w:p w14:paraId="2A1759BC">
      <w:pPr>
        <w:pStyle w:val="95"/>
        <w:numPr>
          <w:ilvl w:val="3"/>
          <w:numId w:val="2"/>
        </w:numPr>
        <w:spacing w:beforeLines="50" w:afterLines="50"/>
        <w:outlineLvl w:val="2"/>
        <w:rPr>
          <w:rFonts w:hAnsi="宋体" w:eastAsia="黑体" w:cs="黑体"/>
        </w:rPr>
      </w:pPr>
      <w:r>
        <w:rPr>
          <w:rFonts w:hint="eastAsia" w:hAnsi="宋体" w:eastAsia="黑体" w:cs="黑体"/>
        </w:rPr>
        <w:t>人员</w:t>
      </w:r>
    </w:p>
    <w:p w14:paraId="53B267DC">
      <w:pPr>
        <w:pStyle w:val="128"/>
        <w:widowControl w:val="0"/>
        <w:numPr>
          <w:ilvl w:val="4"/>
          <w:numId w:val="2"/>
        </w:numPr>
        <w:rPr>
          <w:rFonts w:hAnsi="宋体"/>
        </w:rPr>
      </w:pPr>
      <w:r>
        <w:rPr>
          <w:rFonts w:hint="eastAsia" w:hAnsi="宋体"/>
        </w:rPr>
        <w:t>海洋石油安全评价机构机构负责人、技术负责人、过程控制负责人等关键岗位人员互相之间不得兼任。海洋石油生产设施发证检验机构和专业设备检测检验机构应</w:t>
      </w:r>
      <w:r>
        <w:rPr>
          <w:rFonts w:hAnsi="宋体"/>
        </w:rPr>
        <w:t>任命</w:t>
      </w:r>
      <w:r>
        <w:rPr>
          <w:rFonts w:hint="eastAsia" w:hAnsi="宋体"/>
        </w:rPr>
        <w:t>主持工作负责人、技术负责人、质量负责人、授权签字人等关键岗位人员，其中，主持工作负责人、技术负责人、质量负责人互相之间不得兼任。不同业务类型机构的关键岗位人员应符合本文件4.2的相应要求。</w:t>
      </w:r>
    </w:p>
    <w:p w14:paraId="63718D3B">
      <w:pPr>
        <w:pStyle w:val="128"/>
        <w:widowControl w:val="0"/>
        <w:numPr>
          <w:ilvl w:val="4"/>
          <w:numId w:val="2"/>
        </w:numPr>
        <w:rPr>
          <w:rFonts w:hAnsi="宋体"/>
        </w:rPr>
      </w:pPr>
      <w:r>
        <w:rPr>
          <w:rFonts w:hint="eastAsia" w:hAnsi="宋体"/>
        </w:rPr>
        <w:t>海洋石油安全评价检测检验机构中支撑基本条件的专职技术人员应具有相关专业技能，并与所在机构订立劳动合同，由该机构缴纳社会保险。专职技术人员包括本文件4.1.4.1规定的关键岗位人员以及本文件4.2.1.4、4.2.2.7、4.2.3.7、4.2.3.8和附录B规定的人员。</w:t>
      </w:r>
    </w:p>
    <w:p w14:paraId="200F8A12">
      <w:pPr>
        <w:pStyle w:val="128"/>
        <w:widowControl w:val="0"/>
        <w:numPr>
          <w:ilvl w:val="4"/>
          <w:numId w:val="2"/>
        </w:numPr>
        <w:rPr>
          <w:rFonts w:hAnsi="宋体"/>
        </w:rPr>
      </w:pPr>
      <w:r>
        <w:rPr>
          <w:rFonts w:hint="eastAsia" w:hAnsi="宋体"/>
        </w:rPr>
        <w:t>海洋石油安全评价检测检验机构应确保人员具备其负责的安全评价检测检验活动的能力，以及评估偏离影响程度的能力。只有经过能力评价确认满足要求的人员才能授权其独立从事相关安全评价检测检验活动。</w:t>
      </w:r>
    </w:p>
    <w:p w14:paraId="479EFAD6">
      <w:pPr>
        <w:pStyle w:val="128"/>
        <w:widowControl w:val="0"/>
        <w:numPr>
          <w:ilvl w:val="4"/>
          <w:numId w:val="2"/>
        </w:numPr>
        <w:rPr>
          <w:rFonts w:hAnsi="宋体"/>
        </w:rPr>
      </w:pPr>
      <w:r>
        <w:rPr>
          <w:rFonts w:hint="eastAsia" w:hAnsi="宋体"/>
        </w:rPr>
        <w:t>海洋石油安全评价检测检验机构中支撑基本条件的注册安全工程师职业资格专业类别应为化工安全或其他安全。</w:t>
      </w:r>
    </w:p>
    <w:p w14:paraId="220B10D4">
      <w:pPr>
        <w:pStyle w:val="95"/>
        <w:numPr>
          <w:ilvl w:val="3"/>
          <w:numId w:val="2"/>
        </w:numPr>
        <w:spacing w:beforeLines="50" w:afterLines="50"/>
        <w:outlineLvl w:val="2"/>
        <w:rPr>
          <w:rFonts w:hAnsi="宋体" w:eastAsia="黑体" w:cs="黑体"/>
        </w:rPr>
      </w:pPr>
      <w:r>
        <w:rPr>
          <w:rFonts w:hint="eastAsia" w:hAnsi="宋体" w:eastAsia="黑体" w:cs="黑体"/>
        </w:rPr>
        <w:t>质量管理</w:t>
      </w:r>
    </w:p>
    <w:p w14:paraId="170A6768">
      <w:pPr>
        <w:pStyle w:val="128"/>
        <w:numPr>
          <w:ilvl w:val="4"/>
          <w:numId w:val="2"/>
        </w:numPr>
        <w:rPr>
          <w:rFonts w:hAnsi="宋体"/>
        </w:rPr>
      </w:pPr>
      <w:r>
        <w:rPr>
          <w:rFonts w:hint="eastAsia" w:hAnsi="宋体"/>
        </w:rPr>
        <w:t>海洋石油安全评价检测检验机构</w:t>
      </w:r>
      <w:r>
        <w:rPr>
          <w:rFonts w:hAnsi="宋体"/>
        </w:rPr>
        <w:t>应建立</w:t>
      </w:r>
      <w:r>
        <w:rPr>
          <w:rFonts w:hint="eastAsia" w:hAnsi="宋体"/>
        </w:rPr>
        <w:t>与其业务相适应的质量管理体系（过程控制体系），其基本要素应符合附录C的要求。</w:t>
      </w:r>
    </w:p>
    <w:p w14:paraId="7742A8F9">
      <w:pPr>
        <w:pStyle w:val="128"/>
        <w:numPr>
          <w:ilvl w:val="4"/>
          <w:numId w:val="2"/>
        </w:numPr>
        <w:rPr>
          <w:rFonts w:hAnsi="宋体"/>
        </w:rPr>
      </w:pPr>
      <w:r>
        <w:rPr>
          <w:rFonts w:hint="eastAsia" w:hAnsi="宋体"/>
        </w:rPr>
        <w:t>海洋石油安全评价检测检验机构</w:t>
      </w:r>
      <w:r>
        <w:rPr>
          <w:rFonts w:hAnsi="宋体"/>
        </w:rPr>
        <w:t>应定期审查和完善</w:t>
      </w:r>
      <w:r>
        <w:rPr>
          <w:rFonts w:hint="eastAsia" w:hAnsi="宋体"/>
        </w:rPr>
        <w:t>质量管理体系（过程控制体系）</w:t>
      </w:r>
      <w:r>
        <w:rPr>
          <w:rFonts w:hAnsi="宋体"/>
        </w:rPr>
        <w:t>，并确保</w:t>
      </w:r>
      <w:r>
        <w:rPr>
          <w:rFonts w:hint="eastAsia" w:hAnsi="宋体"/>
        </w:rPr>
        <w:t>其</w:t>
      </w:r>
      <w:r>
        <w:rPr>
          <w:rFonts w:hAnsi="宋体"/>
        </w:rPr>
        <w:t>持续有效运行。</w:t>
      </w:r>
    </w:p>
    <w:p w14:paraId="2A327F2F">
      <w:pPr>
        <w:numPr>
          <w:ilvl w:val="2"/>
          <w:numId w:val="2"/>
        </w:numPr>
        <w:spacing w:beforeLines="50" w:afterLines="50"/>
        <w:ind w:left="0"/>
        <w:outlineLvl w:val="1"/>
        <w:rPr>
          <w:rFonts w:ascii="宋体" w:hAnsi="宋体" w:eastAsia="黑体" w:cs="黑体"/>
        </w:rPr>
      </w:pPr>
      <w:bookmarkStart w:id="53" w:name="_Toc25632"/>
      <w:bookmarkStart w:id="54" w:name="_Toc17261"/>
      <w:bookmarkStart w:id="55" w:name="_Toc20389"/>
      <w:r>
        <w:rPr>
          <w:rFonts w:hint="eastAsia" w:ascii="宋体" w:hAnsi="宋体" w:eastAsia="黑体" w:cs="黑体"/>
        </w:rPr>
        <w:t>专项条件</w:t>
      </w:r>
      <w:bookmarkEnd w:id="53"/>
      <w:bookmarkEnd w:id="54"/>
      <w:bookmarkEnd w:id="55"/>
    </w:p>
    <w:p w14:paraId="6BBCA0EE">
      <w:pPr>
        <w:pStyle w:val="95"/>
        <w:numPr>
          <w:ilvl w:val="3"/>
          <w:numId w:val="2"/>
        </w:numPr>
        <w:spacing w:beforeLines="50" w:afterLines="50"/>
        <w:outlineLvl w:val="2"/>
        <w:rPr>
          <w:rFonts w:hAnsi="宋体" w:eastAsia="黑体" w:cs="黑体"/>
        </w:rPr>
      </w:pPr>
      <w:r>
        <w:rPr>
          <w:rFonts w:hint="eastAsia" w:hAnsi="宋体" w:eastAsia="黑体" w:cs="黑体"/>
        </w:rPr>
        <w:t>海洋石油安全评价机构</w:t>
      </w:r>
    </w:p>
    <w:p w14:paraId="34B3062D">
      <w:pPr>
        <w:pStyle w:val="128"/>
        <w:numPr>
          <w:ilvl w:val="4"/>
          <w:numId w:val="2"/>
        </w:numPr>
        <w:rPr>
          <w:rFonts w:hAnsi="宋体"/>
          <w:color w:val="000000" w:themeColor="text1"/>
        </w:rPr>
      </w:pPr>
      <w:r>
        <w:rPr>
          <w:rFonts w:hint="eastAsia" w:hAnsi="宋体"/>
        </w:rPr>
        <w:t>海洋石油安全评价机构的固定资产不少于</w:t>
      </w:r>
      <w:r>
        <w:rPr>
          <w:rFonts w:hint="eastAsia" w:hAnsi="宋体" w:cs="宋体"/>
        </w:rPr>
        <w:t>800</w:t>
      </w:r>
      <w:r>
        <w:rPr>
          <w:rFonts w:hint="eastAsia" w:hAnsi="宋体"/>
        </w:rPr>
        <w:t>万元；固定工作</w:t>
      </w:r>
      <w:r>
        <w:rPr>
          <w:rFonts w:hAnsi="宋体"/>
        </w:rPr>
        <w:t>场所建筑</w:t>
      </w:r>
      <w:r>
        <w:rPr>
          <w:rFonts w:hint="eastAsia" w:hAnsi="宋体"/>
        </w:rPr>
        <w:t>面积不少于</w:t>
      </w:r>
      <w:r>
        <w:rPr>
          <w:rFonts w:hint="eastAsia" w:hAnsi="宋体" w:cs="宋体"/>
        </w:rPr>
        <w:t>1000 m</w:t>
      </w:r>
      <w:r>
        <w:rPr>
          <w:rFonts w:hint="eastAsia" w:hAnsi="宋体" w:cs="宋体"/>
          <w:vertAlign w:val="superscript"/>
        </w:rPr>
        <w:t>2</w:t>
      </w:r>
      <w:r>
        <w:rPr>
          <w:rFonts w:hint="eastAsia" w:hAnsi="宋体"/>
        </w:rPr>
        <w:t>，其中档案室面积不少于</w:t>
      </w:r>
      <w:r>
        <w:rPr>
          <w:rFonts w:hint="eastAsia" w:hAnsi="宋体" w:cs="宋体"/>
        </w:rPr>
        <w:t>100 m</w:t>
      </w:r>
      <w:r>
        <w:rPr>
          <w:rFonts w:hint="eastAsia" w:hAnsi="宋体" w:cs="宋体"/>
          <w:vertAlign w:val="superscript"/>
        </w:rPr>
        <w:t>2</w:t>
      </w:r>
      <w:r>
        <w:rPr>
          <w:rFonts w:hint="eastAsia" w:hAnsi="宋体"/>
        </w:rPr>
        <w:t>。</w:t>
      </w:r>
    </w:p>
    <w:p w14:paraId="3DFF5BDF">
      <w:pPr>
        <w:pStyle w:val="128"/>
        <w:numPr>
          <w:ilvl w:val="4"/>
          <w:numId w:val="2"/>
        </w:numPr>
        <w:rPr>
          <w:rFonts w:hAnsi="宋体"/>
          <w:color w:val="000000" w:themeColor="text1"/>
        </w:rPr>
      </w:pPr>
      <w:r>
        <w:rPr>
          <w:rFonts w:hint="eastAsia" w:hAnsi="宋体"/>
        </w:rPr>
        <w:t>海洋石油安全评价机构负责人应为机构管理层成员。</w:t>
      </w:r>
    </w:p>
    <w:p w14:paraId="1783EF9F">
      <w:pPr>
        <w:pStyle w:val="128"/>
        <w:numPr>
          <w:ilvl w:val="4"/>
          <w:numId w:val="2"/>
        </w:numPr>
        <w:rPr>
          <w:rFonts w:hAnsi="宋体"/>
          <w:color w:val="000000" w:themeColor="text1"/>
        </w:rPr>
      </w:pPr>
      <w:r>
        <w:rPr>
          <w:rFonts w:hint="eastAsia" w:hAnsi="宋体"/>
        </w:rPr>
        <w:t>海洋石油安全评价机构技术负责人由机构任命并报有关主管部门备案，同时应满足下列要求：</w:t>
      </w:r>
    </w:p>
    <w:p w14:paraId="103F8D55">
      <w:pPr>
        <w:pStyle w:val="107"/>
        <w:numPr>
          <w:ilvl w:val="0"/>
          <w:numId w:val="13"/>
        </w:numPr>
        <w:rPr>
          <w:rFonts w:hAnsi="宋体"/>
        </w:rPr>
      </w:pPr>
      <w:r>
        <w:rPr>
          <w:rFonts w:hint="eastAsia" w:hAnsi="宋体"/>
        </w:rPr>
        <w:t>熟悉安全评价有关法律、法规、规章、标准、规范；</w:t>
      </w:r>
    </w:p>
    <w:p w14:paraId="7081A822">
      <w:pPr>
        <w:pStyle w:val="107"/>
        <w:numPr>
          <w:ilvl w:val="0"/>
          <w:numId w:val="13"/>
        </w:numPr>
        <w:rPr>
          <w:rFonts w:hAnsi="宋体"/>
        </w:rPr>
      </w:pPr>
      <w:r>
        <w:rPr>
          <w:rFonts w:hint="eastAsia" w:hAnsi="宋体"/>
        </w:rPr>
        <w:t>具备相关专业知识，熟悉安全评价相关技术和方法，能够解决安全评价过程中遇到的技术难题；</w:t>
      </w:r>
    </w:p>
    <w:p w14:paraId="63D55E25">
      <w:pPr>
        <w:pStyle w:val="107"/>
        <w:numPr>
          <w:ilvl w:val="0"/>
          <w:numId w:val="13"/>
        </w:numPr>
        <w:rPr>
          <w:rFonts w:hAnsi="宋体"/>
        </w:rPr>
      </w:pPr>
      <w:r>
        <w:rPr>
          <w:rFonts w:hint="eastAsia" w:hAnsi="宋体"/>
        </w:rPr>
        <w:t>取得相关专业</w:t>
      </w:r>
      <w:r>
        <w:rPr>
          <w:rFonts w:hint="eastAsia" w:hAnsi="宋体" w:cs="宋体"/>
        </w:rPr>
        <w:t>中级及以上</w:t>
      </w:r>
      <w:r>
        <w:rPr>
          <w:rFonts w:hint="eastAsia" w:hAnsi="宋体"/>
        </w:rPr>
        <w:t>注册安全工程师或一级安全评价师职业资格；</w:t>
      </w:r>
    </w:p>
    <w:p w14:paraId="4341FA55">
      <w:pPr>
        <w:pStyle w:val="107"/>
        <w:numPr>
          <w:ilvl w:val="0"/>
          <w:numId w:val="13"/>
        </w:numPr>
        <w:rPr>
          <w:rFonts w:hAnsi="宋体"/>
        </w:rPr>
      </w:pPr>
      <w:r>
        <w:rPr>
          <w:rFonts w:hint="eastAsia" w:hAnsi="宋体"/>
        </w:rPr>
        <w:t>具有工程技术系列高级技术职称；</w:t>
      </w:r>
    </w:p>
    <w:p w14:paraId="4EFEB554">
      <w:pPr>
        <w:pStyle w:val="107"/>
        <w:numPr>
          <w:ilvl w:val="0"/>
          <w:numId w:val="13"/>
        </w:numPr>
        <w:rPr>
          <w:rFonts w:hAnsi="宋体"/>
        </w:rPr>
      </w:pPr>
      <w:r>
        <w:rPr>
          <w:rFonts w:hint="eastAsia" w:hAnsi="宋体"/>
        </w:rPr>
        <w:t>在海洋石油开采行业工作8年及以上；</w:t>
      </w:r>
    </w:p>
    <w:p w14:paraId="6CC17753">
      <w:pPr>
        <w:pStyle w:val="107"/>
        <w:numPr>
          <w:ilvl w:val="0"/>
          <w:numId w:val="13"/>
        </w:numPr>
        <w:rPr>
          <w:rFonts w:hAnsi="宋体"/>
        </w:rPr>
      </w:pPr>
      <w:r>
        <w:rPr>
          <w:rFonts w:hint="eastAsia" w:hAnsi="宋体"/>
        </w:rPr>
        <w:t>从事安全评价工作</w:t>
      </w:r>
      <w:r>
        <w:rPr>
          <w:rFonts w:hint="eastAsia" w:hAnsi="宋体" w:cs="宋体"/>
        </w:rPr>
        <w:t>6</w:t>
      </w:r>
      <w:r>
        <w:rPr>
          <w:rFonts w:hint="eastAsia" w:hAnsi="宋体"/>
        </w:rPr>
        <w:t>年及以上。</w:t>
      </w:r>
    </w:p>
    <w:p w14:paraId="4A175947">
      <w:pPr>
        <w:pStyle w:val="128"/>
        <w:numPr>
          <w:ilvl w:val="4"/>
          <w:numId w:val="2"/>
        </w:numPr>
        <w:rPr>
          <w:rFonts w:hAnsi="宋体"/>
        </w:rPr>
      </w:pPr>
      <w:r>
        <w:rPr>
          <w:rFonts w:hint="eastAsia" w:hAnsi="宋体"/>
        </w:rPr>
        <w:t>海洋石油安全评价机构过程控制负责人由机构任命并报有关主管部门备案，同时应满足下列要求：</w:t>
      </w:r>
    </w:p>
    <w:p w14:paraId="0D6E77DB">
      <w:pPr>
        <w:pStyle w:val="107"/>
        <w:numPr>
          <w:ilvl w:val="0"/>
          <w:numId w:val="14"/>
        </w:numPr>
        <w:rPr>
          <w:rFonts w:hAnsi="宋体"/>
        </w:rPr>
      </w:pPr>
      <w:r>
        <w:rPr>
          <w:rFonts w:hint="eastAsia" w:hAnsi="宋体"/>
        </w:rPr>
        <w:t>熟悉安全评价有关法律、法规、规章、标准、规范；</w:t>
      </w:r>
    </w:p>
    <w:p w14:paraId="26024619">
      <w:pPr>
        <w:pStyle w:val="107"/>
        <w:numPr>
          <w:ilvl w:val="0"/>
          <w:numId w:val="14"/>
        </w:numPr>
        <w:rPr>
          <w:rFonts w:hAnsi="宋体"/>
        </w:rPr>
      </w:pPr>
      <w:r>
        <w:rPr>
          <w:rFonts w:hint="eastAsia" w:hAnsi="宋体"/>
        </w:rPr>
        <w:t>取得相关专业</w:t>
      </w:r>
      <w:r>
        <w:rPr>
          <w:rFonts w:hint="eastAsia" w:hAnsi="宋体" w:cs="宋体"/>
        </w:rPr>
        <w:t>中级及以上</w:t>
      </w:r>
      <w:r>
        <w:rPr>
          <w:rFonts w:hint="eastAsia" w:hAnsi="宋体"/>
        </w:rPr>
        <w:t>注册安全工程师或安全评价师职业资格；</w:t>
      </w:r>
    </w:p>
    <w:p w14:paraId="3A76332E">
      <w:pPr>
        <w:pStyle w:val="107"/>
        <w:numPr>
          <w:ilvl w:val="0"/>
          <w:numId w:val="14"/>
        </w:numPr>
        <w:rPr>
          <w:rFonts w:hAnsi="宋体"/>
        </w:rPr>
      </w:pPr>
      <w:r>
        <w:rPr>
          <w:rFonts w:hint="eastAsia" w:hAnsi="宋体"/>
        </w:rPr>
        <w:t>具有工程技术系列中级及以上技术职称；</w:t>
      </w:r>
    </w:p>
    <w:p w14:paraId="21FE05E2">
      <w:pPr>
        <w:pStyle w:val="107"/>
        <w:widowControl w:val="0"/>
        <w:numPr>
          <w:ilvl w:val="0"/>
          <w:numId w:val="14"/>
        </w:numPr>
        <w:rPr>
          <w:rFonts w:hAnsi="宋体"/>
        </w:rPr>
      </w:pPr>
      <w:r>
        <w:rPr>
          <w:rFonts w:hint="eastAsia" w:hAnsi="宋体"/>
        </w:rPr>
        <w:t>在海洋石油开采行业工作6年及以上；</w:t>
      </w:r>
    </w:p>
    <w:p w14:paraId="65BB655C">
      <w:pPr>
        <w:pStyle w:val="107"/>
        <w:widowControl w:val="0"/>
        <w:numPr>
          <w:ilvl w:val="0"/>
          <w:numId w:val="14"/>
        </w:numPr>
        <w:rPr>
          <w:rFonts w:hAnsi="宋体"/>
        </w:rPr>
      </w:pPr>
      <w:r>
        <w:rPr>
          <w:rFonts w:hint="eastAsia" w:hAnsi="宋体"/>
        </w:rPr>
        <w:t>从事安全评价工作</w:t>
      </w:r>
      <w:r>
        <w:rPr>
          <w:rFonts w:hint="eastAsia" w:hAnsi="宋体"/>
          <w:kern w:val="2"/>
          <w:szCs w:val="22"/>
        </w:rPr>
        <w:t>4</w:t>
      </w:r>
      <w:r>
        <w:rPr>
          <w:rFonts w:hint="eastAsia" w:hAnsi="宋体"/>
        </w:rPr>
        <w:t>年及以上。</w:t>
      </w:r>
    </w:p>
    <w:p w14:paraId="73B58177">
      <w:pPr>
        <w:pStyle w:val="128"/>
        <w:widowControl w:val="0"/>
        <w:numPr>
          <w:ilvl w:val="4"/>
          <w:numId w:val="2"/>
        </w:numPr>
        <w:rPr>
          <w:rFonts w:hAnsi="宋体"/>
        </w:rPr>
      </w:pPr>
      <w:bookmarkStart w:id="56" w:name="OLE_LINK3"/>
      <w:bookmarkStart w:id="57" w:name="OLE_LINK2"/>
      <w:r>
        <w:rPr>
          <w:rFonts w:hint="eastAsia" w:hAnsi="宋体"/>
        </w:rPr>
        <w:t>海洋石油安全评价机构应具有与业务相适应的专职技术人员，人数不少于25人，其中相关专业中级及以上注册安全工程师占比不低于30%。专职技术人员专业能力应覆盖海洋油气工程、储运、结构、机械、仪表、电气、材料/防腐、安全等专业</w:t>
      </w:r>
      <w:bookmarkEnd w:id="56"/>
      <w:bookmarkEnd w:id="57"/>
      <w:r>
        <w:rPr>
          <w:rFonts w:hint="eastAsia" w:hAnsi="宋体"/>
        </w:rPr>
        <w:t>，相关专业高级技术职称人员占比不低于30%（中级及以上注册安全工程师和高级技术职称人员比例之和不低于60%）。</w:t>
      </w:r>
    </w:p>
    <w:p w14:paraId="56714237">
      <w:pPr>
        <w:pStyle w:val="128"/>
        <w:numPr>
          <w:ilvl w:val="4"/>
          <w:numId w:val="2"/>
        </w:numPr>
        <w:rPr>
          <w:rFonts w:hAnsi="宋体"/>
        </w:rPr>
      </w:pPr>
      <w:r>
        <w:rPr>
          <w:rFonts w:hint="eastAsia" w:hAnsi="宋体"/>
        </w:rPr>
        <w:t>海洋石油安全评价机构的专职技术人员配备应符合附录B的要求，每名专职技术人员被认定的专业能力不多于2项，且与从事的安全评价业务相适应。</w:t>
      </w:r>
    </w:p>
    <w:p w14:paraId="56B0C5AE">
      <w:pPr>
        <w:pStyle w:val="128"/>
        <w:numPr>
          <w:ilvl w:val="4"/>
          <w:numId w:val="2"/>
        </w:numPr>
        <w:rPr>
          <w:rFonts w:hAnsi="宋体"/>
        </w:rPr>
      </w:pPr>
      <w:r>
        <w:rPr>
          <w:rFonts w:hint="eastAsia" w:hAnsi="宋体"/>
        </w:rPr>
        <w:t>专职技术人员应具有大学本科及以上学历，取得相关专业中级及以上注册安全工程师或安全评价师职业资格，具有海洋石油安全评价机构</w:t>
      </w:r>
      <w:r>
        <w:rPr>
          <w:rFonts w:hint="eastAsia" w:hAnsi="宋体" w:eastAsiaTheme="minorEastAsia" w:cstheme="minorEastAsia"/>
        </w:rPr>
        <w:t>3</w:t>
      </w:r>
      <w:r>
        <w:rPr>
          <w:rFonts w:hint="eastAsia" w:hAnsi="宋体"/>
        </w:rPr>
        <w:t>年以上工作经历。其中，安全评价师职业资格是指安全评价师退出国家职业资格目录前取得的职业资格，以及根据《人力资源社会保障部办公厅关于做好水平评价类技能人员职业资格退出目录有关工作的通知》（人社厅发</w:t>
      </w:r>
      <w:r>
        <w:rPr>
          <w:rFonts w:hint="eastAsia" w:hAnsi="宋体" w:cs="宋体"/>
        </w:rPr>
        <w:t xml:space="preserve"> ﹝2020﹞ 80 </w:t>
      </w:r>
      <w:r>
        <w:rPr>
          <w:rFonts w:hint="eastAsia" w:hAnsi="宋体"/>
        </w:rPr>
        <w:t>号）要求取得的职业资格。</w:t>
      </w:r>
    </w:p>
    <w:p w14:paraId="084A58A1">
      <w:pPr>
        <w:pStyle w:val="95"/>
        <w:numPr>
          <w:ilvl w:val="3"/>
          <w:numId w:val="2"/>
        </w:numPr>
        <w:spacing w:beforeLines="50" w:afterLines="50"/>
        <w:outlineLvl w:val="2"/>
        <w:rPr>
          <w:rFonts w:hAnsi="宋体" w:eastAsia="黑体" w:cs="黑体"/>
        </w:rPr>
      </w:pPr>
      <w:r>
        <w:rPr>
          <w:rFonts w:hint="eastAsia" w:hAnsi="宋体" w:eastAsia="黑体" w:cs="黑体"/>
        </w:rPr>
        <w:t>海洋石油生产设施发证检验机构</w:t>
      </w:r>
    </w:p>
    <w:p w14:paraId="4DC99F86">
      <w:pPr>
        <w:pStyle w:val="128"/>
        <w:numPr>
          <w:ilvl w:val="4"/>
          <w:numId w:val="2"/>
        </w:numPr>
        <w:rPr>
          <w:rFonts w:hAnsi="宋体"/>
        </w:rPr>
      </w:pPr>
      <w:r>
        <w:rPr>
          <w:rFonts w:hint="eastAsia" w:hAnsi="宋体"/>
        </w:rPr>
        <w:t>海洋石油生产设施发证检验机构的固定资产不少于1200万元；检验仪器、专业软件、设备、设施原值不低于1000万元；固定工作场所建筑面积不少于1200 m</w:t>
      </w:r>
      <w:r>
        <w:rPr>
          <w:rFonts w:hint="eastAsia" w:hAnsi="宋体"/>
          <w:vertAlign w:val="superscript"/>
        </w:rPr>
        <w:t>2</w:t>
      </w:r>
      <w:r>
        <w:rPr>
          <w:rFonts w:hint="eastAsia" w:hAnsi="宋体"/>
        </w:rPr>
        <w:t>，其中档案室面积不少于</w:t>
      </w:r>
      <w:r>
        <w:rPr>
          <w:rFonts w:hint="eastAsia" w:hAnsi="宋体" w:cs="宋体"/>
        </w:rPr>
        <w:t xml:space="preserve">100 </w:t>
      </w:r>
      <w:r>
        <w:rPr>
          <w:rFonts w:hint="eastAsia" w:hAnsi="宋体"/>
        </w:rPr>
        <w:t>m</w:t>
      </w:r>
      <w:r>
        <w:rPr>
          <w:rFonts w:hint="eastAsia" w:hAnsi="宋体"/>
          <w:vertAlign w:val="superscript"/>
        </w:rPr>
        <w:t>2</w:t>
      </w:r>
      <w:r>
        <w:rPr>
          <w:rFonts w:hint="eastAsia" w:hAnsi="宋体"/>
        </w:rPr>
        <w:t>。</w:t>
      </w:r>
    </w:p>
    <w:p w14:paraId="38488112">
      <w:pPr>
        <w:pStyle w:val="128"/>
        <w:numPr>
          <w:ilvl w:val="4"/>
          <w:numId w:val="2"/>
        </w:numPr>
        <w:rPr>
          <w:rFonts w:hAnsi="宋体"/>
        </w:rPr>
      </w:pPr>
      <w:r>
        <w:rPr>
          <w:rFonts w:hint="eastAsia" w:hAnsi="宋体"/>
        </w:rPr>
        <w:t>海洋石油生产设施发证检验机构主持工作负责人应为机构管理层成员，同时应满足下列要求：</w:t>
      </w:r>
    </w:p>
    <w:p w14:paraId="581CF869">
      <w:pPr>
        <w:pStyle w:val="107"/>
        <w:numPr>
          <w:ilvl w:val="0"/>
          <w:numId w:val="15"/>
        </w:numPr>
        <w:rPr>
          <w:rFonts w:hAnsi="宋体"/>
        </w:rPr>
      </w:pPr>
      <w:r>
        <w:rPr>
          <w:rFonts w:hint="eastAsia" w:hAnsi="宋体"/>
        </w:rPr>
        <w:t>熟悉发证检验的有关法律、法规、规章、标准、规范；</w:t>
      </w:r>
    </w:p>
    <w:p w14:paraId="77CB6441">
      <w:pPr>
        <w:pStyle w:val="107"/>
        <w:numPr>
          <w:ilvl w:val="0"/>
          <w:numId w:val="15"/>
        </w:numPr>
        <w:rPr>
          <w:rFonts w:hAnsi="宋体"/>
        </w:rPr>
      </w:pPr>
      <w:r>
        <w:rPr>
          <w:rFonts w:hint="eastAsia" w:hAnsi="宋体"/>
        </w:rPr>
        <w:t>具有工程技术系列高级技术职称；</w:t>
      </w:r>
    </w:p>
    <w:p w14:paraId="4A26C320">
      <w:pPr>
        <w:pStyle w:val="107"/>
        <w:numPr>
          <w:ilvl w:val="0"/>
          <w:numId w:val="15"/>
        </w:numPr>
        <w:rPr>
          <w:rFonts w:hAnsi="宋体"/>
        </w:rPr>
      </w:pPr>
      <w:r>
        <w:rPr>
          <w:rFonts w:hint="eastAsia" w:hAnsi="宋体"/>
        </w:rPr>
        <w:t>在海洋石油开采行业工作8年及以上。</w:t>
      </w:r>
    </w:p>
    <w:p w14:paraId="7C34C2C8">
      <w:pPr>
        <w:pStyle w:val="128"/>
        <w:widowControl w:val="0"/>
        <w:numPr>
          <w:ilvl w:val="4"/>
          <w:numId w:val="2"/>
        </w:numPr>
        <w:rPr>
          <w:rFonts w:hAnsi="宋体"/>
        </w:rPr>
      </w:pPr>
      <w:r>
        <w:rPr>
          <w:rFonts w:hint="eastAsia" w:hAnsi="宋体"/>
        </w:rPr>
        <w:t>海洋石油生产设施发证检验机构技术负责人应为机构管理层成员，由机构任命并报有关主管部门备案，同时应满足下列要求：</w:t>
      </w:r>
    </w:p>
    <w:p w14:paraId="383FAFA9">
      <w:pPr>
        <w:pStyle w:val="107"/>
        <w:widowControl w:val="0"/>
        <w:numPr>
          <w:ilvl w:val="0"/>
          <w:numId w:val="16"/>
        </w:numPr>
        <w:rPr>
          <w:rFonts w:hAnsi="宋体"/>
        </w:rPr>
      </w:pPr>
      <w:r>
        <w:rPr>
          <w:rFonts w:hint="eastAsia" w:hAnsi="宋体"/>
        </w:rPr>
        <w:t>熟悉发证检验的有关法律、法规、规章、标准、规范；</w:t>
      </w:r>
    </w:p>
    <w:p w14:paraId="3666251A">
      <w:pPr>
        <w:pStyle w:val="107"/>
        <w:widowControl w:val="0"/>
        <w:numPr>
          <w:ilvl w:val="0"/>
          <w:numId w:val="16"/>
        </w:numPr>
        <w:rPr>
          <w:rFonts w:hAnsi="宋体"/>
        </w:rPr>
      </w:pPr>
      <w:r>
        <w:rPr>
          <w:rFonts w:hint="eastAsia" w:hAnsi="宋体"/>
        </w:rPr>
        <w:t>具备相关专业知识，熟悉发证检验相关技术和方法，能够解决发证检验过程中遇到的技术难题；</w:t>
      </w:r>
    </w:p>
    <w:p w14:paraId="76775241">
      <w:pPr>
        <w:pStyle w:val="107"/>
        <w:numPr>
          <w:ilvl w:val="0"/>
          <w:numId w:val="16"/>
        </w:numPr>
        <w:rPr>
          <w:rFonts w:hAnsi="宋体"/>
        </w:rPr>
      </w:pPr>
      <w:r>
        <w:rPr>
          <w:rFonts w:hint="eastAsia" w:hAnsi="宋体"/>
        </w:rPr>
        <w:t>具有工程技术系列高级技术职称；</w:t>
      </w:r>
    </w:p>
    <w:p w14:paraId="780A27F8">
      <w:pPr>
        <w:pStyle w:val="107"/>
        <w:numPr>
          <w:ilvl w:val="0"/>
          <w:numId w:val="16"/>
        </w:numPr>
        <w:rPr>
          <w:rFonts w:hAnsi="宋体"/>
        </w:rPr>
      </w:pPr>
      <w:r>
        <w:rPr>
          <w:rFonts w:hint="eastAsia" w:hAnsi="宋体"/>
        </w:rPr>
        <w:t>从事发证检验技术或质量相关工作8年及以上。</w:t>
      </w:r>
    </w:p>
    <w:p w14:paraId="4ABDA53C">
      <w:pPr>
        <w:pStyle w:val="128"/>
        <w:numPr>
          <w:ilvl w:val="4"/>
          <w:numId w:val="2"/>
        </w:numPr>
        <w:rPr>
          <w:rFonts w:hAnsi="宋体"/>
        </w:rPr>
      </w:pPr>
      <w:r>
        <w:rPr>
          <w:rFonts w:hint="eastAsia" w:hAnsi="宋体"/>
        </w:rPr>
        <w:t>海洋石油生产设施发证检验机构质量负责人应为机构管理层成员，由机构任命并报有关主管部门备案，同时应满足下列要求：</w:t>
      </w:r>
    </w:p>
    <w:p w14:paraId="1C31D8A9">
      <w:pPr>
        <w:pStyle w:val="107"/>
        <w:numPr>
          <w:ilvl w:val="0"/>
          <w:numId w:val="17"/>
        </w:numPr>
        <w:rPr>
          <w:rFonts w:hAnsi="宋体"/>
        </w:rPr>
      </w:pPr>
      <w:r>
        <w:rPr>
          <w:rFonts w:hint="eastAsia" w:hAnsi="宋体"/>
        </w:rPr>
        <w:t>熟悉发证检验的有关法律、法规、规章、标准、规范；</w:t>
      </w:r>
    </w:p>
    <w:p w14:paraId="0CC4862E">
      <w:pPr>
        <w:pStyle w:val="107"/>
        <w:numPr>
          <w:ilvl w:val="0"/>
          <w:numId w:val="17"/>
        </w:numPr>
        <w:rPr>
          <w:rFonts w:hAnsi="宋体"/>
        </w:rPr>
      </w:pPr>
      <w:r>
        <w:rPr>
          <w:rFonts w:hint="eastAsia" w:hAnsi="宋体"/>
        </w:rPr>
        <w:t>接受过发证检验质量管理方面的专门培训，熟悉发证检验的质量管理工作；</w:t>
      </w:r>
    </w:p>
    <w:p w14:paraId="4080AC67">
      <w:pPr>
        <w:pStyle w:val="107"/>
        <w:numPr>
          <w:ilvl w:val="0"/>
          <w:numId w:val="17"/>
        </w:numPr>
        <w:rPr>
          <w:rFonts w:hAnsi="宋体"/>
        </w:rPr>
      </w:pPr>
      <w:r>
        <w:rPr>
          <w:rFonts w:hint="eastAsia" w:hAnsi="宋体"/>
        </w:rPr>
        <w:t>具有工程技术系列高级技术职称；</w:t>
      </w:r>
    </w:p>
    <w:p w14:paraId="5E81C5B0">
      <w:pPr>
        <w:pStyle w:val="107"/>
        <w:numPr>
          <w:ilvl w:val="0"/>
          <w:numId w:val="17"/>
        </w:numPr>
        <w:rPr>
          <w:rFonts w:hAnsi="宋体"/>
        </w:rPr>
      </w:pPr>
      <w:r>
        <w:rPr>
          <w:rFonts w:hint="eastAsia" w:hAnsi="宋体"/>
        </w:rPr>
        <w:t>从事发证检验技术或质量相关工作8年及以上。</w:t>
      </w:r>
    </w:p>
    <w:p w14:paraId="5E7F690A">
      <w:pPr>
        <w:pStyle w:val="128"/>
        <w:numPr>
          <w:ilvl w:val="4"/>
          <w:numId w:val="2"/>
        </w:numPr>
        <w:rPr>
          <w:rFonts w:hAnsi="宋体"/>
        </w:rPr>
      </w:pPr>
      <w:r>
        <w:rPr>
          <w:rFonts w:hint="eastAsia" w:hAnsi="宋体"/>
        </w:rPr>
        <w:t>海洋石油生产设施发证检验机构授权签字人由机构任命并报有关主管部门备案，同时应满足下列要求：</w:t>
      </w:r>
    </w:p>
    <w:p w14:paraId="449DDE73">
      <w:pPr>
        <w:pStyle w:val="107"/>
        <w:numPr>
          <w:ilvl w:val="0"/>
          <w:numId w:val="18"/>
        </w:numPr>
        <w:rPr>
          <w:rFonts w:hAnsi="宋体"/>
        </w:rPr>
      </w:pPr>
      <w:r>
        <w:rPr>
          <w:rFonts w:hint="eastAsia" w:hAnsi="宋体"/>
        </w:rPr>
        <w:t>熟悉发证检验的有关法律、法规、规章、标准、规范；</w:t>
      </w:r>
    </w:p>
    <w:p w14:paraId="0E8ED87F">
      <w:pPr>
        <w:pStyle w:val="107"/>
        <w:numPr>
          <w:ilvl w:val="0"/>
          <w:numId w:val="18"/>
        </w:numPr>
        <w:rPr>
          <w:rFonts w:hAnsi="宋体"/>
        </w:rPr>
      </w:pPr>
      <w:r>
        <w:rPr>
          <w:rFonts w:hint="eastAsia" w:hAnsi="宋体"/>
        </w:rPr>
        <w:t>掌握所承担签字领域的发证检验技术；</w:t>
      </w:r>
    </w:p>
    <w:p w14:paraId="2E88E784">
      <w:pPr>
        <w:pStyle w:val="107"/>
        <w:numPr>
          <w:ilvl w:val="0"/>
          <w:numId w:val="18"/>
        </w:numPr>
        <w:rPr>
          <w:rFonts w:hAnsi="宋体"/>
        </w:rPr>
      </w:pPr>
      <w:r>
        <w:rPr>
          <w:rFonts w:hint="eastAsia" w:hAnsi="宋体"/>
        </w:rPr>
        <w:t>熟悉和掌握授权范围内发证检验的要求；</w:t>
      </w:r>
    </w:p>
    <w:p w14:paraId="71B1EC9D">
      <w:pPr>
        <w:pStyle w:val="107"/>
        <w:numPr>
          <w:ilvl w:val="0"/>
          <w:numId w:val="18"/>
        </w:numPr>
        <w:rPr>
          <w:rFonts w:hAnsi="宋体"/>
        </w:rPr>
      </w:pPr>
      <w:r>
        <w:rPr>
          <w:rFonts w:hint="eastAsia" w:hAnsi="宋体"/>
        </w:rPr>
        <w:t>熟悉管理体系中的有关职责和权限；</w:t>
      </w:r>
    </w:p>
    <w:p w14:paraId="1A63E21E">
      <w:pPr>
        <w:pStyle w:val="107"/>
        <w:numPr>
          <w:ilvl w:val="0"/>
          <w:numId w:val="18"/>
        </w:numPr>
        <w:rPr>
          <w:rFonts w:hAnsi="宋体"/>
        </w:rPr>
      </w:pPr>
      <w:r>
        <w:rPr>
          <w:rFonts w:hint="eastAsia" w:hAnsi="宋体"/>
        </w:rPr>
        <w:t>熟悉发证检验证书签发程序，具备对发证检验数据、结果做出评价的能力；</w:t>
      </w:r>
    </w:p>
    <w:p w14:paraId="749885CE">
      <w:pPr>
        <w:pStyle w:val="107"/>
        <w:numPr>
          <w:ilvl w:val="0"/>
          <w:numId w:val="18"/>
        </w:numPr>
        <w:rPr>
          <w:rFonts w:hAnsi="宋体"/>
        </w:rPr>
      </w:pPr>
      <w:r>
        <w:rPr>
          <w:rFonts w:hint="eastAsia" w:hAnsi="宋体"/>
        </w:rPr>
        <w:t>具有工程技术系列高级技术职称；</w:t>
      </w:r>
    </w:p>
    <w:p w14:paraId="2CDBE985">
      <w:pPr>
        <w:pStyle w:val="107"/>
        <w:numPr>
          <w:ilvl w:val="0"/>
          <w:numId w:val="18"/>
        </w:numPr>
        <w:rPr>
          <w:rFonts w:hAnsi="宋体"/>
        </w:rPr>
      </w:pPr>
      <w:r>
        <w:rPr>
          <w:rFonts w:hint="eastAsia" w:hAnsi="宋体"/>
        </w:rPr>
        <w:t>从事发证检验工作5年及以上。</w:t>
      </w:r>
    </w:p>
    <w:p w14:paraId="3FBEA058">
      <w:pPr>
        <w:pStyle w:val="128"/>
        <w:numPr>
          <w:ilvl w:val="4"/>
          <w:numId w:val="2"/>
        </w:numPr>
        <w:rPr>
          <w:rFonts w:hAnsi="宋体"/>
        </w:rPr>
      </w:pPr>
      <w:r>
        <w:rPr>
          <w:rFonts w:hint="eastAsia" w:hAnsi="宋体"/>
        </w:rPr>
        <w:t>海洋石油生产设施发证检验机构应配置授权签字人，并建立授权签字人管理程序，明确授权签字人的授权管理要求。</w:t>
      </w:r>
    </w:p>
    <w:p w14:paraId="1A29FCE2">
      <w:pPr>
        <w:pStyle w:val="128"/>
        <w:numPr>
          <w:ilvl w:val="4"/>
          <w:numId w:val="2"/>
        </w:numPr>
        <w:rPr>
          <w:rFonts w:hAnsi="宋体"/>
        </w:rPr>
      </w:pPr>
      <w:r>
        <w:rPr>
          <w:rFonts w:hint="eastAsia" w:hAnsi="宋体"/>
        </w:rPr>
        <w:t>从事海洋石油生产设施发证检验的专职技术人员不少于</w:t>
      </w:r>
      <w:r>
        <w:rPr>
          <w:rFonts w:hint="eastAsia" w:hAnsi="宋体" w:cs="宋体"/>
        </w:rPr>
        <w:t>80</w:t>
      </w:r>
      <w:r>
        <w:rPr>
          <w:rFonts w:hint="eastAsia" w:hAnsi="宋体"/>
        </w:rPr>
        <w:t>人，应满足以下要求：</w:t>
      </w:r>
    </w:p>
    <w:p w14:paraId="01E6B531">
      <w:pPr>
        <w:pStyle w:val="107"/>
        <w:numPr>
          <w:ilvl w:val="0"/>
          <w:numId w:val="19"/>
        </w:numPr>
        <w:rPr>
          <w:rFonts w:hAnsi="宋体"/>
        </w:rPr>
      </w:pPr>
      <w:r>
        <w:rPr>
          <w:rFonts w:hint="eastAsia" w:hAnsi="宋体"/>
        </w:rPr>
        <w:t>相关专业中级及以上注册安全工程师、中级及以上技术职称和高级技术职称人员占比分别不低于30%、50%和30%；</w:t>
      </w:r>
    </w:p>
    <w:p w14:paraId="3B55CAF7">
      <w:pPr>
        <w:pStyle w:val="107"/>
        <w:numPr>
          <w:ilvl w:val="0"/>
          <w:numId w:val="19"/>
        </w:numPr>
        <w:rPr>
          <w:rFonts w:hAnsi="宋体"/>
        </w:rPr>
      </w:pPr>
      <w:bookmarkStart w:id="58" w:name="OLE_LINK4"/>
      <w:bookmarkStart w:id="59" w:name="OLE_LINK5"/>
      <w:bookmarkStart w:id="60" w:name="OLE_LINK6"/>
      <w:r>
        <w:rPr>
          <w:rFonts w:hint="eastAsia" w:hAnsi="宋体"/>
        </w:rPr>
        <w:t>有50名及以上专职检验人员，其中至少有20名高级技术职称人员</w:t>
      </w:r>
      <w:bookmarkEnd w:id="58"/>
      <w:r>
        <w:rPr>
          <w:rFonts w:hint="eastAsia" w:hAnsi="宋体"/>
        </w:rPr>
        <w:t>，至少有10名设计审查人员。</w:t>
      </w:r>
    </w:p>
    <w:bookmarkEnd w:id="59"/>
    <w:bookmarkEnd w:id="60"/>
    <w:p w14:paraId="70398ECE">
      <w:pPr>
        <w:pStyle w:val="128"/>
        <w:numPr>
          <w:ilvl w:val="4"/>
          <w:numId w:val="2"/>
        </w:numPr>
        <w:rPr>
          <w:rFonts w:hAnsi="宋体"/>
        </w:rPr>
      </w:pPr>
      <w:r>
        <w:rPr>
          <w:rFonts w:hint="eastAsia" w:hAnsi="宋体"/>
        </w:rPr>
        <w:t>现场检验人员应具有大学专科及以上学历或应有</w:t>
      </w:r>
      <w:r>
        <w:rPr>
          <w:rFonts w:hint="eastAsia" w:hAnsi="宋体" w:cs="宋体"/>
        </w:rPr>
        <w:t>10</w:t>
      </w:r>
      <w:r>
        <w:rPr>
          <w:rFonts w:hint="eastAsia" w:hAnsi="宋体"/>
        </w:rPr>
        <w:t>年以上相关专业现场检验经历。</w:t>
      </w:r>
    </w:p>
    <w:p w14:paraId="4319851F">
      <w:pPr>
        <w:pStyle w:val="128"/>
        <w:numPr>
          <w:ilvl w:val="4"/>
          <w:numId w:val="2"/>
        </w:numPr>
        <w:rPr>
          <w:rFonts w:hAnsi="宋体"/>
        </w:rPr>
      </w:pPr>
      <w:r>
        <w:rPr>
          <w:rFonts w:hint="eastAsia" w:hAnsi="宋体"/>
        </w:rPr>
        <w:t>现场检验人员在满足本文件</w:t>
      </w:r>
      <w:r>
        <w:rPr>
          <w:rFonts w:hint="eastAsia" w:hAnsi="宋体" w:cs="宋体"/>
        </w:rPr>
        <w:t>4.2.2.8要求的基础上，还应</w:t>
      </w:r>
      <w:r>
        <w:rPr>
          <w:rFonts w:hint="eastAsia" w:hAnsi="宋体"/>
        </w:rPr>
        <w:t>具有海洋石油生产设施发证检验机构</w:t>
      </w:r>
      <w:r>
        <w:rPr>
          <w:rFonts w:hint="eastAsia" w:hAnsi="宋体" w:cs="宋体"/>
          <w:szCs w:val="21"/>
        </w:rPr>
        <w:t>2年以上工作经历。</w:t>
      </w:r>
    </w:p>
    <w:p w14:paraId="6F253B4D">
      <w:pPr>
        <w:pStyle w:val="128"/>
        <w:numPr>
          <w:ilvl w:val="4"/>
          <w:numId w:val="2"/>
        </w:numPr>
        <w:rPr>
          <w:rFonts w:hAnsi="宋体"/>
        </w:rPr>
      </w:pPr>
      <w:r>
        <w:rPr>
          <w:rFonts w:hint="eastAsia" w:hAnsi="宋体" w:cs="宋体"/>
          <w:szCs w:val="21"/>
        </w:rPr>
        <w:t>设计审查人员应具有</w:t>
      </w:r>
      <w:r>
        <w:rPr>
          <w:rFonts w:hint="eastAsia" w:hAnsi="宋体"/>
        </w:rPr>
        <w:t>大学本科及以上</w:t>
      </w:r>
      <w:r>
        <w:rPr>
          <w:rFonts w:hint="eastAsia" w:hAnsi="宋体" w:cs="宋体"/>
          <w:szCs w:val="21"/>
        </w:rPr>
        <w:t>学历，</w:t>
      </w:r>
      <w:r>
        <w:rPr>
          <w:rFonts w:hint="eastAsia" w:hAnsi="宋体"/>
        </w:rPr>
        <w:t>具有海洋石油生产设施发证检验机构</w:t>
      </w:r>
      <w:r>
        <w:rPr>
          <w:rFonts w:hint="eastAsia" w:hAnsi="宋体" w:cs="宋体"/>
          <w:szCs w:val="21"/>
        </w:rPr>
        <w:t>2年以上工作经历</w:t>
      </w:r>
      <w:r>
        <w:rPr>
          <w:rFonts w:hint="eastAsia" w:hAnsi="宋体"/>
        </w:rPr>
        <w:t>。</w:t>
      </w:r>
    </w:p>
    <w:p w14:paraId="387A103F">
      <w:pPr>
        <w:pStyle w:val="128"/>
        <w:numPr>
          <w:ilvl w:val="4"/>
          <w:numId w:val="2"/>
        </w:numPr>
        <w:rPr>
          <w:rFonts w:hAnsi="宋体"/>
        </w:rPr>
      </w:pPr>
      <w:r>
        <w:rPr>
          <w:rFonts w:hint="eastAsia" w:hAnsi="宋体"/>
        </w:rPr>
        <w:t>海洋石油生产设施发证检验机构应有与从事业务相适应的检验能力，其中各专业人员配置应符合附录B</w:t>
      </w:r>
      <w:r>
        <w:rPr>
          <w:rFonts w:hint="eastAsia" w:hAnsi="宋体" w:cs="宋体"/>
          <w:szCs w:val="21"/>
        </w:rPr>
        <w:t>的</w:t>
      </w:r>
      <w:r>
        <w:rPr>
          <w:rFonts w:hint="eastAsia" w:hAnsi="宋体"/>
        </w:rPr>
        <w:t>要求。</w:t>
      </w:r>
    </w:p>
    <w:p w14:paraId="08D88536">
      <w:pPr>
        <w:pStyle w:val="95"/>
        <w:numPr>
          <w:ilvl w:val="3"/>
          <w:numId w:val="2"/>
        </w:numPr>
        <w:spacing w:beforeLines="50" w:afterLines="50"/>
        <w:outlineLvl w:val="2"/>
        <w:rPr>
          <w:rFonts w:hAnsi="宋体" w:eastAsia="黑体" w:cs="黑体"/>
        </w:rPr>
      </w:pPr>
      <w:r>
        <w:rPr>
          <w:rFonts w:hint="eastAsia" w:hAnsi="宋体" w:eastAsia="黑体" w:cs="黑体"/>
        </w:rPr>
        <w:t>海洋石油专业设备检测检验机构</w:t>
      </w:r>
    </w:p>
    <w:p w14:paraId="5B358E6F">
      <w:pPr>
        <w:pStyle w:val="128"/>
        <w:numPr>
          <w:ilvl w:val="4"/>
          <w:numId w:val="2"/>
        </w:numPr>
        <w:rPr>
          <w:rFonts w:hAnsi="宋体"/>
        </w:rPr>
      </w:pPr>
      <w:r>
        <w:rPr>
          <w:rFonts w:hint="eastAsia" w:hAnsi="宋体"/>
        </w:rPr>
        <w:t>海洋石油专业设备检测检验机构</w:t>
      </w:r>
      <w:r>
        <w:rPr>
          <w:rFonts w:hint="eastAsia" w:hAnsi="宋体" w:eastAsiaTheme="majorEastAsia"/>
        </w:rPr>
        <w:t>的固定资产</w:t>
      </w:r>
      <w:r>
        <w:rPr>
          <w:rFonts w:hAnsi="宋体" w:eastAsiaTheme="majorEastAsia"/>
        </w:rPr>
        <w:t>不少</w:t>
      </w:r>
      <w:r>
        <w:rPr>
          <w:rFonts w:hint="eastAsia" w:hAnsi="宋体"/>
        </w:rPr>
        <w:t>于1200万元；检测检验仪器、设备、设施原值不低于1000万元；固定工作场所建筑面积不少于1200 m</w:t>
      </w:r>
      <w:r>
        <w:rPr>
          <w:rFonts w:hint="eastAsia" w:hAnsi="宋体"/>
          <w:vertAlign w:val="superscript"/>
        </w:rPr>
        <w:t>2</w:t>
      </w:r>
      <w:r>
        <w:rPr>
          <w:rFonts w:hint="eastAsia" w:hAnsi="宋体"/>
        </w:rPr>
        <w:t>，其中用于检验、试验及相关配套场所面积不少于400 m</w:t>
      </w:r>
      <w:r>
        <w:rPr>
          <w:rFonts w:hint="eastAsia" w:hAnsi="宋体"/>
          <w:vertAlign w:val="superscript"/>
        </w:rPr>
        <w:t>2</w:t>
      </w:r>
      <w:r>
        <w:rPr>
          <w:rFonts w:hint="eastAsia" w:hAnsi="宋体"/>
        </w:rPr>
        <w:t>，档案室面积不少于</w:t>
      </w:r>
      <w:r>
        <w:rPr>
          <w:rFonts w:hint="eastAsia" w:hAnsi="宋体" w:cs="宋体"/>
        </w:rPr>
        <w:t xml:space="preserve">100 </w:t>
      </w:r>
      <w:r>
        <w:rPr>
          <w:rFonts w:hint="eastAsia" w:hAnsi="宋体"/>
        </w:rPr>
        <w:t>m</w:t>
      </w:r>
      <w:r>
        <w:rPr>
          <w:rFonts w:hint="eastAsia" w:hAnsi="宋体"/>
          <w:vertAlign w:val="superscript"/>
        </w:rPr>
        <w:t>2</w:t>
      </w:r>
      <w:r>
        <w:rPr>
          <w:rFonts w:hint="eastAsia" w:hAnsi="宋体" w:eastAsiaTheme="majorEastAsia"/>
        </w:rPr>
        <w:t>。</w:t>
      </w:r>
    </w:p>
    <w:p w14:paraId="27EF31E8">
      <w:pPr>
        <w:pStyle w:val="128"/>
        <w:numPr>
          <w:ilvl w:val="4"/>
          <w:numId w:val="2"/>
        </w:numPr>
        <w:rPr>
          <w:rFonts w:hAnsi="宋体"/>
        </w:rPr>
      </w:pPr>
      <w:r>
        <w:rPr>
          <w:rFonts w:hint="eastAsia" w:hAnsi="宋体"/>
        </w:rPr>
        <w:t>海洋石油专业设备检测检验机构主持工作负责人应为机构管理层成员，同时满足下列要求：</w:t>
      </w:r>
    </w:p>
    <w:p w14:paraId="61591552">
      <w:pPr>
        <w:pStyle w:val="107"/>
        <w:numPr>
          <w:ilvl w:val="0"/>
          <w:numId w:val="20"/>
        </w:numPr>
        <w:rPr>
          <w:rFonts w:hAnsi="宋体"/>
        </w:rPr>
      </w:pPr>
      <w:r>
        <w:rPr>
          <w:rFonts w:hint="eastAsia" w:hAnsi="宋体"/>
        </w:rPr>
        <w:t>熟悉专业设备检测检验的有关法律、法规、规章、标准、规范；</w:t>
      </w:r>
    </w:p>
    <w:p w14:paraId="2A6B8AAD">
      <w:pPr>
        <w:pStyle w:val="107"/>
        <w:numPr>
          <w:ilvl w:val="0"/>
          <w:numId w:val="20"/>
        </w:numPr>
        <w:rPr>
          <w:rFonts w:hAnsi="宋体"/>
        </w:rPr>
      </w:pPr>
      <w:r>
        <w:rPr>
          <w:rFonts w:hint="eastAsia" w:hAnsi="宋体"/>
        </w:rPr>
        <w:t>具有工程技术系列高级技术职称；</w:t>
      </w:r>
    </w:p>
    <w:p w14:paraId="49EC7424">
      <w:pPr>
        <w:pStyle w:val="107"/>
        <w:numPr>
          <w:ilvl w:val="0"/>
          <w:numId w:val="20"/>
        </w:numPr>
        <w:rPr>
          <w:rFonts w:hAnsi="宋体"/>
        </w:rPr>
      </w:pPr>
      <w:r>
        <w:rPr>
          <w:rFonts w:hint="eastAsia" w:hAnsi="宋体"/>
        </w:rPr>
        <w:t>在海洋石油开采行业工作8年及以上。</w:t>
      </w:r>
    </w:p>
    <w:p w14:paraId="260548E1">
      <w:pPr>
        <w:pStyle w:val="128"/>
        <w:numPr>
          <w:ilvl w:val="4"/>
          <w:numId w:val="2"/>
        </w:numPr>
        <w:rPr>
          <w:rFonts w:hAnsi="宋体"/>
        </w:rPr>
      </w:pPr>
      <w:r>
        <w:rPr>
          <w:rFonts w:hint="eastAsia" w:hAnsi="宋体"/>
        </w:rPr>
        <w:t>海洋石油专业设备检测检验机构技术负责人应为机构管理层成员，由机构任命并报有关主管部门备案，同时应满足下列要求：</w:t>
      </w:r>
    </w:p>
    <w:p w14:paraId="4447E5BB">
      <w:pPr>
        <w:pStyle w:val="107"/>
        <w:numPr>
          <w:ilvl w:val="0"/>
          <w:numId w:val="21"/>
        </w:numPr>
        <w:rPr>
          <w:rFonts w:hAnsi="宋体"/>
        </w:rPr>
      </w:pPr>
      <w:r>
        <w:rPr>
          <w:rFonts w:hint="eastAsia" w:hAnsi="宋体"/>
        </w:rPr>
        <w:t>熟悉专业设备检测检验的有关法律、法规、规章、标准、规范；</w:t>
      </w:r>
    </w:p>
    <w:p w14:paraId="0436CB7E">
      <w:pPr>
        <w:pStyle w:val="107"/>
        <w:numPr>
          <w:ilvl w:val="0"/>
          <w:numId w:val="21"/>
        </w:numPr>
        <w:rPr>
          <w:rFonts w:hAnsi="宋体"/>
        </w:rPr>
      </w:pPr>
      <w:r>
        <w:rPr>
          <w:rFonts w:hint="eastAsia" w:hAnsi="宋体"/>
        </w:rPr>
        <w:t>具备相关专业知识，熟悉专业设备检测检验相关技术和方法，能够解决专业设备检测检验过程中遇到的技术难题；</w:t>
      </w:r>
    </w:p>
    <w:p w14:paraId="0B5EB1FF">
      <w:pPr>
        <w:pStyle w:val="107"/>
        <w:numPr>
          <w:ilvl w:val="0"/>
          <w:numId w:val="21"/>
        </w:numPr>
        <w:rPr>
          <w:rFonts w:hAnsi="宋体"/>
        </w:rPr>
      </w:pPr>
      <w:r>
        <w:rPr>
          <w:rFonts w:hint="eastAsia" w:hAnsi="宋体"/>
        </w:rPr>
        <w:t>具有工程技术系列高级技术职称；</w:t>
      </w:r>
    </w:p>
    <w:p w14:paraId="0B0AAE50">
      <w:pPr>
        <w:pStyle w:val="107"/>
        <w:numPr>
          <w:ilvl w:val="0"/>
          <w:numId w:val="21"/>
        </w:numPr>
        <w:rPr>
          <w:rFonts w:hAnsi="宋体"/>
        </w:rPr>
      </w:pPr>
      <w:r>
        <w:rPr>
          <w:rFonts w:hint="eastAsia" w:hAnsi="宋体"/>
        </w:rPr>
        <w:t>从事专业设备检测检验技术或质量相关工作8年及以上。</w:t>
      </w:r>
    </w:p>
    <w:p w14:paraId="46F3DB57">
      <w:pPr>
        <w:pStyle w:val="128"/>
        <w:numPr>
          <w:ilvl w:val="4"/>
          <w:numId w:val="2"/>
        </w:numPr>
        <w:rPr>
          <w:rFonts w:hAnsi="宋体"/>
        </w:rPr>
      </w:pPr>
      <w:r>
        <w:rPr>
          <w:rFonts w:hint="eastAsia" w:hAnsi="宋体"/>
        </w:rPr>
        <w:t>海洋石油专业设备检测检验机构质量负责人应为机构管理层成员，由机构任命并报有关主管部门备案，同时应满足下列要求：</w:t>
      </w:r>
    </w:p>
    <w:p w14:paraId="1C1DF1F4">
      <w:pPr>
        <w:pStyle w:val="107"/>
        <w:numPr>
          <w:ilvl w:val="0"/>
          <w:numId w:val="22"/>
        </w:numPr>
        <w:rPr>
          <w:rFonts w:hAnsi="宋体"/>
        </w:rPr>
      </w:pPr>
      <w:r>
        <w:rPr>
          <w:rFonts w:hint="eastAsia" w:hAnsi="宋体"/>
        </w:rPr>
        <w:t>熟悉专业设备检测检验的有关法律、法规、规章、标准、规范；</w:t>
      </w:r>
    </w:p>
    <w:p w14:paraId="6030C52C">
      <w:pPr>
        <w:pStyle w:val="107"/>
        <w:numPr>
          <w:ilvl w:val="0"/>
          <w:numId w:val="22"/>
        </w:numPr>
        <w:rPr>
          <w:rFonts w:hAnsi="宋体"/>
        </w:rPr>
      </w:pPr>
      <w:r>
        <w:rPr>
          <w:rFonts w:hint="eastAsia" w:hAnsi="宋体"/>
        </w:rPr>
        <w:t>接受过专业设备检测检验质量管理方面的专门培训，熟悉专业设备检测检验的质量管理工作；</w:t>
      </w:r>
    </w:p>
    <w:p w14:paraId="652DB45F">
      <w:pPr>
        <w:pStyle w:val="107"/>
        <w:numPr>
          <w:ilvl w:val="0"/>
          <w:numId w:val="22"/>
        </w:numPr>
        <w:rPr>
          <w:rFonts w:hAnsi="宋体"/>
        </w:rPr>
      </w:pPr>
      <w:r>
        <w:rPr>
          <w:rFonts w:hint="eastAsia" w:hAnsi="宋体"/>
        </w:rPr>
        <w:t>具有工程技术系列高级技术职称；</w:t>
      </w:r>
    </w:p>
    <w:p w14:paraId="06F55949">
      <w:pPr>
        <w:pStyle w:val="107"/>
        <w:numPr>
          <w:ilvl w:val="0"/>
          <w:numId w:val="22"/>
        </w:numPr>
        <w:rPr>
          <w:rFonts w:hAnsi="宋体"/>
        </w:rPr>
      </w:pPr>
      <w:r>
        <w:rPr>
          <w:rFonts w:hint="eastAsia" w:hAnsi="宋体"/>
        </w:rPr>
        <w:t>从事专业设备检测检验技术或质量相关工作8年及以上。</w:t>
      </w:r>
    </w:p>
    <w:p w14:paraId="7860F6EF">
      <w:pPr>
        <w:pStyle w:val="128"/>
        <w:numPr>
          <w:ilvl w:val="4"/>
          <w:numId w:val="2"/>
        </w:numPr>
        <w:rPr>
          <w:rFonts w:hAnsi="宋体"/>
        </w:rPr>
      </w:pPr>
      <w:r>
        <w:rPr>
          <w:rFonts w:hint="eastAsia" w:hAnsi="宋体"/>
        </w:rPr>
        <w:t>海洋石油专业设备检测检验机构授权签字人由机构从其专业设备检验人员中任命并报有关主管部门备案，同时应满足下列要求：</w:t>
      </w:r>
    </w:p>
    <w:p w14:paraId="661EF9B2">
      <w:pPr>
        <w:pStyle w:val="107"/>
        <w:numPr>
          <w:ilvl w:val="0"/>
          <w:numId w:val="23"/>
        </w:numPr>
        <w:rPr>
          <w:rFonts w:hAnsi="宋体"/>
        </w:rPr>
      </w:pPr>
      <w:r>
        <w:rPr>
          <w:rFonts w:hint="eastAsia" w:hAnsi="宋体"/>
        </w:rPr>
        <w:t>熟悉专业设备检测检验的有关法律、法规、规章、标准、规范；</w:t>
      </w:r>
    </w:p>
    <w:p w14:paraId="143E22D2">
      <w:pPr>
        <w:pStyle w:val="107"/>
        <w:numPr>
          <w:ilvl w:val="0"/>
          <w:numId w:val="23"/>
        </w:numPr>
        <w:rPr>
          <w:rFonts w:hAnsi="宋体"/>
        </w:rPr>
      </w:pPr>
      <w:r>
        <w:rPr>
          <w:rFonts w:hint="eastAsia" w:hAnsi="宋体"/>
        </w:rPr>
        <w:t>具有工程技术系列高级技术职称；</w:t>
      </w:r>
    </w:p>
    <w:p w14:paraId="0993F92F">
      <w:pPr>
        <w:pStyle w:val="107"/>
        <w:numPr>
          <w:ilvl w:val="0"/>
          <w:numId w:val="23"/>
        </w:numPr>
        <w:rPr>
          <w:rFonts w:hAnsi="宋体"/>
        </w:rPr>
      </w:pPr>
      <w:r>
        <w:rPr>
          <w:rFonts w:hint="eastAsia" w:hAnsi="宋体"/>
        </w:rPr>
        <w:t>掌握所承担签字领域的专业设备检测检验技术；</w:t>
      </w:r>
    </w:p>
    <w:p w14:paraId="4B880A5E">
      <w:pPr>
        <w:pStyle w:val="107"/>
        <w:numPr>
          <w:ilvl w:val="0"/>
          <w:numId w:val="23"/>
        </w:numPr>
        <w:rPr>
          <w:rFonts w:hAnsi="宋体"/>
        </w:rPr>
      </w:pPr>
      <w:r>
        <w:rPr>
          <w:rFonts w:hint="eastAsia" w:hAnsi="宋体"/>
        </w:rPr>
        <w:t>熟悉和掌握授权范围内专业设备检测检验的要求；</w:t>
      </w:r>
    </w:p>
    <w:p w14:paraId="5985142D">
      <w:pPr>
        <w:pStyle w:val="107"/>
        <w:numPr>
          <w:ilvl w:val="0"/>
          <w:numId w:val="23"/>
        </w:numPr>
        <w:rPr>
          <w:rFonts w:hAnsi="宋体"/>
        </w:rPr>
      </w:pPr>
      <w:r>
        <w:rPr>
          <w:rFonts w:hint="eastAsia" w:hAnsi="宋体"/>
        </w:rPr>
        <w:t>熟悉管理体系中的有关职责和权限；</w:t>
      </w:r>
    </w:p>
    <w:p w14:paraId="36D403CF">
      <w:pPr>
        <w:pStyle w:val="107"/>
        <w:numPr>
          <w:ilvl w:val="0"/>
          <w:numId w:val="23"/>
        </w:numPr>
        <w:rPr>
          <w:rFonts w:hAnsi="宋体"/>
        </w:rPr>
      </w:pPr>
      <w:r>
        <w:rPr>
          <w:rFonts w:hint="eastAsia" w:hAnsi="宋体"/>
        </w:rPr>
        <w:t>熟悉专业设备检测检验报告签发程序，具备对专业设备检测检验数据、结果做出评价的能力；</w:t>
      </w:r>
    </w:p>
    <w:p w14:paraId="5C96A652">
      <w:pPr>
        <w:pStyle w:val="107"/>
        <w:numPr>
          <w:ilvl w:val="0"/>
          <w:numId w:val="23"/>
        </w:numPr>
        <w:rPr>
          <w:rFonts w:hAnsi="宋体"/>
        </w:rPr>
      </w:pPr>
      <w:r>
        <w:rPr>
          <w:rFonts w:hint="eastAsia" w:hAnsi="宋体"/>
        </w:rPr>
        <w:t>从事专业设备检测检验工作5年及以上。</w:t>
      </w:r>
    </w:p>
    <w:p w14:paraId="79DF13F5">
      <w:pPr>
        <w:pStyle w:val="128"/>
        <w:numPr>
          <w:ilvl w:val="4"/>
          <w:numId w:val="2"/>
        </w:numPr>
        <w:rPr>
          <w:rFonts w:hAnsi="宋体"/>
        </w:rPr>
      </w:pPr>
      <w:r>
        <w:rPr>
          <w:rFonts w:hint="eastAsia" w:hAnsi="宋体"/>
        </w:rPr>
        <w:t>海洋石油专业设备检测检验机构应</w:t>
      </w:r>
      <w:r>
        <w:rPr>
          <w:rFonts w:hint="eastAsia" w:hAnsi="宋体" w:cs="宋体"/>
          <w:szCs w:val="21"/>
        </w:rPr>
        <w:t>为涉及的业务配备对应的授权签字人并建立授权签字人管理程序，明确授权签字人的授</w:t>
      </w:r>
      <w:r>
        <w:rPr>
          <w:rFonts w:hint="eastAsia" w:hAnsi="宋体"/>
        </w:rPr>
        <w:t>权管理要求。</w:t>
      </w:r>
    </w:p>
    <w:p w14:paraId="63768E05">
      <w:pPr>
        <w:pStyle w:val="128"/>
        <w:numPr>
          <w:ilvl w:val="4"/>
          <w:numId w:val="2"/>
        </w:numPr>
        <w:rPr>
          <w:rFonts w:hAnsi="宋体"/>
        </w:rPr>
      </w:pPr>
      <w:r>
        <w:rPr>
          <w:rFonts w:hint="eastAsia" w:hAnsi="宋体"/>
        </w:rPr>
        <w:t>海洋石油专业设备检测检验机构应有与业务相适应的专业设备检验人员和专业设备检测人员，并且具有附录</w:t>
      </w:r>
      <w:r>
        <w:rPr>
          <w:rFonts w:hAnsi="宋体" w:cs="宋体"/>
        </w:rPr>
        <w:t>D</w:t>
      </w:r>
      <w:r>
        <w:rPr>
          <w:rFonts w:hint="eastAsia" w:hAnsi="宋体"/>
        </w:rPr>
        <w:t>规定的相应职业资格证书或能力认定证书。承担单一中类专业设备检测检验业务的，其专业设备检验人员和专业设备检测人员总数不少</w:t>
      </w:r>
      <w:r>
        <w:rPr>
          <w:rFonts w:hint="eastAsia" w:hAnsi="宋体" w:cs="宋体"/>
          <w:szCs w:val="21"/>
        </w:rPr>
        <w:t>于25人</w:t>
      </w:r>
      <w:r>
        <w:rPr>
          <w:rFonts w:hint="eastAsia" w:hAnsi="宋体"/>
        </w:rPr>
        <w:t>，每增加一个中类专业设备检测检验业务，相应人员至少增</w:t>
      </w:r>
      <w:r>
        <w:rPr>
          <w:rFonts w:hint="eastAsia" w:hAnsi="宋体" w:cs="宋体"/>
          <w:szCs w:val="21"/>
        </w:rPr>
        <w:t>加3人，且人员</w:t>
      </w:r>
      <w:r>
        <w:rPr>
          <w:rFonts w:hint="eastAsia" w:hAnsi="宋体"/>
        </w:rPr>
        <w:t>配置应符合附录</w:t>
      </w:r>
      <w:r>
        <w:rPr>
          <w:rFonts w:hint="eastAsia" w:hAnsi="宋体" w:cs="宋体"/>
        </w:rPr>
        <w:t>B</w:t>
      </w:r>
      <w:r>
        <w:rPr>
          <w:rFonts w:hint="eastAsia" w:hAnsi="宋体"/>
        </w:rPr>
        <w:t>的要求。</w:t>
      </w:r>
    </w:p>
    <w:p w14:paraId="57EC9BE7">
      <w:pPr>
        <w:pStyle w:val="128"/>
        <w:numPr>
          <w:ilvl w:val="4"/>
          <w:numId w:val="2"/>
        </w:numPr>
        <w:rPr>
          <w:rFonts w:hAnsi="宋体"/>
        </w:rPr>
      </w:pPr>
      <w:r>
        <w:rPr>
          <w:rFonts w:hint="eastAsia" w:hAnsi="宋体"/>
        </w:rPr>
        <w:t>海洋石油专业设备检测检验机构</w:t>
      </w:r>
      <w:r>
        <w:rPr>
          <w:rFonts w:hint="eastAsia" w:hAnsi="宋体" w:cs="宋体"/>
          <w:szCs w:val="21"/>
        </w:rPr>
        <w:t>的主持工作负责人、技术负责人、质量负责人中，至少一人应取得</w:t>
      </w:r>
      <w:r>
        <w:rPr>
          <w:rFonts w:hint="eastAsia" w:hAnsi="宋体"/>
        </w:rPr>
        <w:t>相关专业中级及以上注册安全工程师；</w:t>
      </w:r>
      <w:r>
        <w:rPr>
          <w:rFonts w:hint="eastAsia" w:hAnsi="宋体" w:cs="宋体"/>
          <w:szCs w:val="21"/>
        </w:rPr>
        <w:t>专业设备检验人员中，相关专业中级及以上技术职称人员比例不低于50%，且相关专业高级技术职称人员比例不低于30%，其中技师资格可等同于中级技术职称，高级技师资格可等同于高级技术职称。</w:t>
      </w:r>
    </w:p>
    <w:p w14:paraId="49F0AA8A">
      <w:pPr>
        <w:pStyle w:val="128"/>
        <w:numPr>
          <w:ilvl w:val="4"/>
          <w:numId w:val="2"/>
        </w:numPr>
        <w:rPr>
          <w:rFonts w:hAnsi="宋体"/>
        </w:rPr>
      </w:pPr>
      <w:r>
        <w:rPr>
          <w:rFonts w:hint="eastAsia" w:hAnsi="宋体"/>
        </w:rPr>
        <w:t>专业设备检验人员和专业设备检测人员应具有大学专科及以上学历或应有</w:t>
      </w:r>
      <w:r>
        <w:rPr>
          <w:rFonts w:hint="eastAsia" w:hAnsi="宋体" w:cs="宋体"/>
        </w:rPr>
        <w:t>10</w:t>
      </w:r>
      <w:r>
        <w:rPr>
          <w:rFonts w:hint="eastAsia" w:hAnsi="宋体"/>
        </w:rPr>
        <w:t>年以上相关专业现场检测检验经历。</w:t>
      </w:r>
    </w:p>
    <w:p w14:paraId="1D5925C1">
      <w:pPr>
        <w:pStyle w:val="128"/>
        <w:numPr>
          <w:ilvl w:val="4"/>
          <w:numId w:val="2"/>
        </w:numPr>
        <w:rPr>
          <w:rFonts w:hAnsi="宋体"/>
        </w:rPr>
      </w:pPr>
      <w:r>
        <w:rPr>
          <w:rFonts w:hint="eastAsia" w:hAnsi="宋体"/>
        </w:rPr>
        <w:t>专业设备检验人员和专业设备检测人员在满足本文件</w:t>
      </w:r>
      <w:r>
        <w:rPr>
          <w:rFonts w:hint="eastAsia" w:hAnsi="宋体" w:cs="宋体"/>
        </w:rPr>
        <w:t>4.2.3.9要求的基础上，</w:t>
      </w:r>
      <w:r>
        <w:rPr>
          <w:rFonts w:hint="eastAsia" w:hAnsi="宋体"/>
        </w:rPr>
        <w:t>还应具有海洋石油专业设备检测检验机构</w:t>
      </w:r>
      <w:r>
        <w:rPr>
          <w:rFonts w:hint="eastAsia" w:hAnsi="宋体" w:cs="宋体"/>
          <w:szCs w:val="21"/>
        </w:rPr>
        <w:t>2年以上工作经历</w:t>
      </w:r>
      <w:r>
        <w:rPr>
          <w:rFonts w:hint="eastAsia" w:hAnsi="宋体"/>
        </w:rPr>
        <w:t>。</w:t>
      </w:r>
    </w:p>
    <w:p w14:paraId="4FC25BCD">
      <w:pPr>
        <w:pStyle w:val="128"/>
        <w:widowControl w:val="0"/>
        <w:numPr>
          <w:ilvl w:val="4"/>
          <w:numId w:val="2"/>
        </w:numPr>
        <w:rPr>
          <w:rFonts w:hAnsi="宋体"/>
        </w:rPr>
      </w:pPr>
      <w:r>
        <w:rPr>
          <w:rFonts w:hint="eastAsia" w:hAnsi="宋体"/>
        </w:rPr>
        <w:t>海洋石油专业设备检测检验机构的</w:t>
      </w:r>
      <w:r>
        <w:rPr>
          <w:rFonts w:hint="eastAsia" w:hAnsi="宋体"/>
          <w:szCs w:val="21"/>
        </w:rPr>
        <w:t>采油（气）树、</w:t>
      </w:r>
      <w:r>
        <w:rPr>
          <w:rFonts w:hint="eastAsia" w:hAnsi="宋体"/>
        </w:rPr>
        <w:t>海上锅炉、海上压力容器等18个中类专业设备的检验人员以及射线检测、超声检测、磁粉检测等8类专业设备检测人员应取得证明其技术能力的职业资格证书或能力认定证书，以上人员取证应符合附录D的要求。</w:t>
      </w:r>
    </w:p>
    <w:p w14:paraId="429FC47C">
      <w:pPr>
        <w:pStyle w:val="128"/>
        <w:numPr>
          <w:ilvl w:val="4"/>
          <w:numId w:val="2"/>
        </w:numPr>
        <w:rPr>
          <w:rFonts w:hAnsi="宋体"/>
        </w:rPr>
      </w:pPr>
      <w:r>
        <w:rPr>
          <w:rFonts w:hint="eastAsia" w:hAnsi="宋体"/>
        </w:rPr>
        <w:t>海洋石油专业设备检测检验机构应以中类专业设备为标准为涉及的</w:t>
      </w:r>
      <w:r>
        <w:rPr>
          <w:rFonts w:hint="eastAsia" w:hAnsi="宋体" w:cs="宋体"/>
          <w:szCs w:val="21"/>
        </w:rPr>
        <w:t>业务</w:t>
      </w:r>
      <w:r>
        <w:rPr>
          <w:rFonts w:hint="eastAsia" w:hAnsi="宋体"/>
        </w:rPr>
        <w:t>独立配置检测检验设备，其中同一大类专业设备可共用其所属中类专业设备的检测检验设备。</w:t>
      </w:r>
    </w:p>
    <w:p w14:paraId="3E167A96">
      <w:pPr>
        <w:pStyle w:val="128"/>
        <w:numPr>
          <w:ilvl w:val="4"/>
          <w:numId w:val="2"/>
        </w:numPr>
        <w:rPr>
          <w:rFonts w:hAnsi="宋体"/>
        </w:rPr>
      </w:pPr>
      <w:r>
        <w:rPr>
          <w:rFonts w:hint="eastAsia" w:hAnsi="宋体"/>
        </w:rPr>
        <w:t>专业设备检验人员可兼任不同中类专业设备的检验人员，但不应超</w:t>
      </w:r>
      <w:r>
        <w:rPr>
          <w:rFonts w:hint="eastAsia" w:hAnsi="宋体" w:cs="宋体"/>
          <w:szCs w:val="21"/>
        </w:rPr>
        <w:t>过5个</w:t>
      </w:r>
      <w:r>
        <w:rPr>
          <w:rFonts w:hint="eastAsia" w:hAnsi="宋体"/>
        </w:rPr>
        <w:t>中类专业设备。专业设备检测人员可兼任各中类专业设备的检测人员。</w:t>
      </w:r>
    </w:p>
    <w:bookmarkEnd w:id="44"/>
    <w:bookmarkEnd w:id="45"/>
    <w:p w14:paraId="3031DDFB">
      <w:pPr>
        <w:pStyle w:val="68"/>
        <w:numPr>
          <w:ilvl w:val="1"/>
          <w:numId w:val="2"/>
        </w:numPr>
        <w:spacing w:before="240" w:after="240"/>
        <w:rPr>
          <w:rFonts w:ascii="宋体" w:hAnsi="宋体"/>
        </w:rPr>
      </w:pPr>
      <w:bookmarkStart w:id="61" w:name="_Toc32446"/>
      <w:bookmarkStart w:id="62" w:name="_Toc164"/>
      <w:bookmarkStart w:id="63" w:name="_Toc18026"/>
      <w:r>
        <w:rPr>
          <w:rFonts w:hint="eastAsia" w:ascii="宋体" w:hAnsi="宋体"/>
        </w:rPr>
        <w:t>运行条件</w:t>
      </w:r>
      <w:bookmarkEnd w:id="61"/>
      <w:bookmarkEnd w:id="62"/>
      <w:bookmarkEnd w:id="63"/>
    </w:p>
    <w:p w14:paraId="0B44AA9C">
      <w:pPr>
        <w:pStyle w:val="66"/>
        <w:numPr>
          <w:ilvl w:val="2"/>
          <w:numId w:val="2"/>
        </w:numPr>
        <w:ind w:left="0"/>
        <w:rPr>
          <w:rFonts w:hAnsi="宋体"/>
        </w:rPr>
      </w:pPr>
      <w:bookmarkStart w:id="64" w:name="_Toc3128"/>
      <w:bookmarkStart w:id="65" w:name="_Toc22240"/>
      <w:bookmarkStart w:id="66" w:name="_Toc3393"/>
      <w:bookmarkStart w:id="67" w:name="_Toc164158638"/>
      <w:bookmarkStart w:id="68" w:name="_Toc8287"/>
      <w:bookmarkStart w:id="69" w:name="_Toc23156"/>
      <w:bookmarkStart w:id="70" w:name="_Toc10642"/>
      <w:bookmarkStart w:id="71" w:name="_Toc26658"/>
      <w:bookmarkStart w:id="72" w:name="_Toc4729"/>
      <w:bookmarkStart w:id="73" w:name="_Toc3527"/>
      <w:bookmarkStart w:id="74" w:name="_Toc16666"/>
      <w:bookmarkStart w:id="75" w:name="_Toc164090054"/>
      <w:bookmarkStart w:id="76" w:name="_Toc164158306"/>
      <w:bookmarkStart w:id="77" w:name="_Toc11038"/>
      <w:bookmarkStart w:id="78" w:name="_Toc5029"/>
      <w:bookmarkStart w:id="79" w:name="_Toc9765"/>
      <w:bookmarkStart w:id="80" w:name="_Toc6281"/>
      <w:bookmarkStart w:id="81" w:name="_Toc28629"/>
      <w:bookmarkStart w:id="82" w:name="_Toc9804"/>
      <w:bookmarkStart w:id="83" w:name="_Hlk214694150"/>
      <w:r>
        <w:rPr>
          <w:rFonts w:hint="eastAsia" w:hAnsi="宋体"/>
        </w:rPr>
        <w:t>海洋石油安全评价检测检验机构应持续满足本文件第4章的要求。</w:t>
      </w:r>
    </w:p>
    <w:p w14:paraId="3137BEF9">
      <w:pPr>
        <w:pStyle w:val="66"/>
        <w:numPr>
          <w:ilvl w:val="2"/>
          <w:numId w:val="2"/>
        </w:numPr>
        <w:ind w:left="0"/>
        <w:rPr>
          <w:rFonts w:hAnsi="宋体"/>
        </w:rPr>
      </w:pPr>
      <w:r>
        <w:rPr>
          <w:rFonts w:hint="eastAsia" w:hAnsi="宋体"/>
        </w:rPr>
        <w:t>海洋石油安全评价机构的专职技术人员、海洋石油生产设施发证检验机构的专职检验人员、海洋石油专业设备检测检验机构的专业设备检验人员以及</w:t>
      </w:r>
      <w:r>
        <w:rPr>
          <w:rFonts w:hint="eastAsia" w:hAnsi="宋体"/>
          <w:szCs w:val="21"/>
        </w:rPr>
        <w:t>交流电磁场检测人员</w:t>
      </w:r>
      <w:r>
        <w:rPr>
          <w:rFonts w:hint="eastAsia" w:hAnsi="宋体"/>
        </w:rPr>
        <w:t>均应经专门培训合格后方可从事相关工作，培训应满足附录E的要求，其中本文件4.2.3.11规定的专业设备检验人员和专业设备检测人员应保持相应职业资格证书或能力认定证书有效。</w:t>
      </w:r>
    </w:p>
    <w:p w14:paraId="1F25E8F1">
      <w:pPr>
        <w:pStyle w:val="66"/>
        <w:numPr>
          <w:ilvl w:val="2"/>
          <w:numId w:val="2"/>
        </w:numPr>
        <w:ind w:left="0"/>
        <w:rPr>
          <w:rFonts w:hAnsi="宋体"/>
        </w:rPr>
      </w:pPr>
      <w:r>
        <w:rPr>
          <w:rFonts w:hint="eastAsia" w:hAnsi="宋体"/>
        </w:rPr>
        <w:t>在资质有效期内，海洋石油安全评价检测检验机构的每类资质至少应取得5项对应的工作业绩。</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7A713B70">
      <w:pPr>
        <w:pStyle w:val="66"/>
        <w:numPr>
          <w:ilvl w:val="2"/>
          <w:numId w:val="2"/>
        </w:numPr>
        <w:ind w:left="0"/>
        <w:rPr>
          <w:rFonts w:hAnsi="宋体"/>
        </w:rPr>
      </w:pPr>
      <w:r>
        <w:rPr>
          <w:rFonts w:hint="eastAsia" w:hAnsi="宋体"/>
        </w:rPr>
        <w:t>海洋石油安全评价检测检验机构的安全评价检测检验过程和报告应符合有关技术标准要求，档案记录完整。</w:t>
      </w:r>
    </w:p>
    <w:p w14:paraId="38E14ED8">
      <w:pPr>
        <w:pStyle w:val="66"/>
        <w:numPr>
          <w:ilvl w:val="2"/>
          <w:numId w:val="2"/>
        </w:numPr>
        <w:ind w:left="0"/>
        <w:rPr>
          <w:rFonts w:hAnsi="宋体" w:eastAsiaTheme="majorEastAsia"/>
          <w:szCs w:val="21"/>
        </w:rPr>
      </w:pPr>
      <w:bookmarkStart w:id="84" w:name="_Toc17520"/>
      <w:bookmarkStart w:id="85" w:name="_Toc21674"/>
      <w:bookmarkStart w:id="86" w:name="_Toc164158639"/>
      <w:bookmarkStart w:id="87" w:name="_Toc10846"/>
      <w:bookmarkStart w:id="88" w:name="_Toc14476"/>
      <w:bookmarkStart w:id="89" w:name="_Toc17291"/>
      <w:bookmarkStart w:id="90" w:name="_Toc29200"/>
      <w:bookmarkStart w:id="91" w:name="_Toc30026"/>
      <w:bookmarkStart w:id="92" w:name="_Toc11898"/>
      <w:bookmarkStart w:id="93" w:name="_Toc3094"/>
      <w:bookmarkStart w:id="94" w:name="_Toc5661"/>
      <w:bookmarkStart w:id="95" w:name="_Toc1260"/>
      <w:bookmarkStart w:id="96" w:name="_Toc164090055"/>
      <w:bookmarkStart w:id="97" w:name="_Toc14305"/>
      <w:bookmarkStart w:id="98" w:name="_Toc164158307"/>
      <w:bookmarkStart w:id="99" w:name="_Toc31988"/>
      <w:bookmarkStart w:id="100" w:name="_Toc3244"/>
      <w:bookmarkStart w:id="101" w:name="_Toc9127"/>
      <w:bookmarkStart w:id="102" w:name="_Toc28457"/>
      <w:bookmarkStart w:id="103" w:name="_Toc17347"/>
      <w:bookmarkStart w:id="104" w:name="_Toc21935"/>
      <w:r>
        <w:rPr>
          <w:rFonts w:hint="eastAsia" w:hAnsi="宋体"/>
        </w:rPr>
        <w:t>海洋石油安全评价检测检验机构应每年对本机构从业情况进行总结，编制年度总结报告，留档备查。年度总结报告应至少包括以下内容</w:t>
      </w:r>
      <w:r>
        <w:rPr>
          <w:rFonts w:hint="eastAsia" w:hAnsi="宋体"/>
          <w:szCs w:val="21"/>
        </w:rPr>
        <w:t>：</w:t>
      </w:r>
    </w:p>
    <w:p w14:paraId="64B66128">
      <w:pPr>
        <w:pStyle w:val="107"/>
        <w:numPr>
          <w:ilvl w:val="0"/>
          <w:numId w:val="24"/>
        </w:numPr>
        <w:rPr>
          <w:rFonts w:hAnsi="宋体"/>
        </w:rPr>
      </w:pPr>
      <w:r>
        <w:rPr>
          <w:rFonts w:hint="eastAsia" w:hAnsi="宋体"/>
        </w:rPr>
        <w:t>年度工作业绩总结；</w:t>
      </w:r>
    </w:p>
    <w:p w14:paraId="208D2845">
      <w:pPr>
        <w:pStyle w:val="107"/>
        <w:numPr>
          <w:ilvl w:val="0"/>
          <w:numId w:val="24"/>
        </w:numPr>
        <w:rPr>
          <w:rFonts w:hAnsi="宋体"/>
        </w:rPr>
      </w:pPr>
      <w:r>
        <w:rPr>
          <w:rFonts w:hint="eastAsia" w:hAnsi="宋体"/>
        </w:rPr>
        <w:t>相关标准规范的检查、更新情况；</w:t>
      </w:r>
    </w:p>
    <w:p w14:paraId="0E4C72BF">
      <w:pPr>
        <w:pStyle w:val="107"/>
        <w:numPr>
          <w:ilvl w:val="0"/>
          <w:numId w:val="24"/>
        </w:numPr>
        <w:rPr>
          <w:rFonts w:hAnsi="宋体"/>
        </w:rPr>
      </w:pPr>
      <w:r>
        <w:rPr>
          <w:rFonts w:hint="eastAsia" w:hAnsi="宋体"/>
        </w:rPr>
        <w:t>质量管理体系（过程控制体系）运行评审情况；</w:t>
      </w:r>
    </w:p>
    <w:p w14:paraId="40ED3BB5">
      <w:pPr>
        <w:pStyle w:val="107"/>
        <w:numPr>
          <w:ilvl w:val="0"/>
          <w:numId w:val="24"/>
        </w:numPr>
        <w:rPr>
          <w:rFonts w:hAnsi="宋体"/>
        </w:rPr>
      </w:pPr>
      <w:r>
        <w:rPr>
          <w:rFonts w:hint="eastAsia" w:hAnsi="宋体"/>
        </w:rPr>
        <w:t>设备以及软件的更新、维护情况；</w:t>
      </w:r>
    </w:p>
    <w:p w14:paraId="51FB2F00">
      <w:pPr>
        <w:pStyle w:val="107"/>
        <w:numPr>
          <w:ilvl w:val="0"/>
          <w:numId w:val="24"/>
        </w:numPr>
        <w:rPr>
          <w:rFonts w:hAnsi="宋体"/>
        </w:rPr>
      </w:pPr>
      <w:r>
        <w:rPr>
          <w:rFonts w:hint="eastAsia" w:hAnsi="宋体"/>
        </w:rPr>
        <w:t>人员的变更情况；</w:t>
      </w:r>
    </w:p>
    <w:p w14:paraId="720018CF">
      <w:pPr>
        <w:pStyle w:val="107"/>
        <w:numPr>
          <w:ilvl w:val="0"/>
          <w:numId w:val="24"/>
        </w:numPr>
        <w:rPr>
          <w:rFonts w:hAnsi="宋体"/>
        </w:rPr>
      </w:pPr>
      <w:r>
        <w:rPr>
          <w:rFonts w:hint="eastAsia" w:hAnsi="宋体"/>
        </w:rPr>
        <w:t>机构的变更情况；</w:t>
      </w:r>
    </w:p>
    <w:p w14:paraId="44CAD72F">
      <w:pPr>
        <w:pStyle w:val="107"/>
        <w:numPr>
          <w:ilvl w:val="0"/>
          <w:numId w:val="24"/>
        </w:numPr>
        <w:rPr>
          <w:rFonts w:hAnsi="宋体"/>
        </w:rPr>
      </w:pPr>
      <w:r>
        <w:rPr>
          <w:rFonts w:hint="eastAsia" w:hAnsi="宋体"/>
        </w:rPr>
        <w:t>外部检查问题及整改情况。</w:t>
      </w:r>
    </w:p>
    <w:p w14:paraId="2AE79284">
      <w:pPr>
        <w:pStyle w:val="66"/>
        <w:numPr>
          <w:ilvl w:val="2"/>
          <w:numId w:val="2"/>
        </w:numPr>
        <w:ind w:left="0"/>
        <w:rPr>
          <w:rFonts w:hAnsi="宋体"/>
        </w:rPr>
      </w:pPr>
      <w:r>
        <w:rPr>
          <w:rFonts w:hint="eastAsia" w:hAnsi="宋体"/>
        </w:rPr>
        <w:t>海洋石油安全评价检测检验机构应按照AQ 8006-2026中5.1.4、5.1.5的要求建立和保持人员管理程序，并建立人员技术档案。</w:t>
      </w:r>
    </w:p>
    <w:p w14:paraId="1C0BE0A9">
      <w:pPr>
        <w:pStyle w:val="66"/>
        <w:numPr>
          <w:ilvl w:val="2"/>
          <w:numId w:val="2"/>
        </w:numPr>
        <w:ind w:left="0"/>
        <w:rPr>
          <w:rFonts w:hAnsi="宋体"/>
        </w:rPr>
      </w:pPr>
      <w:r>
        <w:rPr>
          <w:rFonts w:hint="eastAsia" w:hAnsi="宋体"/>
        </w:rPr>
        <w:t>涉及海洋石油安全评价检测检验活动的海洋石油安全评价检测检验机构专职技术人员不得同时在其他机构兼职。</w:t>
      </w:r>
    </w:p>
    <w:p w14:paraId="7B9B7D43">
      <w:pPr>
        <w:pStyle w:val="66"/>
        <w:numPr>
          <w:ilvl w:val="2"/>
          <w:numId w:val="2"/>
        </w:numPr>
        <w:ind w:left="0"/>
        <w:rPr>
          <w:rFonts w:hAnsi="宋体"/>
        </w:rPr>
      </w:pPr>
      <w:r>
        <w:rPr>
          <w:rFonts w:hint="eastAsia" w:hAnsi="宋体"/>
        </w:rPr>
        <w:t>海洋石油安全评价检测检验人员应每年参加安全评价检测检验技术和质量管理体系（过程控制体系）培训，培训学时不少于24学时，</w:t>
      </w:r>
      <w:r>
        <w:rPr>
          <w:rFonts w:hint="eastAsia" w:hAnsi="宋体" w:cs="宋体"/>
          <w:szCs w:val="21"/>
        </w:rPr>
        <w:t>其中，</w:t>
      </w:r>
      <w:r>
        <w:rPr>
          <w:rFonts w:hint="eastAsia" w:hAnsi="宋体" w:cs="宋体"/>
          <w:spacing w:val="-1"/>
          <w:szCs w:val="18"/>
        </w:rPr>
        <w:t>海洋平台结构</w:t>
      </w:r>
      <w:r>
        <w:rPr>
          <w:rFonts w:hint="eastAsia" w:hAnsi="宋体" w:cs="宋体"/>
        </w:rPr>
        <w:t>、</w:t>
      </w:r>
      <w:r>
        <w:rPr>
          <w:rFonts w:hint="eastAsia" w:hAnsi="宋体" w:cs="宋体"/>
          <w:spacing w:val="-2"/>
          <w:szCs w:val="18"/>
        </w:rPr>
        <w:t>单点系泊结构、救生艇、</w:t>
      </w:r>
      <w:r>
        <w:rPr>
          <w:rFonts w:hint="eastAsia" w:hAnsi="宋体" w:cs="宋体"/>
        </w:rPr>
        <w:t>救助艇、</w:t>
      </w:r>
      <w:r>
        <w:rPr>
          <w:rFonts w:hint="eastAsia" w:hAnsi="宋体" w:cs="宋体"/>
          <w:spacing w:val="-2"/>
          <w:szCs w:val="18"/>
        </w:rPr>
        <w:t>救生筏、</w:t>
      </w:r>
      <w:r>
        <w:rPr>
          <w:rFonts w:hint="eastAsia" w:hAnsi="宋体" w:cs="宋体"/>
          <w:szCs w:val="18"/>
        </w:rPr>
        <w:t>系物、被系物、</w:t>
      </w:r>
      <w:r>
        <w:rPr>
          <w:rFonts w:hint="eastAsia" w:hAnsi="宋体" w:cs="宋体"/>
          <w:spacing w:val="-2"/>
          <w:szCs w:val="18"/>
        </w:rPr>
        <w:t>载人吊篮等</w:t>
      </w:r>
      <w:r>
        <w:rPr>
          <w:rFonts w:hAnsi="宋体" w:cs="宋体"/>
          <w:spacing w:val="-2"/>
          <w:szCs w:val="18"/>
        </w:rPr>
        <w:t>8个中类</w:t>
      </w:r>
      <w:r>
        <w:rPr>
          <w:rFonts w:hint="eastAsia" w:hAnsi="宋体" w:cs="宋体"/>
          <w:szCs w:val="18"/>
        </w:rPr>
        <w:t>专业设备的检验人员</w:t>
      </w:r>
      <w:r>
        <w:rPr>
          <w:rFonts w:hint="eastAsia" w:hAnsi="宋体"/>
        </w:rPr>
        <w:t>以及</w:t>
      </w:r>
      <w:r>
        <w:rPr>
          <w:rFonts w:hint="eastAsia" w:hAnsi="宋体"/>
          <w:szCs w:val="21"/>
        </w:rPr>
        <w:t>交流电磁场检测人员年度</w:t>
      </w:r>
      <w:r>
        <w:rPr>
          <w:rFonts w:hint="eastAsia" w:hAnsi="宋体"/>
        </w:rPr>
        <w:t>检测检验技术</w:t>
      </w:r>
      <w:r>
        <w:rPr>
          <w:rFonts w:hint="eastAsia" w:hAnsi="宋体"/>
          <w:szCs w:val="21"/>
        </w:rPr>
        <w:t>培训应</w:t>
      </w:r>
      <w:r>
        <w:rPr>
          <w:rFonts w:hint="eastAsia" w:hAnsi="宋体"/>
        </w:rPr>
        <w:t>满足附录E中相应培训内容、考核方式的要求，且培训学时为16学时。</w:t>
      </w:r>
    </w:p>
    <w:p w14:paraId="1849C3E8">
      <w:pPr>
        <w:pStyle w:val="66"/>
        <w:widowControl w:val="0"/>
        <w:numPr>
          <w:ilvl w:val="2"/>
          <w:numId w:val="2"/>
        </w:numPr>
        <w:ind w:left="0"/>
        <w:rPr>
          <w:rFonts w:hAnsi="宋体"/>
        </w:rPr>
      </w:pPr>
      <w:r>
        <w:rPr>
          <w:rFonts w:hint="eastAsia" w:hAnsi="宋体"/>
        </w:rPr>
        <w:t>海洋石油安全评价检测检验</w:t>
      </w:r>
      <w:r>
        <w:rPr>
          <w:rFonts w:hint="eastAsia" w:hAnsi="宋体" w:cs="宋体"/>
          <w:szCs w:val="18"/>
        </w:rPr>
        <w:t>机构的下列人员</w:t>
      </w:r>
      <w:r>
        <w:rPr>
          <w:rFonts w:hint="eastAsia" w:hAnsi="宋体"/>
        </w:rPr>
        <w:t>应每5年经专门培训合格，培训应满足附录E的要求。</w:t>
      </w:r>
    </w:p>
    <w:p w14:paraId="55A8E4AB">
      <w:pPr>
        <w:pStyle w:val="107"/>
        <w:numPr>
          <w:ilvl w:val="0"/>
          <w:numId w:val="25"/>
        </w:numPr>
        <w:rPr>
          <w:rFonts w:hAnsi="宋体"/>
        </w:rPr>
      </w:pPr>
      <w:r>
        <w:rPr>
          <w:rFonts w:hint="eastAsia" w:hAnsi="宋体"/>
        </w:rPr>
        <w:t>海洋石油安全评价机构的专职技术人员；</w:t>
      </w:r>
    </w:p>
    <w:p w14:paraId="3C2086CF">
      <w:pPr>
        <w:pStyle w:val="107"/>
        <w:numPr>
          <w:ilvl w:val="0"/>
          <w:numId w:val="25"/>
        </w:numPr>
        <w:rPr>
          <w:rFonts w:hAnsi="宋体"/>
        </w:rPr>
      </w:pPr>
      <w:r>
        <w:rPr>
          <w:rFonts w:hint="eastAsia" w:hAnsi="宋体"/>
        </w:rPr>
        <w:t>海洋石油生产设施发证检验机构的专职检验人员；</w:t>
      </w:r>
    </w:p>
    <w:p w14:paraId="0354C1F9">
      <w:pPr>
        <w:pStyle w:val="107"/>
        <w:numPr>
          <w:ilvl w:val="0"/>
          <w:numId w:val="25"/>
        </w:numPr>
        <w:rPr>
          <w:rFonts w:hAnsi="宋体"/>
        </w:rPr>
      </w:pPr>
      <w:r>
        <w:rPr>
          <w:rFonts w:hint="eastAsia" w:hAnsi="宋体"/>
        </w:rPr>
        <w:t>海洋石油专业设备检测检验机构中</w:t>
      </w:r>
      <w:r>
        <w:rPr>
          <w:rFonts w:hint="eastAsia" w:hAnsi="宋体" w:cs="宋体"/>
          <w:spacing w:val="-1"/>
          <w:szCs w:val="18"/>
        </w:rPr>
        <w:t>海洋平台结构</w:t>
      </w:r>
      <w:r>
        <w:rPr>
          <w:rFonts w:hint="eastAsia" w:hAnsi="宋体"/>
        </w:rPr>
        <w:t>、</w:t>
      </w:r>
      <w:r>
        <w:rPr>
          <w:rFonts w:hint="eastAsia" w:hAnsi="宋体" w:cs="宋体"/>
          <w:spacing w:val="-2"/>
          <w:szCs w:val="18"/>
        </w:rPr>
        <w:t>单点系泊结构、救生艇、</w:t>
      </w:r>
      <w:r>
        <w:rPr>
          <w:rFonts w:hint="eastAsia" w:hAnsi="宋体"/>
        </w:rPr>
        <w:t>救助艇、</w:t>
      </w:r>
      <w:r>
        <w:rPr>
          <w:rFonts w:hint="eastAsia" w:hAnsi="宋体" w:cs="宋体"/>
          <w:spacing w:val="-2"/>
          <w:szCs w:val="18"/>
        </w:rPr>
        <w:t>救生筏、</w:t>
      </w:r>
      <w:r>
        <w:rPr>
          <w:rFonts w:hint="eastAsia" w:hAnsi="宋体" w:cs="宋体"/>
          <w:szCs w:val="18"/>
        </w:rPr>
        <w:t>系物、被系物、</w:t>
      </w:r>
      <w:r>
        <w:rPr>
          <w:rFonts w:hint="eastAsia" w:hAnsi="宋体" w:cs="宋体"/>
          <w:spacing w:val="-2"/>
          <w:szCs w:val="18"/>
        </w:rPr>
        <w:t>载人吊篮等8个中类</w:t>
      </w:r>
      <w:r>
        <w:rPr>
          <w:rFonts w:hint="eastAsia" w:hAnsi="宋体" w:cs="宋体"/>
          <w:szCs w:val="18"/>
        </w:rPr>
        <w:t>专业设备的检验人员；</w:t>
      </w:r>
    </w:p>
    <w:p w14:paraId="6A1B56D4">
      <w:pPr>
        <w:pStyle w:val="107"/>
        <w:numPr>
          <w:ilvl w:val="0"/>
          <w:numId w:val="25"/>
        </w:numPr>
        <w:rPr>
          <w:rFonts w:hAnsi="宋体"/>
        </w:rPr>
      </w:pPr>
      <w:r>
        <w:rPr>
          <w:rFonts w:hint="eastAsia" w:hAnsi="宋体"/>
        </w:rPr>
        <w:t>海洋石油专业设备检测检验机构的</w:t>
      </w:r>
      <w:r>
        <w:rPr>
          <w:rFonts w:hint="eastAsia" w:hAnsi="宋体"/>
          <w:szCs w:val="18"/>
        </w:rPr>
        <w:t>交流电磁场检测人员。</w:t>
      </w:r>
    </w:p>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14:paraId="3548E020">
      <w:pPr>
        <w:pStyle w:val="66"/>
        <w:widowControl w:val="0"/>
        <w:numPr>
          <w:ilvl w:val="2"/>
          <w:numId w:val="2"/>
        </w:numPr>
        <w:ind w:left="0"/>
        <w:rPr>
          <w:rFonts w:hAnsi="宋体"/>
        </w:rPr>
      </w:pPr>
      <w:r>
        <w:rPr>
          <w:rFonts w:hint="eastAsia" w:hAnsi="宋体"/>
        </w:rPr>
        <w:t>应用于海洋石油安全评价活动和发证检验活动的计算、分析及管理软件的更新应与行业整体水平保持一致，应用于海洋石油专业设备检测检验活动的检测检验仪器、设备应按要求定期进行检定、校准或核查。</w:t>
      </w:r>
    </w:p>
    <w:p w14:paraId="42BB14CE">
      <w:pPr>
        <w:pStyle w:val="66"/>
        <w:widowControl w:val="0"/>
        <w:numPr>
          <w:ilvl w:val="2"/>
          <w:numId w:val="2"/>
        </w:numPr>
        <w:ind w:left="0"/>
        <w:rPr>
          <w:rFonts w:hAnsi="宋体"/>
        </w:rPr>
      </w:pPr>
      <w:r>
        <w:rPr>
          <w:rFonts w:hint="eastAsia" w:hAnsi="宋体"/>
        </w:rPr>
        <w:t>海洋石油安全评价检测检验机构租借软件、仪器或设备开展安全评价检测检验活动时，应有合法的租借合同。对租借的软件、仪器或设备具有完全、独立的使用权和支配权，且租借期间不应与其他机构共用，租借软件、仪器或设备应由海洋石油安全评价检测检验机构人员操作、维护，并对使用环境和储存条件进行控制，海洋石油安全评价检测检验机构应具有此方面的规定并能够有效实施。</w:t>
      </w:r>
    </w:p>
    <w:p w14:paraId="04426B8E">
      <w:pPr>
        <w:pStyle w:val="66"/>
        <w:widowControl w:val="0"/>
        <w:numPr>
          <w:ilvl w:val="2"/>
          <w:numId w:val="2"/>
        </w:numPr>
        <w:ind w:left="0"/>
        <w:rPr>
          <w:rFonts w:hAnsi="宋体"/>
        </w:rPr>
      </w:pPr>
      <w:r>
        <w:rPr>
          <w:rFonts w:hint="eastAsia" w:hAnsi="宋体"/>
        </w:rPr>
        <w:t>海洋石油安全评价机构的安全现状评价存档文件应至少保存6年；海洋石油安全评价机构的安全预评价和安全验收评价存档文件以及生产设施发证检验机构的存档文件应至少保存至相关设施弃置后2年；海洋石油专业设备检测检验机构的存档文件应至少保存6年，且至少覆盖1个完整的定期检测检验周期。</w:t>
      </w:r>
    </w:p>
    <w:p w14:paraId="745E2C0D">
      <w:pPr>
        <w:pStyle w:val="66"/>
        <w:widowControl w:val="0"/>
        <w:numPr>
          <w:ilvl w:val="2"/>
          <w:numId w:val="2"/>
        </w:numPr>
        <w:ind w:left="0"/>
        <w:rPr>
          <w:rFonts w:hAnsi="宋体"/>
        </w:rPr>
      </w:pPr>
      <w:r>
        <w:rPr>
          <w:rFonts w:hint="eastAsia" w:hAnsi="宋体"/>
        </w:rPr>
        <w:t>专业设备检验人员应为海洋石油专业设备检测检验机构所属专职技术人员，专业设备检验工作应由上述人员完成。</w:t>
      </w:r>
    </w:p>
    <w:p w14:paraId="35B2E4B5">
      <w:pPr>
        <w:pStyle w:val="66"/>
        <w:widowControl w:val="0"/>
        <w:numPr>
          <w:ilvl w:val="2"/>
          <w:numId w:val="2"/>
        </w:numPr>
        <w:ind w:left="0"/>
        <w:rPr>
          <w:rFonts w:hAnsi="宋体"/>
        </w:rPr>
      </w:pPr>
      <w:r>
        <w:rPr>
          <w:rFonts w:hint="eastAsia" w:hAnsi="宋体"/>
        </w:rPr>
        <w:t>海洋石油专业设备检测检验机构</w:t>
      </w:r>
      <w:r>
        <w:rPr>
          <w:rFonts w:hint="eastAsia" w:hAnsi="宋体"/>
          <w:szCs w:val="21"/>
        </w:rPr>
        <w:t>雇用人员</w:t>
      </w:r>
      <w:r>
        <w:rPr>
          <w:rFonts w:hint="eastAsia" w:hAnsi="宋体"/>
        </w:rPr>
        <w:t>从事专业设备检测工作时，机构应确保</w:t>
      </w:r>
      <w:r>
        <w:rPr>
          <w:rFonts w:hint="eastAsia" w:hAnsi="宋体"/>
          <w:szCs w:val="21"/>
        </w:rPr>
        <w:t>雇用人员</w:t>
      </w:r>
      <w:r>
        <w:rPr>
          <w:rFonts w:hint="eastAsia" w:hAnsi="宋体"/>
        </w:rPr>
        <w:t>符合国家相关规定，上述人员应按照管理体系文件要求工作且受到监督，满足本文件4.2.3.9、4.2.3.10、表D.2规定的专业设备检测人员学历、工作经历、职业资格证书或能力认定证书等要求。</w:t>
      </w:r>
    </w:p>
    <w:p w14:paraId="1BDC08A9">
      <w:pPr>
        <w:pStyle w:val="66"/>
        <w:widowControl w:val="0"/>
        <w:numPr>
          <w:ilvl w:val="2"/>
          <w:numId w:val="2"/>
        </w:numPr>
        <w:ind w:left="0"/>
        <w:rPr>
          <w:rFonts w:hAnsi="宋体"/>
        </w:rPr>
      </w:pPr>
      <w:r>
        <w:rPr>
          <w:rFonts w:hint="eastAsia" w:hAnsi="宋体"/>
        </w:rPr>
        <w:t>所有可能影响专业设备检测检验活动的人员，无论是内部还是外部人员，应行为公正、有能力并按照海洋石油专业设备检测检验机构管理体系要求工作。海洋石油专业设备检测检验机构不应以影响检测检验结果的方式向涉及专业设备检测检验活动的人员支付薪酬。</w:t>
      </w:r>
    </w:p>
    <w:p w14:paraId="3704627D">
      <w:pPr>
        <w:pStyle w:val="66"/>
        <w:widowControl w:val="0"/>
        <w:numPr>
          <w:ilvl w:val="2"/>
          <w:numId w:val="2"/>
        </w:numPr>
        <w:ind w:left="0"/>
        <w:rPr>
          <w:rFonts w:hAnsi="宋体"/>
        </w:rPr>
      </w:pPr>
      <w:r>
        <w:rPr>
          <w:rFonts w:hint="eastAsia" w:hAnsi="宋体"/>
        </w:rPr>
        <w:t>作业者或承包者利用仪器或监测装置自主开展火灾和可燃气体探测报警及控制系统安全风险相关数据采集工作应满足以下条件：</w:t>
      </w:r>
    </w:p>
    <w:p w14:paraId="226EDAD5">
      <w:pPr>
        <w:pStyle w:val="107"/>
        <w:numPr>
          <w:ilvl w:val="0"/>
          <w:numId w:val="26"/>
        </w:numPr>
        <w:rPr>
          <w:rFonts w:hAnsi="宋体"/>
        </w:rPr>
      </w:pPr>
      <w:r>
        <w:rPr>
          <w:rFonts w:hint="eastAsia" w:hAnsi="宋体"/>
        </w:rPr>
        <w:t>对数据采集人员进行规范性培训考核；</w:t>
      </w:r>
    </w:p>
    <w:p w14:paraId="76B1AB8A">
      <w:pPr>
        <w:pStyle w:val="107"/>
        <w:numPr>
          <w:ilvl w:val="0"/>
          <w:numId w:val="26"/>
        </w:numPr>
        <w:rPr>
          <w:rFonts w:hAnsi="宋体"/>
        </w:rPr>
      </w:pPr>
      <w:r>
        <w:rPr>
          <w:rFonts w:hint="eastAsia" w:hAnsi="宋体"/>
        </w:rPr>
        <w:t>配置满足附录F要求的管理基础、人员、检测设备及标准物质、技术体系；</w:t>
      </w:r>
    </w:p>
    <w:p w14:paraId="54ED330C">
      <w:pPr>
        <w:pStyle w:val="107"/>
        <w:numPr>
          <w:ilvl w:val="0"/>
          <w:numId w:val="26"/>
        </w:numPr>
        <w:rPr>
          <w:rFonts w:hAnsi="宋体"/>
        </w:rPr>
      </w:pPr>
      <w:r>
        <w:rPr>
          <w:rFonts w:hint="eastAsia" w:hAnsi="宋体"/>
        </w:rPr>
        <w:t>建立标准化作业文件和针对性质量控制体系；</w:t>
      </w:r>
    </w:p>
    <w:p w14:paraId="76BA032C">
      <w:pPr>
        <w:pStyle w:val="107"/>
        <w:numPr>
          <w:ilvl w:val="0"/>
          <w:numId w:val="26"/>
        </w:numPr>
        <w:rPr>
          <w:rFonts w:hAnsi="宋体"/>
        </w:rPr>
      </w:pPr>
      <w:r>
        <w:rPr>
          <w:rFonts w:hint="eastAsia" w:hAnsi="宋体"/>
        </w:rPr>
        <w:t>数据采集记录经数据采集人员、审核人员、批准人员等三级签字，数据采集记录模板应符合附录G的要求。</w:t>
      </w:r>
    </w:p>
    <w:p w14:paraId="74463A85">
      <w:pPr>
        <w:pStyle w:val="66"/>
        <w:widowControl w:val="0"/>
        <w:numPr>
          <w:ilvl w:val="2"/>
          <w:numId w:val="2"/>
        </w:numPr>
        <w:ind w:left="0"/>
        <w:rPr>
          <w:rFonts w:hAnsi="宋体"/>
        </w:rPr>
      </w:pPr>
      <w:r>
        <w:rPr>
          <w:rFonts w:hint="eastAsia" w:hAnsi="宋体"/>
        </w:rPr>
        <w:t>作业者或承包者应将数据采集记录提交给专业设备检测检验机构，并对数据的真实性负责；专业设备检测检验机构对数据评估分析结果负责，综合评估后出具检测检验报告，其中数据采集记录应作为检测检验报告的附件。</w:t>
      </w:r>
    </w:p>
    <w:bookmarkEnd w:id="83"/>
    <w:p w14:paraId="7A391EBE">
      <w:pPr>
        <w:rPr>
          <w:rFonts w:ascii="宋体" w:hAnsi="宋体" w:cs="Times New Roman" w:eastAsiaTheme="majorEastAsia"/>
          <w:szCs w:val="21"/>
        </w:rPr>
      </w:pPr>
      <w:r>
        <w:rPr>
          <w:rFonts w:ascii="宋体" w:hAnsi="宋体" w:cs="Times New Roman" w:eastAsiaTheme="majorEastAsia"/>
          <w:szCs w:val="21"/>
        </w:rPr>
        <w:br w:type="page"/>
      </w:r>
    </w:p>
    <w:p w14:paraId="3BC63C96">
      <w:pPr>
        <w:pStyle w:val="90"/>
        <w:tabs>
          <w:tab w:val="left" w:pos="6406"/>
        </w:tabs>
        <w:spacing w:after="120"/>
        <w:ind w:left="0"/>
        <w:rPr>
          <w:rFonts w:ascii="宋体" w:hAnsi="宋体"/>
        </w:rPr>
      </w:pPr>
      <w:bookmarkStart w:id="105" w:name="_Toc27696"/>
      <w:bookmarkStart w:id="106" w:name="_Toc8413"/>
      <w:bookmarkStart w:id="107" w:name="_Toc6181"/>
      <w:r>
        <w:rPr>
          <w:rFonts w:ascii="宋体" w:hAnsi="宋体"/>
        </w:rPr>
        <w:br w:type="textWrapping"/>
      </w:r>
      <w:r>
        <w:rPr>
          <w:rFonts w:hint="eastAsia" w:ascii="宋体" w:hAnsi="宋体"/>
        </w:rPr>
        <w:t>（规范性）</w:t>
      </w:r>
      <w:r>
        <w:rPr>
          <w:rFonts w:ascii="宋体" w:hAnsi="宋体"/>
        </w:rPr>
        <w:br w:type="textWrapping"/>
      </w:r>
      <w:bookmarkStart w:id="108" w:name="_Toc21441"/>
      <w:bookmarkStart w:id="109" w:name="_Toc14403"/>
      <w:bookmarkStart w:id="110" w:name="_Toc15034"/>
      <w:bookmarkStart w:id="111" w:name="_Toc15577"/>
      <w:r>
        <w:rPr>
          <w:rFonts w:hint="eastAsia" w:ascii="宋体" w:hAnsi="宋体" w:cs="黑体"/>
        </w:rPr>
        <w:t>海洋石油安全评价检测检验机构专业软件、设备配置条件</w:t>
      </w:r>
      <w:bookmarkEnd w:id="105"/>
      <w:bookmarkEnd w:id="106"/>
      <w:bookmarkEnd w:id="107"/>
      <w:bookmarkEnd w:id="108"/>
      <w:bookmarkEnd w:id="109"/>
      <w:bookmarkEnd w:id="110"/>
      <w:bookmarkEnd w:id="111"/>
    </w:p>
    <w:p w14:paraId="0DB81B4D">
      <w:pPr>
        <w:pStyle w:val="43"/>
        <w:ind w:firstLine="420"/>
        <w:rPr>
          <w:rFonts w:hAnsi="宋体"/>
        </w:rPr>
      </w:pPr>
      <w:bookmarkStart w:id="112" w:name="_Hlk219321712"/>
      <w:r>
        <w:rPr>
          <w:rFonts w:hint="eastAsia" w:hAnsi="宋体"/>
        </w:rPr>
        <w:t>海洋石油</w:t>
      </w:r>
      <w:bookmarkEnd w:id="112"/>
      <w:r>
        <w:rPr>
          <w:rFonts w:hint="eastAsia" w:hAnsi="宋体"/>
        </w:rPr>
        <w:t>安全评价机构专业软件的配置应不低于表A.1的要求；海洋石油生产设施发证检验机构专业软件的配置应不低于表A.2的要求；海洋石油专业设备检测检验机构应为涉及的业务配置对应的检测检验设备，其设备配置应不低于表A.3的要求。</w:t>
      </w:r>
    </w:p>
    <w:p w14:paraId="03AD4AAC">
      <w:pPr>
        <w:pStyle w:val="108"/>
        <w:numPr>
          <w:ilvl w:val="1"/>
          <w:numId w:val="0"/>
        </w:numPr>
        <w:spacing w:before="120" w:after="120"/>
        <w:rPr>
          <w:rFonts w:ascii="宋体" w:hAnsi="宋体"/>
        </w:rPr>
      </w:pPr>
      <w:r>
        <w:rPr>
          <w:rFonts w:hint="eastAsia" w:ascii="宋体" w:hAnsi="宋体"/>
        </w:rPr>
        <w:t>表A.1海洋石油安全评价机构专业软件配置条件</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4667"/>
        <w:gridCol w:w="4667"/>
      </w:tblGrid>
      <w:tr w14:paraId="147F6F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4667" w:type="dxa"/>
            <w:tcBorders>
              <w:top w:val="single" w:color="auto" w:sz="8" w:space="0"/>
              <w:bottom w:val="single" w:color="auto" w:sz="8" w:space="0"/>
            </w:tcBorders>
            <w:vAlign w:val="center"/>
          </w:tcPr>
          <w:p w14:paraId="5657B587">
            <w:pPr>
              <w:pStyle w:val="110"/>
              <w:widowControl w:val="0"/>
              <w:rPr>
                <w:rFonts w:hAnsi="宋体"/>
              </w:rPr>
            </w:pPr>
            <w:r>
              <w:rPr>
                <w:rFonts w:hint="eastAsia" w:hAnsi="宋体" w:cs="宋体"/>
                <w:szCs w:val="18"/>
              </w:rPr>
              <w:t>专业软件</w:t>
            </w:r>
          </w:p>
        </w:tc>
        <w:tc>
          <w:tcPr>
            <w:tcW w:w="4667" w:type="dxa"/>
            <w:tcBorders>
              <w:top w:val="single" w:color="auto" w:sz="8" w:space="0"/>
              <w:bottom w:val="single" w:color="auto" w:sz="8" w:space="0"/>
            </w:tcBorders>
            <w:vAlign w:val="center"/>
          </w:tcPr>
          <w:p w14:paraId="5A3ECFB9">
            <w:pPr>
              <w:pStyle w:val="110"/>
              <w:widowControl w:val="0"/>
              <w:rPr>
                <w:rFonts w:hAnsi="宋体"/>
              </w:rPr>
            </w:pPr>
            <w:r>
              <w:rPr>
                <w:rFonts w:hint="eastAsia" w:hAnsi="宋体" w:cs="宋体"/>
                <w:szCs w:val="18"/>
              </w:rPr>
              <w:t>数量</w:t>
            </w:r>
          </w:p>
        </w:tc>
      </w:tr>
      <w:tr w14:paraId="3428DF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667" w:type="dxa"/>
            <w:tcBorders>
              <w:top w:val="single" w:color="auto" w:sz="8" w:space="0"/>
            </w:tcBorders>
            <w:vAlign w:val="center"/>
          </w:tcPr>
          <w:p w14:paraId="79FC85B7">
            <w:pPr>
              <w:pStyle w:val="110"/>
              <w:widowControl w:val="0"/>
              <w:rPr>
                <w:rFonts w:hAnsi="宋体"/>
              </w:rPr>
            </w:pPr>
            <w:r>
              <w:rPr>
                <w:rFonts w:hint="eastAsia" w:hAnsi="宋体" w:cs="宋体"/>
                <w:szCs w:val="18"/>
              </w:rPr>
              <w:t>火灾爆炸扩散定量风险评估软件</w:t>
            </w:r>
          </w:p>
        </w:tc>
        <w:tc>
          <w:tcPr>
            <w:tcW w:w="4667" w:type="dxa"/>
            <w:tcBorders>
              <w:top w:val="single" w:color="auto" w:sz="8" w:space="0"/>
            </w:tcBorders>
            <w:vAlign w:val="center"/>
          </w:tcPr>
          <w:p w14:paraId="7DC9810B">
            <w:pPr>
              <w:pStyle w:val="110"/>
              <w:widowControl w:val="0"/>
              <w:rPr>
                <w:rFonts w:hAnsi="宋体"/>
              </w:rPr>
            </w:pPr>
            <w:r>
              <w:rPr>
                <w:rFonts w:hint="eastAsia" w:hAnsi="宋体" w:cs="宋体"/>
                <w:szCs w:val="18"/>
              </w:rPr>
              <w:t>1套</w:t>
            </w:r>
          </w:p>
        </w:tc>
      </w:tr>
      <w:tr w14:paraId="659A5A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667" w:type="dxa"/>
            <w:vAlign w:val="center"/>
          </w:tcPr>
          <w:p w14:paraId="553EC91F">
            <w:pPr>
              <w:pStyle w:val="110"/>
              <w:widowControl w:val="0"/>
              <w:rPr>
                <w:rFonts w:hAnsi="宋体"/>
              </w:rPr>
            </w:pPr>
            <w:r>
              <w:rPr>
                <w:rFonts w:hint="eastAsia" w:hAnsi="宋体" w:cs="宋体"/>
                <w:szCs w:val="18"/>
              </w:rPr>
              <w:t>流体仿真软件</w:t>
            </w:r>
          </w:p>
        </w:tc>
        <w:tc>
          <w:tcPr>
            <w:tcW w:w="4667" w:type="dxa"/>
            <w:vAlign w:val="center"/>
          </w:tcPr>
          <w:p w14:paraId="1F7AEB3F">
            <w:pPr>
              <w:pStyle w:val="110"/>
              <w:widowControl w:val="0"/>
              <w:rPr>
                <w:rFonts w:hAnsi="宋体"/>
              </w:rPr>
            </w:pPr>
            <w:r>
              <w:rPr>
                <w:rFonts w:hint="eastAsia" w:hAnsi="宋体" w:cs="宋体"/>
                <w:szCs w:val="18"/>
              </w:rPr>
              <w:t>1套</w:t>
            </w:r>
          </w:p>
        </w:tc>
      </w:tr>
    </w:tbl>
    <w:p w14:paraId="2D235BCE">
      <w:pPr>
        <w:pStyle w:val="108"/>
        <w:numPr>
          <w:ilvl w:val="1"/>
          <w:numId w:val="0"/>
        </w:numPr>
        <w:spacing w:before="120" w:after="120"/>
        <w:rPr>
          <w:rFonts w:ascii="宋体" w:hAnsi="宋体"/>
        </w:rPr>
      </w:pPr>
      <w:r>
        <w:rPr>
          <w:rFonts w:hint="eastAsia" w:ascii="宋体" w:hAnsi="宋体"/>
        </w:rPr>
        <w:t>表A.2海洋石油</w:t>
      </w:r>
      <w:r>
        <w:rPr>
          <w:rFonts w:hint="eastAsia" w:hAnsi="宋体"/>
        </w:rPr>
        <w:t>生产设施</w:t>
      </w:r>
      <w:r>
        <w:rPr>
          <w:rFonts w:hint="eastAsia" w:ascii="宋体" w:hAnsi="宋体"/>
        </w:rPr>
        <w:t>发证检验机构专业软件配置条件</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4667"/>
        <w:gridCol w:w="4667"/>
      </w:tblGrid>
      <w:tr w14:paraId="135E91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4667" w:type="dxa"/>
            <w:tcBorders>
              <w:top w:val="single" w:color="auto" w:sz="8" w:space="0"/>
              <w:bottom w:val="single" w:color="auto" w:sz="8" w:space="0"/>
            </w:tcBorders>
            <w:vAlign w:val="center"/>
          </w:tcPr>
          <w:p w14:paraId="04301032">
            <w:pPr>
              <w:pStyle w:val="110"/>
              <w:widowControl w:val="0"/>
              <w:rPr>
                <w:rFonts w:hAnsi="宋体"/>
              </w:rPr>
            </w:pPr>
            <w:r>
              <w:rPr>
                <w:rFonts w:hint="eastAsia" w:hAnsi="宋体" w:cs="宋体"/>
                <w:szCs w:val="18"/>
              </w:rPr>
              <w:t>专业软件</w:t>
            </w:r>
          </w:p>
        </w:tc>
        <w:tc>
          <w:tcPr>
            <w:tcW w:w="4667" w:type="dxa"/>
            <w:tcBorders>
              <w:top w:val="single" w:color="auto" w:sz="8" w:space="0"/>
              <w:bottom w:val="single" w:color="auto" w:sz="8" w:space="0"/>
            </w:tcBorders>
            <w:vAlign w:val="center"/>
          </w:tcPr>
          <w:p w14:paraId="07B764C4">
            <w:pPr>
              <w:pStyle w:val="110"/>
              <w:widowControl w:val="0"/>
              <w:rPr>
                <w:rFonts w:hAnsi="宋体"/>
              </w:rPr>
            </w:pPr>
            <w:r>
              <w:rPr>
                <w:rFonts w:hint="eastAsia" w:hAnsi="宋体" w:cs="宋体"/>
                <w:szCs w:val="18"/>
              </w:rPr>
              <w:t>数量</w:t>
            </w:r>
          </w:p>
        </w:tc>
      </w:tr>
      <w:tr w14:paraId="543309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667" w:type="dxa"/>
            <w:tcBorders>
              <w:top w:val="single" w:color="auto" w:sz="8" w:space="0"/>
            </w:tcBorders>
            <w:vAlign w:val="center"/>
          </w:tcPr>
          <w:p w14:paraId="40A133BB">
            <w:pPr>
              <w:pStyle w:val="110"/>
              <w:widowControl w:val="0"/>
              <w:rPr>
                <w:rFonts w:hAnsi="宋体"/>
              </w:rPr>
            </w:pPr>
            <w:r>
              <w:rPr>
                <w:rFonts w:hint="eastAsia" w:hAnsi="宋体"/>
                <w:szCs w:val="18"/>
              </w:rPr>
              <w:t>结构计算校核软件</w:t>
            </w:r>
          </w:p>
        </w:tc>
        <w:tc>
          <w:tcPr>
            <w:tcW w:w="4667" w:type="dxa"/>
            <w:tcBorders>
              <w:top w:val="single" w:color="auto" w:sz="8" w:space="0"/>
            </w:tcBorders>
            <w:vAlign w:val="center"/>
          </w:tcPr>
          <w:p w14:paraId="16715839">
            <w:pPr>
              <w:pStyle w:val="110"/>
              <w:widowControl w:val="0"/>
              <w:rPr>
                <w:rFonts w:hAnsi="宋体"/>
              </w:rPr>
            </w:pPr>
            <w:r>
              <w:rPr>
                <w:rFonts w:hint="eastAsia" w:hAnsi="宋体" w:cs="宋体"/>
                <w:szCs w:val="18"/>
              </w:rPr>
              <w:t>1套</w:t>
            </w:r>
          </w:p>
        </w:tc>
      </w:tr>
      <w:tr w14:paraId="27C86B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667" w:type="dxa"/>
            <w:vAlign w:val="center"/>
          </w:tcPr>
          <w:p w14:paraId="766E7669">
            <w:pPr>
              <w:pStyle w:val="110"/>
              <w:widowControl w:val="0"/>
              <w:rPr>
                <w:rFonts w:hAnsi="宋体"/>
              </w:rPr>
            </w:pPr>
            <w:r>
              <w:rPr>
                <w:rFonts w:hint="eastAsia" w:hAnsi="宋体"/>
                <w:szCs w:val="18"/>
              </w:rPr>
              <w:t>水动力分析软件</w:t>
            </w:r>
          </w:p>
        </w:tc>
        <w:tc>
          <w:tcPr>
            <w:tcW w:w="4667" w:type="dxa"/>
            <w:vAlign w:val="center"/>
          </w:tcPr>
          <w:p w14:paraId="7B874508">
            <w:pPr>
              <w:pStyle w:val="110"/>
              <w:widowControl w:val="0"/>
              <w:rPr>
                <w:rFonts w:hAnsi="宋体"/>
              </w:rPr>
            </w:pPr>
            <w:r>
              <w:rPr>
                <w:rFonts w:hint="eastAsia" w:hAnsi="宋体" w:cs="宋体"/>
                <w:szCs w:val="18"/>
              </w:rPr>
              <w:t>1套</w:t>
            </w:r>
          </w:p>
        </w:tc>
      </w:tr>
      <w:tr w14:paraId="09AE00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667" w:type="dxa"/>
            <w:vAlign w:val="center"/>
          </w:tcPr>
          <w:p w14:paraId="428216C9">
            <w:pPr>
              <w:pStyle w:val="110"/>
              <w:widowControl w:val="0"/>
              <w:rPr>
                <w:rFonts w:hAnsi="宋体"/>
              </w:rPr>
            </w:pPr>
            <w:r>
              <w:rPr>
                <w:rFonts w:hint="eastAsia" w:hAnsi="宋体"/>
                <w:szCs w:val="18"/>
              </w:rPr>
              <w:t>稳性分析软件</w:t>
            </w:r>
          </w:p>
        </w:tc>
        <w:tc>
          <w:tcPr>
            <w:tcW w:w="4667" w:type="dxa"/>
            <w:vAlign w:val="center"/>
          </w:tcPr>
          <w:p w14:paraId="4898EE6B">
            <w:pPr>
              <w:pStyle w:val="110"/>
              <w:widowControl w:val="0"/>
              <w:rPr>
                <w:rFonts w:hAnsi="宋体"/>
              </w:rPr>
            </w:pPr>
            <w:r>
              <w:rPr>
                <w:rFonts w:hint="eastAsia" w:hAnsi="宋体" w:cs="宋体"/>
                <w:szCs w:val="18"/>
              </w:rPr>
              <w:t>1套</w:t>
            </w:r>
          </w:p>
        </w:tc>
      </w:tr>
      <w:tr w14:paraId="05D371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4667" w:type="dxa"/>
            <w:vAlign w:val="center"/>
          </w:tcPr>
          <w:p w14:paraId="32196F2C">
            <w:pPr>
              <w:pStyle w:val="110"/>
              <w:widowControl w:val="0"/>
              <w:rPr>
                <w:rFonts w:hAnsi="宋体"/>
              </w:rPr>
            </w:pPr>
            <w:r>
              <w:rPr>
                <w:rFonts w:hint="eastAsia" w:hAnsi="宋体"/>
                <w:szCs w:val="18"/>
              </w:rPr>
              <w:t>系泊/立管运动分析软件</w:t>
            </w:r>
          </w:p>
        </w:tc>
        <w:tc>
          <w:tcPr>
            <w:tcW w:w="4667" w:type="dxa"/>
            <w:vAlign w:val="center"/>
          </w:tcPr>
          <w:p w14:paraId="547EBC32">
            <w:pPr>
              <w:pStyle w:val="110"/>
              <w:widowControl w:val="0"/>
              <w:rPr>
                <w:rFonts w:hAnsi="宋体"/>
              </w:rPr>
            </w:pPr>
            <w:r>
              <w:rPr>
                <w:rFonts w:hint="eastAsia" w:hAnsi="宋体" w:cs="宋体"/>
                <w:szCs w:val="18"/>
              </w:rPr>
              <w:t>1套</w:t>
            </w:r>
          </w:p>
        </w:tc>
      </w:tr>
      <w:tr w14:paraId="133F12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334" w:type="dxa"/>
            <w:gridSpan w:val="2"/>
            <w:tcBorders>
              <w:top w:val="single" w:color="auto" w:sz="8" w:space="0"/>
              <w:bottom w:val="single" w:color="auto" w:sz="8" w:space="0"/>
            </w:tcBorders>
            <w:vAlign w:val="center"/>
          </w:tcPr>
          <w:p w14:paraId="34C69BA7">
            <w:pPr>
              <w:pStyle w:val="111"/>
              <w:numPr>
                <w:ilvl w:val="0"/>
                <w:numId w:val="8"/>
              </w:numPr>
              <w:ind w:left="737" w:hanging="374"/>
              <w:rPr>
                <w:rFonts w:hAnsi="宋体"/>
              </w:rPr>
            </w:pPr>
            <w:r>
              <w:rPr>
                <w:rFonts w:hint="eastAsia" w:hAnsi="宋体"/>
              </w:rPr>
              <w:t>水动力分析软件、稳性分析软件、系泊/立管运动分析软件仅适用于从事单点系泊和浮式生产储油装置检验业务的海洋石油生产设施发证检验机构。</w:t>
            </w:r>
          </w:p>
        </w:tc>
      </w:tr>
    </w:tbl>
    <w:p w14:paraId="4F5D73C8">
      <w:pPr>
        <w:pStyle w:val="108"/>
        <w:numPr>
          <w:ilvl w:val="1"/>
          <w:numId w:val="0"/>
        </w:numPr>
        <w:spacing w:before="120" w:after="120"/>
        <w:rPr>
          <w:rFonts w:ascii="宋体" w:hAnsi="宋体"/>
        </w:rPr>
      </w:pPr>
      <w:r>
        <w:rPr>
          <w:rFonts w:hint="eastAsia" w:ascii="宋体" w:hAnsi="宋体"/>
        </w:rPr>
        <w:t>表A.3海洋石油专业设备检测检验机构设备配置条件</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400"/>
        <w:gridCol w:w="2835"/>
        <w:gridCol w:w="4099"/>
      </w:tblGrid>
      <w:tr w14:paraId="194A9F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400" w:type="dxa"/>
            <w:tcBorders>
              <w:top w:val="single" w:color="auto" w:sz="8" w:space="0"/>
              <w:bottom w:val="single" w:color="auto" w:sz="8" w:space="0"/>
            </w:tcBorders>
            <w:vAlign w:val="center"/>
          </w:tcPr>
          <w:p w14:paraId="37EB279E">
            <w:pPr>
              <w:pStyle w:val="110"/>
              <w:widowControl w:val="0"/>
              <w:rPr>
                <w:rFonts w:hAnsi="宋体"/>
              </w:rPr>
            </w:pPr>
            <w:r>
              <w:rPr>
                <w:rFonts w:hint="eastAsia" w:hAnsi="宋体" w:cs="宋体"/>
                <w:szCs w:val="18"/>
              </w:rPr>
              <w:t>大类专业设备</w:t>
            </w:r>
          </w:p>
        </w:tc>
        <w:tc>
          <w:tcPr>
            <w:tcW w:w="2835" w:type="dxa"/>
            <w:tcBorders>
              <w:top w:val="single" w:color="auto" w:sz="8" w:space="0"/>
              <w:bottom w:val="single" w:color="auto" w:sz="8" w:space="0"/>
            </w:tcBorders>
            <w:vAlign w:val="center"/>
          </w:tcPr>
          <w:p w14:paraId="7B7D9015">
            <w:pPr>
              <w:pStyle w:val="110"/>
              <w:widowControl w:val="0"/>
              <w:rPr>
                <w:rFonts w:hAnsi="宋体"/>
              </w:rPr>
            </w:pPr>
            <w:r>
              <w:rPr>
                <w:rFonts w:hint="eastAsia" w:hAnsi="宋体" w:cs="宋体"/>
                <w:szCs w:val="18"/>
              </w:rPr>
              <w:t>中类专业设备</w:t>
            </w:r>
          </w:p>
        </w:tc>
        <w:tc>
          <w:tcPr>
            <w:tcW w:w="4099" w:type="dxa"/>
            <w:tcBorders>
              <w:top w:val="single" w:color="auto" w:sz="8" w:space="0"/>
              <w:bottom w:val="single" w:color="auto" w:sz="8" w:space="0"/>
            </w:tcBorders>
            <w:vAlign w:val="center"/>
          </w:tcPr>
          <w:p w14:paraId="083B555A">
            <w:pPr>
              <w:pStyle w:val="110"/>
              <w:widowControl w:val="0"/>
              <w:rPr>
                <w:rFonts w:hAnsi="宋体"/>
              </w:rPr>
            </w:pPr>
            <w:r>
              <w:rPr>
                <w:rFonts w:hint="eastAsia" w:hAnsi="宋体" w:cs="宋体"/>
                <w:szCs w:val="18"/>
              </w:rPr>
              <w:t>检测检验设备配置</w:t>
            </w:r>
          </w:p>
        </w:tc>
      </w:tr>
      <w:tr w14:paraId="1ED460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tcBorders>
              <w:top w:val="single" w:color="auto" w:sz="8" w:space="0"/>
            </w:tcBorders>
            <w:vAlign w:val="center"/>
          </w:tcPr>
          <w:p w14:paraId="36E9660F">
            <w:pPr>
              <w:pStyle w:val="110"/>
              <w:widowControl w:val="0"/>
              <w:rPr>
                <w:rFonts w:hAnsi="宋体"/>
              </w:rPr>
            </w:pPr>
            <w:r>
              <w:rPr>
                <w:rFonts w:hint="eastAsia" w:hAnsi="宋体" w:cs="宋体"/>
                <w:szCs w:val="18"/>
              </w:rPr>
              <w:t>海上结构</w:t>
            </w:r>
          </w:p>
        </w:tc>
        <w:tc>
          <w:tcPr>
            <w:tcW w:w="2835" w:type="dxa"/>
            <w:tcBorders>
              <w:top w:val="single" w:color="auto" w:sz="8" w:space="0"/>
            </w:tcBorders>
            <w:vAlign w:val="center"/>
          </w:tcPr>
          <w:p w14:paraId="6072D9F9">
            <w:pPr>
              <w:pStyle w:val="110"/>
              <w:widowControl w:val="0"/>
              <w:rPr>
                <w:rFonts w:hAnsi="宋体"/>
              </w:rPr>
            </w:pPr>
            <w:r>
              <w:rPr>
                <w:rFonts w:hint="eastAsia" w:hAnsi="宋体" w:cs="宋体"/>
                <w:spacing w:val="-1"/>
                <w:szCs w:val="18"/>
              </w:rPr>
              <w:t>海洋平台结构</w:t>
            </w:r>
          </w:p>
        </w:tc>
        <w:tc>
          <w:tcPr>
            <w:tcW w:w="4099" w:type="dxa"/>
            <w:tcBorders>
              <w:top w:val="single" w:color="auto" w:sz="8" w:space="0"/>
            </w:tcBorders>
            <w:vAlign w:val="center"/>
          </w:tcPr>
          <w:p w14:paraId="3EEE9831">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交流电磁场检测仪2台</w:t>
            </w:r>
          </w:p>
          <w:p w14:paraId="73841F43">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3A5F6848">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超声检测仪2台</w:t>
            </w:r>
          </w:p>
          <w:p w14:paraId="476C6542">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磁粉检测仪2台</w:t>
            </w:r>
          </w:p>
          <w:p w14:paraId="564E877D">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水下电位仪2台</w:t>
            </w:r>
          </w:p>
          <w:p w14:paraId="7A8BF245">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水下测厚仪2台</w:t>
            </w:r>
          </w:p>
          <w:p w14:paraId="320A3E0E">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水下磁粉检测仪2台</w:t>
            </w:r>
          </w:p>
          <w:p w14:paraId="3DA5D6A1">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潜水设备2组</w:t>
            </w:r>
            <w:r>
              <w:rPr>
                <w:rFonts w:hint="eastAsia" w:ascii="宋体" w:hAnsi="宋体" w:cs="宋体"/>
                <w:sz w:val="18"/>
                <w:szCs w:val="18"/>
                <w:vertAlign w:val="superscript"/>
              </w:rPr>
              <w:t>a</w:t>
            </w:r>
            <w:r>
              <w:rPr>
                <w:rFonts w:hint="eastAsia" w:ascii="宋体" w:hAnsi="宋体" w:eastAsia="宋体" w:cs="宋体"/>
                <w:sz w:val="18"/>
                <w:szCs w:val="18"/>
              </w:rPr>
              <w:t>或作业级遥控潜水器2台</w:t>
            </w:r>
            <w:r>
              <w:rPr>
                <w:rFonts w:ascii="Times New Roman" w:hAnsi="Times New Roman" w:eastAsia="宋体" w:cs="Times New Roman"/>
                <w:color w:val="333333"/>
                <w:sz w:val="14"/>
                <w:szCs w:val="14"/>
                <w:shd w:val="clear" w:color="auto" w:fill="FFFFFF"/>
              </w:rPr>
              <w:t>‌</w:t>
            </w:r>
          </w:p>
        </w:tc>
      </w:tr>
      <w:tr w14:paraId="41467C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2DF5FF7E">
            <w:pPr>
              <w:pStyle w:val="110"/>
              <w:widowControl w:val="0"/>
              <w:rPr>
                <w:rFonts w:hAnsi="宋体"/>
              </w:rPr>
            </w:pPr>
          </w:p>
        </w:tc>
        <w:tc>
          <w:tcPr>
            <w:tcW w:w="2835" w:type="dxa"/>
            <w:vAlign w:val="center"/>
          </w:tcPr>
          <w:p w14:paraId="2363DCE9">
            <w:pPr>
              <w:pStyle w:val="110"/>
              <w:widowControl w:val="0"/>
              <w:rPr>
                <w:rFonts w:hAnsi="宋体"/>
              </w:rPr>
            </w:pPr>
            <w:r>
              <w:rPr>
                <w:rFonts w:hint="eastAsia" w:hAnsi="宋体" w:cs="宋体"/>
                <w:spacing w:val="-2"/>
                <w:szCs w:val="18"/>
              </w:rPr>
              <w:t>单点系泊结构</w:t>
            </w:r>
          </w:p>
        </w:tc>
        <w:tc>
          <w:tcPr>
            <w:tcW w:w="4099" w:type="dxa"/>
            <w:vAlign w:val="center"/>
          </w:tcPr>
          <w:p w14:paraId="676311A9">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交流电磁场检测仪2台</w:t>
            </w:r>
          </w:p>
          <w:p w14:paraId="32AC4EEA">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5DECAE8F">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超声检测仪2台</w:t>
            </w:r>
          </w:p>
          <w:p w14:paraId="19EB77D0">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磁粉检测仪2台</w:t>
            </w:r>
          </w:p>
          <w:p w14:paraId="6AA144D6">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水下电位仪2台</w:t>
            </w:r>
          </w:p>
          <w:p w14:paraId="7EAF9B38">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水下测厚仪2台</w:t>
            </w:r>
          </w:p>
          <w:p w14:paraId="65CEEDD1">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水下磁粉检测仪2台</w:t>
            </w:r>
          </w:p>
          <w:p w14:paraId="058B1A8F">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潜水设备2组或作业级遥控潜水器2台</w:t>
            </w:r>
          </w:p>
        </w:tc>
      </w:tr>
      <w:tr w14:paraId="3827BC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Align w:val="center"/>
          </w:tcPr>
          <w:p w14:paraId="3E47F6D2">
            <w:pPr>
              <w:pStyle w:val="110"/>
              <w:widowControl w:val="0"/>
              <w:rPr>
                <w:rFonts w:hAnsi="宋体"/>
              </w:rPr>
            </w:pPr>
            <w:r>
              <w:rPr>
                <w:rFonts w:hint="eastAsia" w:hAnsi="宋体" w:cs="宋体"/>
                <w:spacing w:val="-3"/>
                <w:szCs w:val="18"/>
              </w:rPr>
              <w:t>采油设备</w:t>
            </w:r>
          </w:p>
        </w:tc>
        <w:tc>
          <w:tcPr>
            <w:tcW w:w="2835" w:type="dxa"/>
            <w:vAlign w:val="center"/>
          </w:tcPr>
          <w:p w14:paraId="56E583DE">
            <w:pPr>
              <w:pStyle w:val="110"/>
              <w:widowControl w:val="0"/>
              <w:rPr>
                <w:rFonts w:hAnsi="宋体"/>
              </w:rPr>
            </w:pPr>
            <w:r>
              <w:rPr>
                <w:rFonts w:hint="eastAsia" w:hAnsi="宋体" w:cs="宋体"/>
                <w:spacing w:val="-3"/>
                <w:szCs w:val="18"/>
              </w:rPr>
              <w:t>采油（气）树</w:t>
            </w:r>
          </w:p>
        </w:tc>
        <w:tc>
          <w:tcPr>
            <w:tcW w:w="4099" w:type="dxa"/>
            <w:vAlign w:val="center"/>
          </w:tcPr>
          <w:p w14:paraId="42405426">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48FA5314">
            <w:pPr>
              <w:widowControl/>
              <w:kinsoku w:val="0"/>
              <w:autoSpaceDE w:val="0"/>
              <w:autoSpaceDN w:val="0"/>
              <w:snapToGrid w:val="0"/>
              <w:ind w:left="111" w:right="106"/>
              <w:jc w:val="left"/>
              <w:textAlignment w:val="baseline"/>
              <w:rPr>
                <w:rFonts w:ascii="宋体" w:hAnsi="宋体" w:cs="宋体"/>
                <w:sz w:val="18"/>
                <w:szCs w:val="18"/>
              </w:rPr>
            </w:pPr>
            <w:r>
              <w:rPr>
                <w:rFonts w:ascii="Times New Roman" w:hAnsi="Times New Roman" w:eastAsia="宋体" w:cs="Times New Roman"/>
                <w:sz w:val="18"/>
                <w:szCs w:val="18"/>
              </w:rPr>
              <w:t>‌</w:t>
            </w:r>
            <w:r>
              <w:rPr>
                <w:rFonts w:hint="eastAsia" w:ascii="宋体" w:hAnsi="宋体" w:eastAsia="宋体" w:cs="宋体"/>
                <w:sz w:val="18"/>
                <w:szCs w:val="18"/>
              </w:rPr>
              <w:t>超声检测仪2台</w:t>
            </w:r>
          </w:p>
          <w:p w14:paraId="419E5425">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磁粉检测仪2台</w:t>
            </w:r>
            <w:r>
              <w:rPr>
                <w:rFonts w:ascii="Times New Roman" w:hAnsi="Times New Roman" w:eastAsia="宋体" w:cs="Times New Roman"/>
                <w:sz w:val="18"/>
                <w:szCs w:val="18"/>
              </w:rPr>
              <w:t>‌</w:t>
            </w:r>
          </w:p>
        </w:tc>
      </w:tr>
      <w:tr w14:paraId="7D878D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tcBorders>
              <w:bottom w:val="single" w:color="auto" w:sz="8" w:space="0"/>
            </w:tcBorders>
            <w:vAlign w:val="center"/>
          </w:tcPr>
          <w:p w14:paraId="3048899A">
            <w:pPr>
              <w:pStyle w:val="110"/>
              <w:widowControl w:val="0"/>
              <w:rPr>
                <w:rFonts w:hAnsi="宋体"/>
              </w:rPr>
            </w:pPr>
            <w:r>
              <w:rPr>
                <w:rFonts w:hint="eastAsia" w:hAnsi="宋体" w:cs="宋体"/>
                <w:spacing w:val="-2"/>
                <w:szCs w:val="18"/>
              </w:rPr>
              <w:t>海上锅炉和压力容器</w:t>
            </w:r>
          </w:p>
        </w:tc>
        <w:tc>
          <w:tcPr>
            <w:tcW w:w="2835" w:type="dxa"/>
            <w:tcBorders>
              <w:bottom w:val="single" w:color="auto" w:sz="8" w:space="0"/>
            </w:tcBorders>
            <w:vAlign w:val="center"/>
          </w:tcPr>
          <w:p w14:paraId="012F34F0">
            <w:pPr>
              <w:pStyle w:val="110"/>
              <w:widowControl w:val="0"/>
              <w:rPr>
                <w:rFonts w:hAnsi="宋体"/>
              </w:rPr>
            </w:pPr>
            <w:r>
              <w:rPr>
                <w:rFonts w:hint="eastAsia" w:hAnsi="宋体" w:cs="宋体"/>
                <w:spacing w:val="-1"/>
                <w:szCs w:val="18"/>
              </w:rPr>
              <w:t>海上锅炉</w:t>
            </w:r>
          </w:p>
        </w:tc>
        <w:tc>
          <w:tcPr>
            <w:tcW w:w="4099" w:type="dxa"/>
            <w:tcBorders>
              <w:bottom w:val="single" w:color="auto" w:sz="8" w:space="0"/>
            </w:tcBorders>
            <w:vAlign w:val="center"/>
          </w:tcPr>
          <w:p w14:paraId="006244D8">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除承压类基本配置</w:t>
            </w:r>
            <w:r>
              <w:rPr>
                <w:rFonts w:hint="eastAsia" w:ascii="宋体" w:hAnsi="宋体" w:eastAsia="宋体" w:cs="宋体"/>
                <w:color w:val="000000" w:themeColor="text1"/>
                <w:sz w:val="18"/>
                <w:szCs w:val="18"/>
                <w:vertAlign w:val="superscript"/>
              </w:rPr>
              <w:t>b</w:t>
            </w:r>
            <w:r>
              <w:rPr>
                <w:rFonts w:hint="eastAsia" w:ascii="宋体" w:hAnsi="宋体" w:eastAsia="宋体" w:cs="宋体"/>
                <w:sz w:val="18"/>
                <w:szCs w:val="18"/>
              </w:rPr>
              <w:t>外，还应当配置以下或者达到同等要求的设备：</w:t>
            </w:r>
          </w:p>
          <w:p w14:paraId="1FBD2E45">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高温测厚仪2台</w:t>
            </w:r>
          </w:p>
          <w:p w14:paraId="4C32B289">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温度校验炉2台</w:t>
            </w:r>
          </w:p>
          <w:p w14:paraId="298F4899">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压力校验仪2台</w:t>
            </w:r>
          </w:p>
          <w:p w14:paraId="5E5BAE94">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可燃气体分析设备2台</w:t>
            </w:r>
          </w:p>
          <w:p w14:paraId="05FF53D9">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测氧仪2台</w:t>
            </w:r>
          </w:p>
          <w:p w14:paraId="17B037DE">
            <w:pPr>
              <w:widowControl/>
              <w:kinsoku w:val="0"/>
              <w:autoSpaceDE w:val="0"/>
              <w:autoSpaceDN w:val="0"/>
              <w:snapToGrid w:val="0"/>
              <w:ind w:left="111" w:right="106"/>
              <w:jc w:val="left"/>
              <w:textAlignment w:val="baseline"/>
              <w:rPr>
                <w:rFonts w:ascii="宋体" w:hAnsi="宋体"/>
              </w:rPr>
            </w:pPr>
            <w:r>
              <w:rPr>
                <w:rFonts w:hint="eastAsia" w:ascii="宋体" w:hAnsi="宋体" w:eastAsia="宋体" w:cs="宋体"/>
                <w:sz w:val="18"/>
                <w:szCs w:val="18"/>
              </w:rPr>
              <w:t>测温仪2台</w:t>
            </w:r>
          </w:p>
        </w:tc>
      </w:tr>
    </w:tbl>
    <w:p w14:paraId="0A5872E1">
      <w:pPr>
        <w:pStyle w:val="43"/>
        <w:pageBreakBefore/>
        <w:spacing w:beforeLines="50" w:afterLines="50"/>
        <w:ind w:firstLine="0" w:firstLineChars="0"/>
        <w:jc w:val="center"/>
        <w:rPr>
          <w:rFonts w:hAnsi="宋体"/>
        </w:rPr>
      </w:pPr>
      <w:r>
        <w:rPr>
          <w:rFonts w:hint="eastAsia" w:hAnsi="宋体" w:eastAsia="黑体"/>
        </w:rPr>
        <w:t>表A.3  海洋石油专业设备检测检验机构设备配置条件</w:t>
      </w:r>
      <w:r>
        <w:rPr>
          <w:rFonts w:hint="eastAsia" w:hAnsi="宋体"/>
        </w:rPr>
        <w:t>（续）</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344"/>
        <w:gridCol w:w="2776"/>
        <w:gridCol w:w="4099"/>
      </w:tblGrid>
      <w:tr w14:paraId="789274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344" w:type="dxa"/>
            <w:tcBorders>
              <w:top w:val="single" w:color="auto" w:sz="8" w:space="0"/>
              <w:bottom w:val="single" w:color="auto" w:sz="8" w:space="0"/>
            </w:tcBorders>
            <w:vAlign w:val="center"/>
          </w:tcPr>
          <w:p w14:paraId="4F10B7FA">
            <w:pPr>
              <w:pStyle w:val="110"/>
              <w:widowControl w:val="0"/>
              <w:rPr>
                <w:rFonts w:hAnsi="宋体"/>
              </w:rPr>
            </w:pPr>
            <w:r>
              <w:rPr>
                <w:rFonts w:hint="eastAsia" w:hAnsi="宋体" w:cs="宋体"/>
                <w:szCs w:val="18"/>
              </w:rPr>
              <w:t>大类专业设备</w:t>
            </w:r>
          </w:p>
        </w:tc>
        <w:tc>
          <w:tcPr>
            <w:tcW w:w="2776" w:type="dxa"/>
            <w:tcBorders>
              <w:top w:val="single" w:color="auto" w:sz="8" w:space="0"/>
              <w:bottom w:val="single" w:color="auto" w:sz="8" w:space="0"/>
            </w:tcBorders>
            <w:vAlign w:val="center"/>
          </w:tcPr>
          <w:p w14:paraId="53EE4F34">
            <w:pPr>
              <w:pStyle w:val="110"/>
              <w:widowControl w:val="0"/>
              <w:rPr>
                <w:rFonts w:hAnsi="宋体"/>
              </w:rPr>
            </w:pPr>
            <w:r>
              <w:rPr>
                <w:rFonts w:hint="eastAsia" w:hAnsi="宋体" w:cs="宋体"/>
                <w:szCs w:val="18"/>
              </w:rPr>
              <w:t>中类专业设备</w:t>
            </w:r>
          </w:p>
        </w:tc>
        <w:tc>
          <w:tcPr>
            <w:tcW w:w="4099" w:type="dxa"/>
            <w:tcBorders>
              <w:top w:val="single" w:color="auto" w:sz="8" w:space="0"/>
              <w:bottom w:val="single" w:color="auto" w:sz="8" w:space="0"/>
            </w:tcBorders>
            <w:vAlign w:val="center"/>
          </w:tcPr>
          <w:p w14:paraId="3E7EE338">
            <w:pPr>
              <w:pStyle w:val="110"/>
              <w:widowControl w:val="0"/>
              <w:rPr>
                <w:rFonts w:hAnsi="宋体"/>
              </w:rPr>
            </w:pPr>
            <w:r>
              <w:rPr>
                <w:rFonts w:hint="eastAsia" w:hAnsi="宋体" w:cs="宋体"/>
                <w:szCs w:val="18"/>
              </w:rPr>
              <w:t>检测检验设备配置</w:t>
            </w:r>
          </w:p>
        </w:tc>
      </w:tr>
      <w:tr w14:paraId="022FCA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344" w:type="dxa"/>
            <w:vMerge w:val="restart"/>
            <w:tcBorders>
              <w:top w:val="single" w:color="auto" w:sz="4" w:space="0"/>
            </w:tcBorders>
            <w:vAlign w:val="center"/>
          </w:tcPr>
          <w:p w14:paraId="5FB92F7B">
            <w:pPr>
              <w:pStyle w:val="110"/>
              <w:widowControl w:val="0"/>
              <w:rPr>
                <w:rFonts w:hAnsi="宋体"/>
              </w:rPr>
            </w:pPr>
            <w:r>
              <w:rPr>
                <w:rFonts w:hint="eastAsia" w:hAnsi="宋体" w:cs="宋体"/>
                <w:spacing w:val="-2"/>
                <w:szCs w:val="18"/>
              </w:rPr>
              <w:t>海上锅炉和压力容器</w:t>
            </w:r>
          </w:p>
        </w:tc>
        <w:tc>
          <w:tcPr>
            <w:tcW w:w="2776" w:type="dxa"/>
            <w:tcBorders>
              <w:top w:val="single" w:color="auto" w:sz="4" w:space="0"/>
              <w:bottom w:val="single" w:color="auto" w:sz="4" w:space="0"/>
            </w:tcBorders>
            <w:vAlign w:val="center"/>
          </w:tcPr>
          <w:p w14:paraId="6A2FBEC8">
            <w:pPr>
              <w:widowControl/>
              <w:kinsoku w:val="0"/>
              <w:adjustRightInd w:val="0"/>
              <w:snapToGrid w:val="0"/>
              <w:ind w:left="111" w:right="106"/>
              <w:jc w:val="center"/>
              <w:textAlignment w:val="baseline"/>
              <w:rPr>
                <w:rFonts w:ascii="宋体" w:hAnsi="宋体" w:eastAsia="宋体" w:cs="宋体"/>
                <w:sz w:val="18"/>
                <w:szCs w:val="18"/>
              </w:rPr>
            </w:pPr>
            <w:r>
              <w:rPr>
                <w:rFonts w:hint="eastAsia" w:ascii="宋体" w:hAnsi="宋体" w:eastAsia="宋体" w:cs="宋体"/>
                <w:sz w:val="18"/>
                <w:szCs w:val="18"/>
              </w:rPr>
              <w:t>海上压力容器</w:t>
            </w:r>
          </w:p>
        </w:tc>
        <w:tc>
          <w:tcPr>
            <w:tcW w:w="4099" w:type="dxa"/>
            <w:tcBorders>
              <w:top w:val="single" w:color="auto" w:sz="4" w:space="0"/>
              <w:bottom w:val="single" w:color="auto" w:sz="4" w:space="0"/>
            </w:tcBorders>
            <w:vAlign w:val="center"/>
          </w:tcPr>
          <w:p w14:paraId="55A433F4">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一、对于固定式压力容器检测检验，除承压类基本配置外，还应当配置以下或者达到同等要求的设备：</w:t>
            </w:r>
          </w:p>
          <w:p w14:paraId="4D64F9D7">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高温测厚仪2台</w:t>
            </w:r>
          </w:p>
          <w:p w14:paraId="4FCA94E3">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可燃气体分析设备2台</w:t>
            </w:r>
          </w:p>
          <w:p w14:paraId="4F7AEF24">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测氧仪2台</w:t>
            </w:r>
          </w:p>
          <w:p w14:paraId="0F9FBFA1">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测温仪2台</w:t>
            </w:r>
          </w:p>
          <w:p w14:paraId="3AA588FE">
            <w:pPr>
              <w:widowControl/>
              <w:autoSpaceDE w:val="0"/>
              <w:autoSpaceDN w:val="0"/>
              <w:adjustRightInd w:val="0"/>
              <w:snapToGrid w:val="0"/>
              <w:ind w:left="113" w:right="108"/>
              <w:jc w:val="left"/>
              <w:textAlignment w:val="baseline"/>
              <w:rPr>
                <w:rFonts w:ascii="宋体" w:hAnsi="宋体" w:eastAsia="宋体" w:cs="宋体"/>
                <w:sz w:val="18"/>
                <w:szCs w:val="18"/>
              </w:rPr>
            </w:pPr>
            <w:r>
              <w:rPr>
                <w:rFonts w:hint="eastAsia" w:ascii="宋体" w:hAnsi="宋体" w:eastAsia="宋体" w:cs="宋体"/>
                <w:sz w:val="18"/>
                <w:szCs w:val="18"/>
              </w:rPr>
              <w:t>二、如对固定式压力容器</w:t>
            </w:r>
            <w:r>
              <w:rPr>
                <w:rFonts w:hint="eastAsia" w:ascii="宋体" w:hAnsi="宋体"/>
                <w:spacing w:val="-2"/>
                <w:sz w:val="18"/>
                <w:szCs w:val="18"/>
              </w:rPr>
              <w:t>实施基于风险的检测检验</w:t>
            </w:r>
            <w:r>
              <w:rPr>
                <w:rFonts w:hint="eastAsia" w:ascii="宋体" w:hAnsi="宋体" w:eastAsia="宋体" w:cs="宋体"/>
                <w:sz w:val="18"/>
                <w:szCs w:val="18"/>
              </w:rPr>
              <w:t>，除固定式压力容器检测检验的配置外，还应配置以下或者达到同等要求的设备：</w:t>
            </w:r>
          </w:p>
          <w:p w14:paraId="4B7E5343">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脉冲涡流测厚仪或者超声波导波检测设备1台</w:t>
            </w:r>
          </w:p>
          <w:p w14:paraId="0FA04027">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相控阵设备1台</w:t>
            </w:r>
          </w:p>
          <w:p w14:paraId="23F2FDB9">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满足要求的</w:t>
            </w:r>
            <w:r>
              <w:rPr>
                <w:rFonts w:hint="eastAsia" w:ascii="宋体" w:hAnsi="宋体"/>
                <w:spacing w:val="-2"/>
                <w:sz w:val="18"/>
                <w:szCs w:val="18"/>
              </w:rPr>
              <w:t>基于风险的检测检验</w:t>
            </w:r>
            <w:r>
              <w:rPr>
                <w:rFonts w:hint="eastAsia" w:ascii="宋体" w:hAnsi="宋体" w:eastAsia="宋体" w:cs="宋体"/>
                <w:sz w:val="18"/>
                <w:szCs w:val="18"/>
              </w:rPr>
              <w:t>分析软件</w:t>
            </w:r>
          </w:p>
          <w:p w14:paraId="691AE9F0">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三、对于固定式气瓶的检测检验，除承压类基本配置外，还应配置或者达到与其所承担气瓶检测检验项目相适应的通用条件和专项条件(以下设备、设施均为1台套)：</w:t>
            </w:r>
          </w:p>
          <w:p w14:paraId="031758EE">
            <w:pPr>
              <w:widowControl/>
              <w:kinsoku w:val="0"/>
              <w:autoSpaceDE w:val="0"/>
              <w:autoSpaceDN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通用条件：</w:t>
            </w:r>
          </w:p>
          <w:p w14:paraId="2BC6013E">
            <w:pPr>
              <w:widowControl/>
              <w:autoSpaceDE w:val="0"/>
              <w:autoSpaceDN w:val="0"/>
              <w:adjustRightInd w:val="0"/>
              <w:snapToGrid w:val="0"/>
              <w:ind w:left="113" w:right="108"/>
              <w:jc w:val="left"/>
              <w:textAlignment w:val="baseline"/>
              <w:rPr>
                <w:rFonts w:ascii="宋体" w:hAnsi="宋体" w:eastAsia="宋体" w:cs="宋体"/>
                <w:sz w:val="18"/>
                <w:szCs w:val="18"/>
              </w:rPr>
            </w:pPr>
            <w:r>
              <w:rPr>
                <w:rFonts w:hint="eastAsia" w:ascii="宋体" w:hAnsi="宋体" w:eastAsia="宋体" w:cs="宋体"/>
                <w:sz w:val="18"/>
                <w:szCs w:val="18"/>
              </w:rPr>
              <w:t>（</w:t>
            </w:r>
            <w:r>
              <w:rPr>
                <w:rFonts w:ascii="宋体" w:hAnsi="宋体" w:eastAsia="宋体" w:cs="宋体"/>
                <w:sz w:val="18"/>
                <w:szCs w:val="18"/>
              </w:rPr>
              <w:t>1</w:t>
            </w:r>
            <w:r>
              <w:rPr>
                <w:rFonts w:hint="eastAsia" w:ascii="宋体" w:hAnsi="宋体" w:eastAsia="宋体" w:cs="宋体"/>
                <w:sz w:val="18"/>
                <w:szCs w:val="18"/>
              </w:rPr>
              <w:t>）满足检验工作需要的量具；（2）可燃气体分析设备；（3）残气、残液回收或处理装置；（4）瓶阀自动装卸机，更换、拆卸阀门及其附件的工作台、工装、卡具；（5）外表面处理装置，包括清理、除锈、喷涂等装置；（6）起重设备；（7）气瓶阀门气密性试验装置；（8）报废气瓶消除使用功能设施。</w:t>
            </w:r>
          </w:p>
          <w:p w14:paraId="31CAA40A">
            <w:pPr>
              <w:widowControl/>
              <w:kinsoku w:val="0"/>
              <w:autoSpaceDE w:val="0"/>
              <w:autoSpaceDN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专项条件：</w:t>
            </w:r>
          </w:p>
          <w:p w14:paraId="0C97DFA9">
            <w:pPr>
              <w:widowControl/>
              <w:kinsoku w:val="0"/>
              <w:autoSpaceDE w:val="0"/>
              <w:autoSpaceDN w:val="0"/>
              <w:adjustRightInd w:val="0"/>
              <w:snapToGrid w:val="0"/>
              <w:ind w:left="111" w:right="106" w:firstLine="170" w:firstLineChars="100"/>
              <w:jc w:val="left"/>
              <w:textAlignment w:val="baseline"/>
              <w:rPr>
                <w:rFonts w:ascii="宋体" w:hAnsi="宋体" w:eastAsia="宋体" w:cs="宋体"/>
                <w:sz w:val="18"/>
                <w:szCs w:val="18"/>
              </w:rPr>
            </w:pPr>
            <w:r>
              <w:rPr>
                <w:rFonts w:hint="eastAsia" w:ascii="宋体" w:hAnsi="宋体" w:cs="Times New Roman"/>
                <w:spacing w:val="-5"/>
                <w:sz w:val="18"/>
                <w:szCs w:val="18"/>
              </w:rPr>
              <w:t>a）钢质</w:t>
            </w:r>
            <w:r>
              <w:rPr>
                <w:rFonts w:ascii="宋体" w:hAnsi="宋体" w:eastAsia="宋体" w:cs="宋体"/>
                <w:sz w:val="18"/>
                <w:szCs w:val="18"/>
              </w:rPr>
              <w:t>无缝气瓶</w:t>
            </w:r>
          </w:p>
          <w:p w14:paraId="425CC526">
            <w:pPr>
              <w:widowControl/>
              <w:autoSpaceDE w:val="0"/>
              <w:autoSpaceDN w:val="0"/>
              <w:adjustRightInd w:val="0"/>
              <w:snapToGrid w:val="0"/>
              <w:ind w:left="113" w:right="108"/>
              <w:jc w:val="left"/>
              <w:textAlignment w:val="baseline"/>
              <w:rPr>
                <w:rFonts w:ascii="宋体" w:hAnsi="宋体" w:eastAsia="宋体" w:cs="宋体"/>
                <w:sz w:val="18"/>
                <w:szCs w:val="18"/>
              </w:rPr>
            </w:pPr>
            <w:r>
              <w:rPr>
                <w:rFonts w:hint="eastAsia" w:ascii="宋体" w:hAnsi="宋体" w:eastAsia="宋体" w:cs="宋体"/>
                <w:sz w:val="18"/>
                <w:szCs w:val="18"/>
              </w:rPr>
              <w:t>（</w:t>
            </w:r>
            <w:r>
              <w:rPr>
                <w:rFonts w:ascii="宋体" w:hAnsi="宋体" w:eastAsia="宋体" w:cs="宋体"/>
                <w:sz w:val="18"/>
                <w:szCs w:val="18"/>
              </w:rPr>
              <w:t>1</w:t>
            </w:r>
            <w:r>
              <w:rPr>
                <w:rFonts w:hint="eastAsia" w:ascii="宋体" w:hAnsi="宋体" w:eastAsia="宋体" w:cs="宋体"/>
                <w:sz w:val="18"/>
                <w:szCs w:val="18"/>
              </w:rPr>
              <w:t>）</w:t>
            </w:r>
            <w:r>
              <w:rPr>
                <w:rFonts w:ascii="宋体" w:hAnsi="宋体" w:eastAsia="宋体" w:cs="宋体"/>
                <w:sz w:val="18"/>
                <w:szCs w:val="18"/>
              </w:rPr>
              <w:t>检验底座深度的量具和工具、250g左右的铜锤</w:t>
            </w:r>
            <w:r>
              <w:rPr>
                <w:rFonts w:hint="eastAsia" w:ascii="宋体" w:hAnsi="宋体" w:eastAsia="宋体" w:cs="宋体"/>
                <w:sz w:val="18"/>
                <w:szCs w:val="18"/>
              </w:rPr>
              <w:t>；（</w:t>
            </w:r>
            <w:r>
              <w:rPr>
                <w:rFonts w:ascii="宋体" w:hAnsi="宋体" w:eastAsia="宋体" w:cs="宋体"/>
                <w:sz w:val="18"/>
                <w:szCs w:val="18"/>
              </w:rPr>
              <w:t>2</w:t>
            </w:r>
            <w:r>
              <w:rPr>
                <w:rFonts w:hint="eastAsia" w:ascii="宋体" w:hAnsi="宋体" w:eastAsia="宋体" w:cs="宋体"/>
                <w:sz w:val="18"/>
                <w:szCs w:val="18"/>
              </w:rPr>
              <w:t>）</w:t>
            </w:r>
            <w:r>
              <w:rPr>
                <w:rFonts w:ascii="宋体" w:hAnsi="宋体" w:eastAsia="宋体" w:cs="宋体"/>
                <w:sz w:val="18"/>
                <w:szCs w:val="18"/>
              </w:rPr>
              <w:t>水压试验装置(禁油气瓶必须配置专用试压装置)</w:t>
            </w:r>
            <w:r>
              <w:rPr>
                <w:rFonts w:hint="eastAsia" w:ascii="宋体" w:hAnsi="宋体" w:eastAsia="宋体" w:cs="宋体"/>
                <w:sz w:val="18"/>
                <w:szCs w:val="18"/>
              </w:rPr>
              <w:t>；（</w:t>
            </w:r>
            <w:r>
              <w:rPr>
                <w:rFonts w:ascii="宋体" w:hAnsi="宋体" w:eastAsia="宋体" w:cs="宋体"/>
                <w:sz w:val="18"/>
                <w:szCs w:val="18"/>
              </w:rPr>
              <w:t>3</w:t>
            </w:r>
            <w:r>
              <w:rPr>
                <w:rFonts w:hint="eastAsia" w:ascii="宋体" w:hAnsi="宋体" w:eastAsia="宋体" w:cs="宋体"/>
                <w:sz w:val="18"/>
                <w:szCs w:val="18"/>
              </w:rPr>
              <w:t>）</w:t>
            </w:r>
            <w:r>
              <w:rPr>
                <w:rFonts w:ascii="宋体" w:hAnsi="宋体" w:eastAsia="宋体" w:cs="宋体"/>
                <w:sz w:val="18"/>
                <w:szCs w:val="18"/>
              </w:rPr>
              <w:t>气瓶自动或者机械倒水装置</w:t>
            </w:r>
            <w:r>
              <w:rPr>
                <w:rFonts w:hint="eastAsia" w:ascii="宋体" w:hAnsi="宋体" w:eastAsia="宋体" w:cs="宋体"/>
                <w:sz w:val="18"/>
                <w:szCs w:val="18"/>
              </w:rPr>
              <w:t>；（</w:t>
            </w:r>
            <w:r>
              <w:rPr>
                <w:rFonts w:ascii="宋体" w:hAnsi="宋体" w:eastAsia="宋体" w:cs="宋体"/>
                <w:sz w:val="18"/>
                <w:szCs w:val="18"/>
              </w:rPr>
              <w:t>4</w:t>
            </w:r>
            <w:r>
              <w:rPr>
                <w:rFonts w:hint="eastAsia" w:ascii="宋体" w:hAnsi="宋体" w:eastAsia="宋体" w:cs="宋体"/>
                <w:sz w:val="18"/>
                <w:szCs w:val="18"/>
              </w:rPr>
              <w:t>）</w:t>
            </w:r>
            <w:r>
              <w:rPr>
                <w:rFonts w:ascii="宋体" w:hAnsi="宋体" w:eastAsia="宋体" w:cs="宋体"/>
                <w:sz w:val="18"/>
                <w:szCs w:val="18"/>
              </w:rPr>
              <w:t>内表面处理装置，包括内壁蒸汽吹扫或者清洗、脱脂装置，内部干燥装置</w:t>
            </w:r>
            <w:r>
              <w:rPr>
                <w:rFonts w:hint="eastAsia" w:ascii="宋体" w:hAnsi="宋体" w:eastAsia="宋体" w:cs="宋体"/>
                <w:sz w:val="18"/>
                <w:szCs w:val="18"/>
              </w:rPr>
              <w:t>；（5）</w:t>
            </w:r>
            <w:r>
              <w:rPr>
                <w:rFonts w:ascii="宋体" w:hAnsi="宋体" w:eastAsia="宋体" w:cs="宋体"/>
                <w:sz w:val="18"/>
                <w:szCs w:val="18"/>
              </w:rPr>
              <w:t>气密性试验装置。</w:t>
            </w:r>
          </w:p>
          <w:p w14:paraId="014D522F">
            <w:pPr>
              <w:widowControl/>
              <w:kinsoku w:val="0"/>
              <w:autoSpaceDE w:val="0"/>
              <w:autoSpaceDN w:val="0"/>
              <w:adjustRightInd w:val="0"/>
              <w:snapToGrid w:val="0"/>
              <w:ind w:left="111" w:right="106" w:firstLine="170" w:firstLineChars="100"/>
              <w:jc w:val="left"/>
              <w:textAlignment w:val="baseline"/>
              <w:rPr>
                <w:rFonts w:ascii="宋体" w:hAnsi="宋体" w:eastAsia="宋体" w:cs="宋体"/>
                <w:sz w:val="18"/>
                <w:szCs w:val="18"/>
              </w:rPr>
            </w:pPr>
            <w:r>
              <w:rPr>
                <w:rFonts w:hint="eastAsia" w:ascii="宋体" w:hAnsi="宋体" w:cs="Times New Roman"/>
                <w:spacing w:val="-5"/>
                <w:sz w:val="18"/>
                <w:szCs w:val="18"/>
              </w:rPr>
              <w:t>b）</w:t>
            </w:r>
            <w:r>
              <w:rPr>
                <w:rFonts w:hint="eastAsia" w:ascii="宋体" w:hAnsi="宋体" w:eastAsia="宋体" w:cs="宋体"/>
                <w:sz w:val="18"/>
                <w:szCs w:val="18"/>
              </w:rPr>
              <w:t>钢质</w:t>
            </w:r>
            <w:r>
              <w:rPr>
                <w:rFonts w:ascii="宋体" w:hAnsi="宋体" w:eastAsia="宋体" w:cs="宋体"/>
                <w:sz w:val="18"/>
                <w:szCs w:val="18"/>
              </w:rPr>
              <w:t>焊接气瓶</w:t>
            </w:r>
          </w:p>
          <w:p w14:paraId="2BCFE5B0">
            <w:pPr>
              <w:widowControl/>
              <w:autoSpaceDE w:val="0"/>
              <w:autoSpaceDN w:val="0"/>
              <w:snapToGrid w:val="0"/>
              <w:ind w:left="113" w:right="108"/>
              <w:jc w:val="left"/>
              <w:textAlignment w:val="baseline"/>
              <w:rPr>
                <w:rFonts w:ascii="宋体" w:hAnsi="宋体" w:cs="宋体"/>
                <w:szCs w:val="18"/>
              </w:rPr>
            </w:pPr>
            <w:r>
              <w:rPr>
                <w:rFonts w:hint="eastAsia" w:ascii="宋体" w:hAnsi="宋体" w:eastAsia="宋体" w:cs="宋体"/>
                <w:sz w:val="18"/>
                <w:szCs w:val="18"/>
              </w:rPr>
              <w:t>（</w:t>
            </w:r>
            <w:r>
              <w:rPr>
                <w:rFonts w:ascii="宋体" w:hAnsi="宋体" w:eastAsia="宋体" w:cs="宋体"/>
                <w:sz w:val="18"/>
                <w:szCs w:val="18"/>
              </w:rPr>
              <w:t>1</w:t>
            </w:r>
            <w:r>
              <w:rPr>
                <w:rFonts w:hint="eastAsia" w:ascii="宋体" w:hAnsi="宋体" w:eastAsia="宋体" w:cs="宋体"/>
                <w:sz w:val="18"/>
                <w:szCs w:val="18"/>
              </w:rPr>
              <w:t>）</w:t>
            </w:r>
            <w:r>
              <w:rPr>
                <w:rFonts w:ascii="宋体" w:hAnsi="宋体" w:eastAsia="宋体" w:cs="宋体"/>
                <w:sz w:val="18"/>
                <w:szCs w:val="18"/>
              </w:rPr>
              <w:t>检验底座深度的量具和工具、焊缝检验尺、250g左右的铜锤</w:t>
            </w:r>
            <w:r>
              <w:rPr>
                <w:rFonts w:hint="eastAsia" w:ascii="宋体" w:hAnsi="宋体" w:eastAsia="宋体" w:cs="宋体"/>
                <w:sz w:val="18"/>
                <w:szCs w:val="18"/>
              </w:rPr>
              <w:t>；（</w:t>
            </w:r>
            <w:r>
              <w:rPr>
                <w:rFonts w:ascii="宋体" w:hAnsi="宋体" w:eastAsia="宋体" w:cs="宋体"/>
                <w:sz w:val="18"/>
                <w:szCs w:val="18"/>
              </w:rPr>
              <w:t>2</w:t>
            </w:r>
            <w:r>
              <w:rPr>
                <w:rFonts w:hint="eastAsia" w:ascii="宋体" w:hAnsi="宋体" w:eastAsia="宋体" w:cs="宋体"/>
                <w:sz w:val="18"/>
                <w:szCs w:val="18"/>
              </w:rPr>
              <w:t>）</w:t>
            </w:r>
            <w:r>
              <w:rPr>
                <w:rFonts w:ascii="宋体" w:hAnsi="宋体" w:eastAsia="宋体" w:cs="宋体"/>
                <w:sz w:val="18"/>
                <w:szCs w:val="18"/>
              </w:rPr>
              <w:t>水压试验装置(禁油气瓶必须配置专用试压装置)</w:t>
            </w:r>
            <w:r>
              <w:rPr>
                <w:rFonts w:hint="eastAsia" w:ascii="宋体" w:hAnsi="宋体" w:eastAsia="宋体" w:cs="宋体"/>
                <w:sz w:val="18"/>
                <w:szCs w:val="18"/>
              </w:rPr>
              <w:t>；（3）</w:t>
            </w:r>
            <w:r>
              <w:rPr>
                <w:rFonts w:ascii="宋体" w:hAnsi="宋体" w:eastAsia="宋体" w:cs="宋体"/>
                <w:sz w:val="18"/>
                <w:szCs w:val="18"/>
              </w:rPr>
              <w:t>气瓶自动或者机械倒水装置</w:t>
            </w:r>
            <w:r>
              <w:rPr>
                <w:rFonts w:hint="eastAsia" w:ascii="宋体" w:hAnsi="宋体" w:eastAsia="宋体" w:cs="宋体"/>
                <w:sz w:val="18"/>
                <w:szCs w:val="18"/>
              </w:rPr>
              <w:t>；（4）</w:t>
            </w:r>
            <w:r>
              <w:rPr>
                <w:rFonts w:ascii="宋体" w:hAnsi="宋体" w:eastAsia="宋体" w:cs="宋体"/>
                <w:sz w:val="18"/>
                <w:szCs w:val="18"/>
              </w:rPr>
              <w:t>内表面处理装置，包括内壁蒸汽吹扫或者清洗、脱脂装置，内部干燥装置</w:t>
            </w:r>
            <w:r>
              <w:rPr>
                <w:rFonts w:hint="eastAsia" w:ascii="宋体" w:hAnsi="宋体" w:eastAsia="宋体" w:cs="宋体"/>
                <w:sz w:val="18"/>
                <w:szCs w:val="18"/>
              </w:rPr>
              <w:t>；（5）</w:t>
            </w:r>
            <w:r>
              <w:rPr>
                <w:rFonts w:ascii="宋体" w:hAnsi="宋体" w:eastAsia="宋体" w:cs="宋体"/>
                <w:sz w:val="18"/>
                <w:szCs w:val="18"/>
              </w:rPr>
              <w:t>气密性试验装置。</w:t>
            </w:r>
          </w:p>
        </w:tc>
      </w:tr>
      <w:tr w14:paraId="474257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45" w:hRule="atLeast"/>
          <w:jc w:val="center"/>
        </w:trPr>
        <w:tc>
          <w:tcPr>
            <w:tcW w:w="2344" w:type="dxa"/>
            <w:vMerge w:val="continue"/>
            <w:vAlign w:val="center"/>
          </w:tcPr>
          <w:p w14:paraId="53922643">
            <w:pPr>
              <w:pStyle w:val="110"/>
              <w:widowControl w:val="0"/>
              <w:rPr>
                <w:rFonts w:hAnsi="宋体" w:cs="宋体"/>
                <w:spacing w:val="-2"/>
                <w:szCs w:val="18"/>
              </w:rPr>
            </w:pPr>
          </w:p>
        </w:tc>
        <w:tc>
          <w:tcPr>
            <w:tcW w:w="2776" w:type="dxa"/>
            <w:tcBorders>
              <w:top w:val="single" w:color="auto" w:sz="4" w:space="0"/>
            </w:tcBorders>
            <w:vAlign w:val="center"/>
          </w:tcPr>
          <w:p w14:paraId="16381D8C">
            <w:pPr>
              <w:pStyle w:val="110"/>
              <w:widowControl w:val="0"/>
              <w:rPr>
                <w:rFonts w:hAnsi="宋体" w:cs="宋体"/>
                <w:spacing w:val="-1"/>
                <w:szCs w:val="18"/>
              </w:rPr>
            </w:pPr>
            <w:r>
              <w:rPr>
                <w:rFonts w:hint="eastAsia" w:hAnsi="宋体" w:cs="宋体"/>
                <w:spacing w:val="-1"/>
                <w:szCs w:val="18"/>
              </w:rPr>
              <w:t>海上压力管道</w:t>
            </w:r>
          </w:p>
        </w:tc>
        <w:tc>
          <w:tcPr>
            <w:tcW w:w="4099" w:type="dxa"/>
            <w:tcBorders>
              <w:top w:val="single" w:color="auto" w:sz="4" w:space="0"/>
            </w:tcBorders>
            <w:vAlign w:val="center"/>
          </w:tcPr>
          <w:p w14:paraId="780F4FD9">
            <w:pPr>
              <w:widowControl/>
              <w:autoSpaceDE w:val="0"/>
              <w:autoSpaceDN w:val="0"/>
              <w:adjustRightInd w:val="0"/>
              <w:snapToGrid w:val="0"/>
              <w:ind w:left="113" w:right="108"/>
              <w:jc w:val="left"/>
              <w:textAlignment w:val="baseline"/>
              <w:rPr>
                <w:rFonts w:ascii="宋体" w:hAnsi="宋体" w:eastAsia="宋体" w:cs="宋体"/>
                <w:sz w:val="18"/>
                <w:szCs w:val="18"/>
              </w:rPr>
            </w:pPr>
            <w:r>
              <w:rPr>
                <w:rFonts w:hint="eastAsia" w:ascii="宋体" w:hAnsi="宋体" w:eastAsia="宋体" w:cs="宋体"/>
                <w:sz w:val="18"/>
                <w:szCs w:val="18"/>
              </w:rPr>
              <w:t>一、对于海上压力管道检测检验，除承压类基本配置外，还应配置以下或者达到同等要求的设备：</w:t>
            </w:r>
          </w:p>
          <w:p w14:paraId="0224D271">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高温测厚仪2台</w:t>
            </w:r>
          </w:p>
          <w:p w14:paraId="79CED3E7">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可燃气体分析设备2台</w:t>
            </w:r>
          </w:p>
          <w:p w14:paraId="54EA8C2E">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测温仪2台</w:t>
            </w:r>
          </w:p>
          <w:p w14:paraId="20F682A6">
            <w:pPr>
              <w:widowControl/>
              <w:autoSpaceDE w:val="0"/>
              <w:autoSpaceDN w:val="0"/>
              <w:adjustRightInd w:val="0"/>
              <w:snapToGrid w:val="0"/>
              <w:ind w:left="113" w:right="108"/>
              <w:jc w:val="left"/>
              <w:textAlignment w:val="baseline"/>
              <w:rPr>
                <w:rFonts w:ascii="宋体" w:hAnsi="宋体" w:eastAsia="宋体" w:cs="宋体"/>
                <w:sz w:val="18"/>
                <w:szCs w:val="18"/>
              </w:rPr>
            </w:pPr>
            <w:r>
              <w:rPr>
                <w:rFonts w:hint="eastAsia" w:ascii="宋体" w:hAnsi="宋体" w:eastAsia="宋体" w:cs="宋体"/>
                <w:sz w:val="18"/>
                <w:szCs w:val="18"/>
              </w:rPr>
              <w:t>二、如对海上压力管道</w:t>
            </w:r>
            <w:r>
              <w:rPr>
                <w:rFonts w:hint="eastAsia" w:ascii="宋体" w:hAnsi="宋体"/>
                <w:spacing w:val="-2"/>
                <w:sz w:val="18"/>
                <w:szCs w:val="18"/>
              </w:rPr>
              <w:t>实施基于风险的检测检验</w:t>
            </w:r>
            <w:r>
              <w:rPr>
                <w:rFonts w:hint="eastAsia" w:ascii="宋体" w:hAnsi="宋体" w:eastAsia="宋体" w:cs="宋体"/>
                <w:sz w:val="18"/>
                <w:szCs w:val="18"/>
              </w:rPr>
              <w:t>，除海上压力管道检测检验的配置外，还应配置以下或者达到同等要求的设备：</w:t>
            </w:r>
          </w:p>
          <w:p w14:paraId="6BA19380">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脉冲涡流测厚仪或者超声波导波检测设备1台</w:t>
            </w:r>
          </w:p>
          <w:p w14:paraId="4477710A">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相控阵设备1台</w:t>
            </w:r>
          </w:p>
          <w:p w14:paraId="1251DD44">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满足要求的</w:t>
            </w:r>
            <w:r>
              <w:rPr>
                <w:rFonts w:hint="eastAsia" w:ascii="宋体" w:hAnsi="宋体"/>
                <w:spacing w:val="-2"/>
                <w:sz w:val="18"/>
                <w:szCs w:val="18"/>
              </w:rPr>
              <w:t>基于风险的检测检验</w:t>
            </w:r>
            <w:r>
              <w:rPr>
                <w:rFonts w:hint="eastAsia" w:ascii="宋体" w:hAnsi="宋体" w:eastAsia="宋体" w:cs="宋体"/>
                <w:sz w:val="18"/>
                <w:szCs w:val="18"/>
              </w:rPr>
              <w:t>分析软件</w:t>
            </w:r>
          </w:p>
        </w:tc>
      </w:tr>
    </w:tbl>
    <w:p w14:paraId="7F50D901">
      <w:pPr>
        <w:rPr>
          <w:rFonts w:ascii="宋体" w:hAnsi="宋体"/>
        </w:rPr>
      </w:pPr>
      <w:r>
        <w:rPr>
          <w:rFonts w:ascii="宋体" w:hAnsi="宋体"/>
        </w:rPr>
        <w:br w:type="page"/>
      </w:r>
    </w:p>
    <w:p w14:paraId="02C48D7A">
      <w:pPr>
        <w:pStyle w:val="24"/>
        <w:ind w:firstLine="0" w:firstLineChars="0"/>
        <w:jc w:val="center"/>
        <w:rPr>
          <w:rFonts w:ascii="宋体" w:hAnsi="宋体"/>
        </w:rPr>
      </w:pPr>
      <w:r>
        <w:rPr>
          <w:rFonts w:hint="eastAsia" w:ascii="宋体" w:hAnsi="宋体" w:eastAsia="黑体"/>
        </w:rPr>
        <w:t>表A.3  海洋石油专业设备检测检验机构设备配置条件</w:t>
      </w:r>
      <w:r>
        <w:rPr>
          <w:rFonts w:hint="eastAsia" w:ascii="宋体" w:hAnsi="宋体"/>
        </w:rPr>
        <w:t>（续）</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416"/>
        <w:gridCol w:w="2856"/>
        <w:gridCol w:w="4062"/>
      </w:tblGrid>
      <w:tr w14:paraId="046384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16" w:type="dxa"/>
            <w:tcBorders>
              <w:bottom w:val="single" w:color="auto" w:sz="8" w:space="0"/>
            </w:tcBorders>
            <w:shd w:val="clear" w:color="auto" w:fill="auto"/>
            <w:vAlign w:val="center"/>
          </w:tcPr>
          <w:p w14:paraId="7FEB91F3">
            <w:pPr>
              <w:pStyle w:val="110"/>
              <w:widowControl w:val="0"/>
              <w:rPr>
                <w:rFonts w:hAnsi="宋体"/>
              </w:rPr>
            </w:pPr>
            <w:r>
              <w:rPr>
                <w:rFonts w:hint="eastAsia" w:hAnsi="宋体" w:cs="宋体"/>
                <w:szCs w:val="18"/>
              </w:rPr>
              <w:t>大类专业设备</w:t>
            </w:r>
          </w:p>
        </w:tc>
        <w:tc>
          <w:tcPr>
            <w:tcW w:w="2856" w:type="dxa"/>
            <w:tcBorders>
              <w:bottom w:val="single" w:color="auto" w:sz="8" w:space="0"/>
            </w:tcBorders>
            <w:shd w:val="clear" w:color="auto" w:fill="auto"/>
            <w:vAlign w:val="center"/>
          </w:tcPr>
          <w:p w14:paraId="48A448C8">
            <w:pPr>
              <w:pStyle w:val="110"/>
              <w:widowControl w:val="0"/>
              <w:rPr>
                <w:rFonts w:hAnsi="宋体"/>
              </w:rPr>
            </w:pPr>
            <w:r>
              <w:rPr>
                <w:rFonts w:hint="eastAsia" w:hAnsi="宋体" w:cs="宋体"/>
                <w:szCs w:val="18"/>
              </w:rPr>
              <w:t>中类专业设备</w:t>
            </w:r>
          </w:p>
        </w:tc>
        <w:tc>
          <w:tcPr>
            <w:tcW w:w="4062" w:type="dxa"/>
            <w:tcBorders>
              <w:bottom w:val="single" w:color="auto" w:sz="8" w:space="0"/>
            </w:tcBorders>
            <w:shd w:val="clear" w:color="auto" w:fill="auto"/>
            <w:vAlign w:val="center"/>
          </w:tcPr>
          <w:p w14:paraId="31D9E91E">
            <w:pPr>
              <w:pStyle w:val="110"/>
              <w:widowControl w:val="0"/>
              <w:rPr>
                <w:rFonts w:hAnsi="宋体"/>
              </w:rPr>
            </w:pPr>
            <w:r>
              <w:rPr>
                <w:rFonts w:hint="eastAsia" w:hAnsi="宋体" w:cs="宋体"/>
                <w:szCs w:val="18"/>
              </w:rPr>
              <w:t>检测检验设备配置</w:t>
            </w:r>
          </w:p>
        </w:tc>
      </w:tr>
      <w:tr w14:paraId="78EA1E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16" w:type="dxa"/>
            <w:vMerge w:val="restart"/>
            <w:vAlign w:val="center"/>
          </w:tcPr>
          <w:p w14:paraId="486C1A0C">
            <w:pPr>
              <w:pStyle w:val="110"/>
              <w:widowControl w:val="0"/>
              <w:rPr>
                <w:rFonts w:hAnsi="宋体"/>
              </w:rPr>
            </w:pPr>
            <w:r>
              <w:rPr>
                <w:rFonts w:hint="eastAsia" w:hAnsi="宋体" w:cs="宋体"/>
                <w:spacing w:val="-3"/>
                <w:szCs w:val="18"/>
              </w:rPr>
              <w:t>钻井和修井设备</w:t>
            </w:r>
          </w:p>
        </w:tc>
        <w:tc>
          <w:tcPr>
            <w:tcW w:w="2856" w:type="dxa"/>
            <w:vAlign w:val="center"/>
          </w:tcPr>
          <w:p w14:paraId="724AA89A">
            <w:pPr>
              <w:pStyle w:val="110"/>
              <w:widowControl w:val="0"/>
              <w:rPr>
                <w:rFonts w:hAnsi="宋体"/>
              </w:rPr>
            </w:pPr>
            <w:r>
              <w:rPr>
                <w:rFonts w:hint="eastAsia" w:hAnsi="宋体" w:cs="宋体"/>
                <w:spacing w:val="-2"/>
                <w:szCs w:val="18"/>
              </w:rPr>
              <w:t>钻机</w:t>
            </w:r>
          </w:p>
        </w:tc>
        <w:tc>
          <w:tcPr>
            <w:tcW w:w="4062" w:type="dxa"/>
            <w:vAlign w:val="center"/>
          </w:tcPr>
          <w:p w14:paraId="6C0E025F">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3BEB79C7">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磁粉检测仪2台</w:t>
            </w:r>
          </w:p>
          <w:p w14:paraId="01BD9381">
            <w:pPr>
              <w:pStyle w:val="110"/>
              <w:widowControl w:val="0"/>
              <w:ind w:left="111" w:right="106"/>
              <w:jc w:val="both"/>
              <w:rPr>
                <w:rFonts w:hAnsi="宋体" w:cs="宋体"/>
                <w:kern w:val="2"/>
                <w:szCs w:val="18"/>
              </w:rPr>
            </w:pPr>
            <w:r>
              <w:rPr>
                <w:rFonts w:hint="eastAsia" w:hAnsi="宋体" w:cs="宋体"/>
                <w:kern w:val="2"/>
                <w:szCs w:val="18"/>
              </w:rPr>
              <w:t>应变采集设备1套</w:t>
            </w:r>
          </w:p>
        </w:tc>
      </w:tr>
      <w:tr w14:paraId="2A9D4F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16" w:type="dxa"/>
            <w:vMerge w:val="continue"/>
            <w:vAlign w:val="center"/>
          </w:tcPr>
          <w:p w14:paraId="2A31780D">
            <w:pPr>
              <w:pStyle w:val="110"/>
              <w:widowControl w:val="0"/>
              <w:rPr>
                <w:rFonts w:hAnsi="宋体"/>
              </w:rPr>
            </w:pPr>
          </w:p>
        </w:tc>
        <w:tc>
          <w:tcPr>
            <w:tcW w:w="2856" w:type="dxa"/>
            <w:vAlign w:val="center"/>
          </w:tcPr>
          <w:p w14:paraId="67A28CC7">
            <w:pPr>
              <w:pStyle w:val="110"/>
              <w:widowControl w:val="0"/>
              <w:rPr>
                <w:rFonts w:hAnsi="宋体"/>
              </w:rPr>
            </w:pPr>
            <w:r>
              <w:rPr>
                <w:rFonts w:hint="eastAsia" w:hAnsi="宋体" w:cs="宋体"/>
                <w:spacing w:val="-2"/>
                <w:szCs w:val="18"/>
              </w:rPr>
              <w:t>修井机</w:t>
            </w:r>
          </w:p>
        </w:tc>
        <w:tc>
          <w:tcPr>
            <w:tcW w:w="4062" w:type="dxa"/>
            <w:vAlign w:val="center"/>
          </w:tcPr>
          <w:p w14:paraId="2C1BA0FE">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02AEAC85">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磁粉检测仪2台</w:t>
            </w:r>
          </w:p>
          <w:p w14:paraId="18DAC785">
            <w:pPr>
              <w:pStyle w:val="110"/>
              <w:widowControl w:val="0"/>
              <w:ind w:left="111" w:right="106"/>
              <w:jc w:val="both"/>
              <w:rPr>
                <w:rFonts w:hAnsi="宋体" w:cs="宋体"/>
                <w:kern w:val="2"/>
                <w:szCs w:val="18"/>
              </w:rPr>
            </w:pPr>
            <w:r>
              <w:rPr>
                <w:rFonts w:hint="eastAsia" w:hAnsi="宋体" w:cs="宋体"/>
                <w:kern w:val="2"/>
                <w:szCs w:val="18"/>
              </w:rPr>
              <w:t>应变采集设备1套</w:t>
            </w:r>
          </w:p>
        </w:tc>
      </w:tr>
      <w:tr w14:paraId="3991C7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16" w:type="dxa"/>
            <w:vMerge w:val="continue"/>
            <w:vAlign w:val="center"/>
          </w:tcPr>
          <w:p w14:paraId="2375DE89">
            <w:pPr>
              <w:pStyle w:val="110"/>
              <w:widowControl w:val="0"/>
              <w:rPr>
                <w:rFonts w:hAnsi="宋体"/>
              </w:rPr>
            </w:pPr>
          </w:p>
        </w:tc>
        <w:tc>
          <w:tcPr>
            <w:tcW w:w="2856" w:type="dxa"/>
            <w:vAlign w:val="center"/>
          </w:tcPr>
          <w:p w14:paraId="576B30A8">
            <w:pPr>
              <w:pStyle w:val="110"/>
              <w:widowControl w:val="0"/>
              <w:rPr>
                <w:rFonts w:hAnsi="宋体"/>
              </w:rPr>
            </w:pPr>
            <w:r>
              <w:rPr>
                <w:rFonts w:hint="eastAsia" w:hAnsi="宋体" w:cs="宋体"/>
                <w:spacing w:val="-2"/>
                <w:szCs w:val="18"/>
              </w:rPr>
              <w:t>井控系统</w:t>
            </w:r>
          </w:p>
        </w:tc>
        <w:tc>
          <w:tcPr>
            <w:tcW w:w="4062" w:type="dxa"/>
            <w:vAlign w:val="center"/>
          </w:tcPr>
          <w:p w14:paraId="75D67C1C">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65DE794E">
            <w:pPr>
              <w:widowControl/>
              <w:kinsoku w:val="0"/>
              <w:autoSpaceDE w:val="0"/>
              <w:autoSpaceDN w:val="0"/>
              <w:adjustRightInd w:val="0"/>
              <w:snapToGrid w:val="0"/>
              <w:ind w:left="111" w:right="106"/>
              <w:jc w:val="left"/>
              <w:textAlignment w:val="baseline"/>
              <w:rPr>
                <w:rFonts w:ascii="宋体" w:hAnsi="宋体" w:cs="宋体"/>
                <w:szCs w:val="18"/>
              </w:rPr>
            </w:pPr>
            <w:r>
              <w:rPr>
                <w:rFonts w:hint="eastAsia" w:ascii="宋体" w:hAnsi="宋体" w:eastAsia="宋体" w:cs="宋体"/>
                <w:sz w:val="18"/>
                <w:szCs w:val="18"/>
              </w:rPr>
              <w:t>磁粉检测仪2台</w:t>
            </w:r>
          </w:p>
        </w:tc>
      </w:tr>
      <w:tr w14:paraId="62154C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16" w:type="dxa"/>
            <w:vMerge w:val="restart"/>
            <w:vAlign w:val="center"/>
          </w:tcPr>
          <w:p w14:paraId="130DCFD7">
            <w:pPr>
              <w:pStyle w:val="110"/>
              <w:widowControl w:val="0"/>
              <w:rPr>
                <w:rFonts w:hAnsi="宋体"/>
              </w:rPr>
            </w:pPr>
            <w:r>
              <w:rPr>
                <w:rFonts w:hint="eastAsia" w:hAnsi="宋体" w:cs="宋体"/>
                <w:spacing w:val="-3"/>
                <w:szCs w:val="18"/>
              </w:rPr>
              <w:t>起重和升降设备</w:t>
            </w:r>
          </w:p>
        </w:tc>
        <w:tc>
          <w:tcPr>
            <w:tcW w:w="2856" w:type="dxa"/>
            <w:vAlign w:val="center"/>
          </w:tcPr>
          <w:p w14:paraId="7C8B05A3">
            <w:pPr>
              <w:pStyle w:val="110"/>
              <w:widowControl w:val="0"/>
              <w:rPr>
                <w:rFonts w:hAnsi="宋体"/>
              </w:rPr>
            </w:pPr>
            <w:r>
              <w:rPr>
                <w:rFonts w:hint="eastAsia" w:hAnsi="宋体" w:cs="宋体"/>
                <w:szCs w:val="18"/>
              </w:rPr>
              <w:t>起重机</w:t>
            </w:r>
          </w:p>
        </w:tc>
        <w:tc>
          <w:tcPr>
            <w:tcW w:w="4062" w:type="dxa"/>
            <w:vAlign w:val="center"/>
          </w:tcPr>
          <w:p w14:paraId="75B2011F">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2C0572D2">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磁粉检测仪2台</w:t>
            </w:r>
          </w:p>
          <w:p w14:paraId="3FC566CB">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钢丝绳检测仪2台</w:t>
            </w:r>
          </w:p>
          <w:p w14:paraId="02D5B821">
            <w:pPr>
              <w:pStyle w:val="110"/>
              <w:widowControl w:val="0"/>
              <w:ind w:left="111" w:right="106"/>
              <w:jc w:val="both"/>
              <w:rPr>
                <w:rFonts w:hAnsi="宋体" w:cs="宋体"/>
                <w:kern w:val="2"/>
                <w:szCs w:val="18"/>
              </w:rPr>
            </w:pPr>
            <w:r>
              <w:rPr>
                <w:rFonts w:hint="eastAsia" w:hAnsi="宋体" w:cs="宋体"/>
                <w:kern w:val="2"/>
                <w:szCs w:val="18"/>
              </w:rPr>
              <w:t>试重设备2套</w:t>
            </w:r>
          </w:p>
          <w:p w14:paraId="6CB9B6DC">
            <w:pPr>
              <w:pStyle w:val="110"/>
              <w:widowControl w:val="0"/>
              <w:ind w:left="111" w:right="106"/>
              <w:jc w:val="both"/>
              <w:rPr>
                <w:rFonts w:hAnsi="宋体" w:cs="宋体"/>
                <w:szCs w:val="18"/>
              </w:rPr>
            </w:pPr>
            <w:r>
              <w:rPr>
                <w:rFonts w:hint="eastAsia" w:hAnsi="宋体" w:cs="宋体"/>
                <w:kern w:val="2"/>
                <w:szCs w:val="18"/>
              </w:rPr>
              <w:t>便携式激光测距仪2</w:t>
            </w:r>
            <w:r>
              <w:rPr>
                <w:rFonts w:hint="eastAsia" w:hAnsi="宋体" w:cs="宋体"/>
                <w:szCs w:val="18"/>
              </w:rPr>
              <w:t>台</w:t>
            </w:r>
          </w:p>
          <w:p w14:paraId="520DD076">
            <w:pPr>
              <w:pStyle w:val="110"/>
              <w:widowControl w:val="0"/>
              <w:ind w:left="111" w:right="106"/>
              <w:jc w:val="both"/>
              <w:rPr>
                <w:rFonts w:hAnsi="宋体" w:cs="宋体"/>
                <w:szCs w:val="18"/>
              </w:rPr>
            </w:pPr>
            <w:r>
              <w:rPr>
                <w:rFonts w:hint="eastAsia" w:hAnsi="宋体" w:cs="宋体"/>
                <w:szCs w:val="18"/>
              </w:rPr>
              <w:t>数字万用表</w:t>
            </w:r>
            <w:r>
              <w:rPr>
                <w:rFonts w:hint="eastAsia" w:hAnsi="宋体" w:cs="宋体"/>
                <w:kern w:val="2"/>
                <w:szCs w:val="18"/>
              </w:rPr>
              <w:t>2</w:t>
            </w:r>
            <w:r>
              <w:rPr>
                <w:rFonts w:hint="eastAsia" w:hAnsi="宋体" w:cs="宋体"/>
                <w:szCs w:val="18"/>
              </w:rPr>
              <w:t>台</w:t>
            </w:r>
          </w:p>
        </w:tc>
      </w:tr>
      <w:tr w14:paraId="000D70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16" w:type="dxa"/>
            <w:vMerge w:val="continue"/>
            <w:vAlign w:val="center"/>
          </w:tcPr>
          <w:p w14:paraId="693E3C6C">
            <w:pPr>
              <w:pStyle w:val="110"/>
              <w:widowControl w:val="0"/>
              <w:rPr>
                <w:rFonts w:hAnsi="宋体"/>
              </w:rPr>
            </w:pPr>
          </w:p>
        </w:tc>
        <w:tc>
          <w:tcPr>
            <w:tcW w:w="2856" w:type="dxa"/>
            <w:vAlign w:val="center"/>
          </w:tcPr>
          <w:p w14:paraId="3AC17059">
            <w:pPr>
              <w:pStyle w:val="110"/>
              <w:widowControl w:val="0"/>
              <w:rPr>
                <w:rFonts w:hAnsi="宋体"/>
              </w:rPr>
            </w:pPr>
            <w:r>
              <w:rPr>
                <w:rFonts w:hint="eastAsia" w:hAnsi="宋体" w:cs="宋体"/>
                <w:spacing w:val="-2"/>
                <w:szCs w:val="18"/>
              </w:rPr>
              <w:t>升降栈桥</w:t>
            </w:r>
          </w:p>
        </w:tc>
        <w:tc>
          <w:tcPr>
            <w:tcW w:w="4062" w:type="dxa"/>
            <w:vAlign w:val="center"/>
          </w:tcPr>
          <w:p w14:paraId="1DD8104A">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654443EA">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磁粉检测仪2台</w:t>
            </w:r>
          </w:p>
          <w:p w14:paraId="331BC841">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钢丝绳检测仪2台</w:t>
            </w:r>
          </w:p>
          <w:p w14:paraId="137BACDD">
            <w:pPr>
              <w:pStyle w:val="110"/>
              <w:widowControl w:val="0"/>
              <w:ind w:left="111" w:right="106"/>
              <w:jc w:val="both"/>
              <w:rPr>
                <w:rFonts w:hAnsi="宋体" w:cs="宋体"/>
                <w:kern w:val="2"/>
                <w:szCs w:val="18"/>
              </w:rPr>
            </w:pPr>
            <w:r>
              <w:rPr>
                <w:rFonts w:hint="eastAsia" w:hAnsi="宋体" w:cs="宋体"/>
                <w:kern w:val="2"/>
                <w:szCs w:val="18"/>
              </w:rPr>
              <w:t>试重设备2套</w:t>
            </w:r>
          </w:p>
        </w:tc>
      </w:tr>
      <w:tr w14:paraId="749281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16" w:type="dxa"/>
            <w:vMerge w:val="continue"/>
            <w:vAlign w:val="center"/>
          </w:tcPr>
          <w:p w14:paraId="3521F471">
            <w:pPr>
              <w:pStyle w:val="110"/>
              <w:widowControl w:val="0"/>
              <w:rPr>
                <w:rFonts w:hAnsi="宋体"/>
              </w:rPr>
            </w:pPr>
          </w:p>
        </w:tc>
        <w:tc>
          <w:tcPr>
            <w:tcW w:w="2856" w:type="dxa"/>
            <w:vAlign w:val="center"/>
          </w:tcPr>
          <w:p w14:paraId="32110226">
            <w:pPr>
              <w:pStyle w:val="110"/>
              <w:widowControl w:val="0"/>
              <w:rPr>
                <w:rFonts w:hAnsi="宋体"/>
              </w:rPr>
            </w:pPr>
            <w:r>
              <w:rPr>
                <w:rFonts w:hint="eastAsia" w:hAnsi="宋体" w:cs="宋体"/>
                <w:spacing w:val="-2"/>
                <w:szCs w:val="18"/>
              </w:rPr>
              <w:t>升降机</w:t>
            </w:r>
          </w:p>
        </w:tc>
        <w:tc>
          <w:tcPr>
            <w:tcW w:w="4062" w:type="dxa"/>
            <w:vAlign w:val="center"/>
          </w:tcPr>
          <w:p w14:paraId="2B79E0C3">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7D416D4E">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磁粉检测仪2台</w:t>
            </w:r>
          </w:p>
          <w:p w14:paraId="57317145">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钢丝绳检测仪2台</w:t>
            </w:r>
          </w:p>
          <w:p w14:paraId="2E3F9F97">
            <w:pPr>
              <w:pStyle w:val="110"/>
              <w:widowControl w:val="0"/>
              <w:ind w:left="111" w:right="106"/>
              <w:jc w:val="both"/>
              <w:rPr>
                <w:rFonts w:hAnsi="宋体" w:cs="宋体"/>
                <w:kern w:val="2"/>
                <w:szCs w:val="18"/>
              </w:rPr>
            </w:pPr>
            <w:r>
              <w:rPr>
                <w:rFonts w:hint="eastAsia" w:hAnsi="宋体" w:cs="宋体"/>
                <w:kern w:val="2"/>
                <w:szCs w:val="18"/>
              </w:rPr>
              <w:t>试重设备2套</w:t>
            </w:r>
          </w:p>
          <w:p w14:paraId="5E8BB9B9">
            <w:pPr>
              <w:pStyle w:val="110"/>
              <w:widowControl w:val="0"/>
              <w:ind w:left="111" w:right="106"/>
              <w:jc w:val="both"/>
              <w:rPr>
                <w:rFonts w:hAnsi="宋体" w:cs="宋体"/>
                <w:szCs w:val="18"/>
              </w:rPr>
            </w:pPr>
            <w:r>
              <w:rPr>
                <w:rFonts w:hint="eastAsia" w:hAnsi="宋体" w:cs="宋体"/>
                <w:kern w:val="2"/>
                <w:szCs w:val="18"/>
              </w:rPr>
              <w:t>便携式激光测距仪2</w:t>
            </w:r>
            <w:r>
              <w:rPr>
                <w:rFonts w:hint="eastAsia" w:hAnsi="宋体" w:cs="宋体"/>
                <w:szCs w:val="18"/>
              </w:rPr>
              <w:t>台</w:t>
            </w:r>
          </w:p>
          <w:p w14:paraId="73BBFA8E">
            <w:pPr>
              <w:pStyle w:val="110"/>
              <w:widowControl w:val="0"/>
              <w:ind w:left="111" w:right="106"/>
              <w:jc w:val="both"/>
              <w:rPr>
                <w:rFonts w:hAnsi="宋体" w:cs="宋体"/>
                <w:szCs w:val="18"/>
              </w:rPr>
            </w:pPr>
            <w:r>
              <w:rPr>
                <w:rFonts w:hint="eastAsia" w:hAnsi="宋体" w:cs="宋体"/>
                <w:szCs w:val="18"/>
              </w:rPr>
              <w:t>数字万用表</w:t>
            </w:r>
            <w:r>
              <w:rPr>
                <w:rFonts w:hint="eastAsia" w:hAnsi="宋体" w:cs="宋体"/>
                <w:kern w:val="2"/>
                <w:szCs w:val="18"/>
              </w:rPr>
              <w:t>2</w:t>
            </w:r>
            <w:r>
              <w:rPr>
                <w:rFonts w:hint="eastAsia" w:hAnsi="宋体" w:cs="宋体"/>
                <w:szCs w:val="18"/>
              </w:rPr>
              <w:t>台</w:t>
            </w:r>
          </w:p>
        </w:tc>
      </w:tr>
      <w:tr w14:paraId="0780C2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16" w:type="dxa"/>
            <w:vMerge w:val="continue"/>
            <w:vAlign w:val="center"/>
          </w:tcPr>
          <w:p w14:paraId="51C3E5D4">
            <w:pPr>
              <w:pStyle w:val="110"/>
              <w:widowControl w:val="0"/>
              <w:rPr>
                <w:rFonts w:hAnsi="宋体"/>
              </w:rPr>
            </w:pPr>
          </w:p>
        </w:tc>
        <w:tc>
          <w:tcPr>
            <w:tcW w:w="2856" w:type="dxa"/>
            <w:vAlign w:val="center"/>
          </w:tcPr>
          <w:p w14:paraId="2037C0AE">
            <w:pPr>
              <w:pStyle w:val="110"/>
              <w:widowControl w:val="0"/>
              <w:rPr>
                <w:rFonts w:hAnsi="宋体"/>
              </w:rPr>
            </w:pPr>
            <w:r>
              <w:rPr>
                <w:rFonts w:hint="eastAsia" w:hAnsi="宋体" w:cs="宋体"/>
                <w:spacing w:val="-8"/>
                <w:szCs w:val="18"/>
              </w:rPr>
              <w:t>电梯</w:t>
            </w:r>
          </w:p>
        </w:tc>
        <w:tc>
          <w:tcPr>
            <w:tcW w:w="4062" w:type="dxa"/>
            <w:vAlign w:val="center"/>
          </w:tcPr>
          <w:p w14:paraId="7973865D">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361CF9F9">
            <w:pPr>
              <w:pStyle w:val="110"/>
              <w:widowControl w:val="0"/>
              <w:ind w:left="111" w:right="106"/>
              <w:jc w:val="both"/>
              <w:rPr>
                <w:rFonts w:hAnsi="宋体" w:cs="宋体"/>
                <w:kern w:val="2"/>
                <w:szCs w:val="18"/>
              </w:rPr>
            </w:pPr>
            <w:r>
              <w:rPr>
                <w:rFonts w:hint="eastAsia" w:hAnsi="宋体" w:cs="宋体"/>
                <w:kern w:val="2"/>
                <w:szCs w:val="18"/>
              </w:rPr>
              <w:t>磁粉检测仪2台</w:t>
            </w:r>
          </w:p>
          <w:p w14:paraId="7D573A25">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钢丝绳检测仪2台</w:t>
            </w:r>
          </w:p>
          <w:p w14:paraId="6914EAFD">
            <w:pPr>
              <w:pStyle w:val="110"/>
              <w:widowControl w:val="0"/>
              <w:ind w:left="111" w:right="106"/>
              <w:jc w:val="both"/>
              <w:rPr>
                <w:rFonts w:hAnsi="宋体" w:cs="宋体"/>
                <w:szCs w:val="18"/>
              </w:rPr>
            </w:pPr>
            <w:r>
              <w:rPr>
                <w:rFonts w:hint="eastAsia" w:hAnsi="宋体" w:cs="宋体"/>
                <w:kern w:val="2"/>
                <w:szCs w:val="18"/>
              </w:rPr>
              <w:t>转速表或者速度检测仪</w:t>
            </w:r>
            <w:r>
              <w:rPr>
                <w:rFonts w:hint="eastAsia" w:hAnsi="宋体" w:cs="宋体"/>
                <w:szCs w:val="18"/>
              </w:rPr>
              <w:t>2台</w:t>
            </w:r>
          </w:p>
          <w:p w14:paraId="44B7CB20">
            <w:pPr>
              <w:pStyle w:val="110"/>
              <w:widowControl w:val="0"/>
              <w:ind w:left="111" w:right="106"/>
              <w:jc w:val="both"/>
              <w:rPr>
                <w:rFonts w:hAnsi="宋体" w:cs="宋体"/>
                <w:szCs w:val="18"/>
              </w:rPr>
            </w:pPr>
            <w:r>
              <w:rPr>
                <w:rFonts w:hint="eastAsia" w:hAnsi="宋体" w:cs="宋体"/>
                <w:szCs w:val="18"/>
              </w:rPr>
              <w:t>照度计2台</w:t>
            </w:r>
          </w:p>
          <w:p w14:paraId="1D38307D">
            <w:pPr>
              <w:pStyle w:val="110"/>
              <w:widowControl w:val="0"/>
              <w:ind w:left="111" w:right="106"/>
              <w:jc w:val="both"/>
              <w:rPr>
                <w:rFonts w:hAnsi="宋体" w:cs="宋体"/>
                <w:szCs w:val="18"/>
              </w:rPr>
            </w:pPr>
            <w:r>
              <w:rPr>
                <w:rFonts w:hint="eastAsia" w:hAnsi="宋体" w:cs="宋体"/>
                <w:szCs w:val="18"/>
              </w:rPr>
              <w:t>温湿度计2台</w:t>
            </w:r>
          </w:p>
          <w:p w14:paraId="7E5A48B5">
            <w:pPr>
              <w:pStyle w:val="110"/>
              <w:widowControl w:val="0"/>
              <w:ind w:left="111" w:right="106"/>
              <w:jc w:val="both"/>
              <w:rPr>
                <w:rFonts w:hAnsi="宋体" w:cs="宋体"/>
                <w:szCs w:val="18"/>
              </w:rPr>
            </w:pPr>
            <w:r>
              <w:rPr>
                <w:rFonts w:hint="eastAsia" w:hAnsi="宋体" w:cs="宋体"/>
                <w:szCs w:val="18"/>
              </w:rPr>
              <w:t>限速器动作速度测试设备1台</w:t>
            </w:r>
          </w:p>
          <w:p w14:paraId="36C31666">
            <w:pPr>
              <w:pStyle w:val="110"/>
              <w:widowControl w:val="0"/>
              <w:ind w:left="111" w:right="106"/>
              <w:jc w:val="both"/>
              <w:rPr>
                <w:rFonts w:hAnsi="宋体" w:cs="宋体"/>
                <w:szCs w:val="18"/>
              </w:rPr>
            </w:pPr>
            <w:r>
              <w:rPr>
                <w:rFonts w:hint="eastAsia" w:hAnsi="宋体" w:cs="宋体"/>
                <w:szCs w:val="18"/>
              </w:rPr>
              <w:t>电梯振动及起制动加减速度测量仪1台</w:t>
            </w:r>
          </w:p>
          <w:p w14:paraId="276CE420">
            <w:pPr>
              <w:pStyle w:val="110"/>
              <w:widowControl w:val="0"/>
              <w:ind w:left="111" w:right="106"/>
              <w:jc w:val="both"/>
              <w:rPr>
                <w:rFonts w:hAnsi="宋体" w:cs="宋体"/>
                <w:szCs w:val="18"/>
              </w:rPr>
            </w:pPr>
            <w:r>
              <w:rPr>
                <w:rFonts w:hint="eastAsia" w:hAnsi="宋体" w:cs="宋体"/>
                <w:szCs w:val="18"/>
              </w:rPr>
              <w:t>导轨垂直度测量仪1台</w:t>
            </w:r>
          </w:p>
        </w:tc>
      </w:tr>
      <w:tr w14:paraId="284EBE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42" w:hRule="atLeast"/>
          <w:jc w:val="center"/>
        </w:trPr>
        <w:tc>
          <w:tcPr>
            <w:tcW w:w="2416" w:type="dxa"/>
            <w:vMerge w:val="restart"/>
            <w:vAlign w:val="center"/>
          </w:tcPr>
          <w:p w14:paraId="63280B91">
            <w:pPr>
              <w:pStyle w:val="110"/>
              <w:widowControl w:val="0"/>
              <w:rPr>
                <w:rFonts w:hAnsi="宋体"/>
              </w:rPr>
            </w:pPr>
            <w:r>
              <w:rPr>
                <w:rFonts w:hint="eastAsia" w:hAnsi="宋体" w:cs="宋体"/>
                <w:spacing w:val="-9"/>
                <w:szCs w:val="18"/>
              </w:rPr>
              <w:t>火灾和可燃气体探测报警及</w:t>
            </w:r>
            <w:r>
              <w:rPr>
                <w:rFonts w:hint="eastAsia" w:hAnsi="宋体" w:cs="宋体"/>
                <w:spacing w:val="-3"/>
                <w:szCs w:val="18"/>
              </w:rPr>
              <w:t>控制系统</w:t>
            </w:r>
          </w:p>
        </w:tc>
        <w:tc>
          <w:tcPr>
            <w:tcW w:w="2856" w:type="dxa"/>
            <w:vAlign w:val="center"/>
          </w:tcPr>
          <w:p w14:paraId="2DB7D123">
            <w:pPr>
              <w:pStyle w:val="110"/>
              <w:widowControl w:val="0"/>
              <w:rPr>
                <w:rFonts w:hAnsi="宋体"/>
              </w:rPr>
            </w:pPr>
            <w:r>
              <w:rPr>
                <w:rFonts w:hint="eastAsia" w:hAnsi="宋体" w:cs="宋体"/>
                <w:spacing w:val="-6"/>
                <w:szCs w:val="18"/>
              </w:rPr>
              <w:t>可燃气体、有毒有害气体探测</w:t>
            </w:r>
            <w:r>
              <w:rPr>
                <w:rFonts w:hint="eastAsia" w:hAnsi="宋体" w:cs="宋体"/>
                <w:spacing w:val="-1"/>
                <w:szCs w:val="18"/>
              </w:rPr>
              <w:t>报警系统</w:t>
            </w:r>
          </w:p>
        </w:tc>
        <w:tc>
          <w:tcPr>
            <w:tcW w:w="4062" w:type="dxa"/>
            <w:vAlign w:val="center"/>
          </w:tcPr>
          <w:p w14:paraId="6B7CC2DF">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color w:val="000000" w:themeColor="text1"/>
                <w:sz w:val="18"/>
                <w:szCs w:val="18"/>
              </w:rPr>
              <w:t>有证气体标准物质1套</w:t>
            </w:r>
            <w:r>
              <w:rPr>
                <w:rFonts w:hint="eastAsia" w:ascii="宋体" w:hAnsi="宋体" w:eastAsia="宋体" w:cs="宋体"/>
                <w:color w:val="000000" w:themeColor="text1"/>
                <w:sz w:val="18"/>
                <w:szCs w:val="18"/>
                <w:vertAlign w:val="superscript"/>
              </w:rPr>
              <w:t>c</w:t>
            </w:r>
          </w:p>
        </w:tc>
      </w:tr>
      <w:tr w14:paraId="3BDC11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33" w:hRule="atLeast"/>
          <w:jc w:val="center"/>
        </w:trPr>
        <w:tc>
          <w:tcPr>
            <w:tcW w:w="2416" w:type="dxa"/>
            <w:vMerge w:val="continue"/>
            <w:vAlign w:val="center"/>
          </w:tcPr>
          <w:p w14:paraId="3DEF0297">
            <w:pPr>
              <w:widowControl/>
              <w:kinsoku w:val="0"/>
              <w:autoSpaceDE w:val="0"/>
              <w:autoSpaceDN w:val="0"/>
              <w:snapToGrid w:val="0"/>
              <w:ind w:left="111" w:right="106"/>
              <w:jc w:val="left"/>
              <w:textAlignment w:val="baseline"/>
              <w:rPr>
                <w:rFonts w:ascii="宋体" w:hAnsi="宋体"/>
              </w:rPr>
            </w:pPr>
          </w:p>
        </w:tc>
        <w:tc>
          <w:tcPr>
            <w:tcW w:w="2856" w:type="dxa"/>
            <w:vAlign w:val="center"/>
          </w:tcPr>
          <w:p w14:paraId="5441BA29">
            <w:pPr>
              <w:widowControl/>
              <w:kinsoku w:val="0"/>
              <w:autoSpaceDE w:val="0"/>
              <w:autoSpaceDN w:val="0"/>
              <w:snapToGrid w:val="0"/>
              <w:ind w:right="106"/>
              <w:jc w:val="center"/>
              <w:textAlignment w:val="baseline"/>
              <w:rPr>
                <w:rFonts w:ascii="宋体" w:hAnsi="宋体" w:cs="宋体"/>
                <w:spacing w:val="-1"/>
                <w:szCs w:val="18"/>
              </w:rPr>
            </w:pPr>
            <w:r>
              <w:rPr>
                <w:rFonts w:hint="eastAsia" w:ascii="宋体" w:hAnsi="宋体" w:eastAsia="宋体" w:cs="宋体"/>
                <w:spacing w:val="-6"/>
                <w:kern w:val="0"/>
                <w:sz w:val="18"/>
                <w:szCs w:val="18"/>
              </w:rPr>
              <w:t>火灾自动报警系统</w:t>
            </w:r>
          </w:p>
        </w:tc>
        <w:tc>
          <w:tcPr>
            <w:tcW w:w="4062" w:type="dxa"/>
            <w:vAlign w:val="center"/>
          </w:tcPr>
          <w:p w14:paraId="37444966">
            <w:pPr>
              <w:widowControl/>
              <w:kinsoku w:val="0"/>
              <w:autoSpaceDE w:val="0"/>
              <w:autoSpaceDN w:val="0"/>
              <w:snapToGrid w:val="0"/>
              <w:ind w:left="111" w:right="106"/>
              <w:jc w:val="left"/>
              <w:textAlignment w:val="baseline"/>
              <w:rPr>
                <w:rFonts w:ascii="宋体" w:hAnsi="宋体" w:eastAsia="宋体" w:cs="宋体"/>
                <w:spacing w:val="-6"/>
                <w:kern w:val="0"/>
                <w:sz w:val="18"/>
                <w:szCs w:val="18"/>
              </w:rPr>
            </w:pPr>
            <w:r>
              <w:rPr>
                <w:rFonts w:hint="eastAsia" w:ascii="宋体" w:hAnsi="宋体" w:eastAsia="宋体" w:cs="宋体"/>
                <w:spacing w:val="-6"/>
                <w:kern w:val="0"/>
                <w:sz w:val="18"/>
                <w:szCs w:val="18"/>
              </w:rPr>
              <w:t>火灾探测器（感温、感烟）检测设备2套</w:t>
            </w:r>
          </w:p>
          <w:p w14:paraId="268D1BEA">
            <w:pPr>
              <w:widowControl/>
              <w:kinsoku w:val="0"/>
              <w:autoSpaceDE w:val="0"/>
              <w:autoSpaceDN w:val="0"/>
              <w:snapToGrid w:val="0"/>
              <w:ind w:left="111" w:right="106"/>
              <w:jc w:val="left"/>
              <w:textAlignment w:val="baseline"/>
              <w:rPr>
                <w:rFonts w:ascii="宋体" w:hAnsi="宋体" w:cs="宋体"/>
                <w:spacing w:val="-1"/>
                <w:szCs w:val="18"/>
              </w:rPr>
            </w:pPr>
            <w:r>
              <w:rPr>
                <w:rFonts w:hint="eastAsia" w:ascii="宋体" w:hAnsi="宋体" w:eastAsia="宋体" w:cs="宋体"/>
                <w:spacing w:val="-6"/>
                <w:kern w:val="0"/>
                <w:sz w:val="18"/>
                <w:szCs w:val="18"/>
              </w:rPr>
              <w:t>火焰测试灯2台</w:t>
            </w:r>
          </w:p>
        </w:tc>
      </w:tr>
      <w:tr w14:paraId="096273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416" w:type="dxa"/>
            <w:vMerge w:val="restart"/>
            <w:vAlign w:val="center"/>
          </w:tcPr>
          <w:p w14:paraId="31AED515">
            <w:pPr>
              <w:pStyle w:val="110"/>
              <w:widowControl w:val="0"/>
              <w:rPr>
                <w:rFonts w:hAnsi="宋体"/>
              </w:rPr>
            </w:pPr>
            <w:r>
              <w:rPr>
                <w:rFonts w:hint="eastAsia" w:hAnsi="宋体" w:cs="宋体"/>
                <w:spacing w:val="-5"/>
                <w:szCs w:val="18"/>
              </w:rPr>
              <w:t>安全阀</w:t>
            </w:r>
          </w:p>
        </w:tc>
        <w:tc>
          <w:tcPr>
            <w:tcW w:w="2856" w:type="dxa"/>
            <w:shd w:val="clear" w:color="auto" w:fill="auto"/>
            <w:vAlign w:val="center"/>
          </w:tcPr>
          <w:p w14:paraId="46E334F1">
            <w:pPr>
              <w:pStyle w:val="110"/>
              <w:widowControl w:val="0"/>
              <w:rPr>
                <w:rFonts w:hAnsi="宋体"/>
              </w:rPr>
            </w:pPr>
            <w:r>
              <w:rPr>
                <w:rFonts w:hint="eastAsia" w:hAnsi="宋体" w:cs="宋体"/>
                <w:spacing w:val="-2"/>
                <w:szCs w:val="18"/>
              </w:rPr>
              <w:t>安全阀</w:t>
            </w:r>
          </w:p>
        </w:tc>
        <w:tc>
          <w:tcPr>
            <w:tcW w:w="4062" w:type="dxa"/>
            <w:shd w:val="clear" w:color="auto" w:fill="auto"/>
            <w:vAlign w:val="center"/>
          </w:tcPr>
          <w:p w14:paraId="4E214A69">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安全阀离线检验装置2套</w:t>
            </w:r>
          </w:p>
          <w:p w14:paraId="62212C72">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安全阀在线检验装置1套</w:t>
            </w:r>
          </w:p>
          <w:p w14:paraId="37225FD1">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安全阀手动或自动研磨设备2套</w:t>
            </w:r>
          </w:p>
        </w:tc>
      </w:tr>
      <w:tr w14:paraId="2F48FB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416" w:type="dxa"/>
            <w:vMerge w:val="continue"/>
            <w:vAlign w:val="center"/>
          </w:tcPr>
          <w:p w14:paraId="0079E356">
            <w:pPr>
              <w:pStyle w:val="110"/>
              <w:widowControl w:val="0"/>
              <w:rPr>
                <w:rFonts w:hAnsi="宋体"/>
              </w:rPr>
            </w:pPr>
          </w:p>
        </w:tc>
        <w:tc>
          <w:tcPr>
            <w:tcW w:w="2856" w:type="dxa"/>
            <w:shd w:val="clear" w:color="auto" w:fill="auto"/>
            <w:vAlign w:val="center"/>
          </w:tcPr>
          <w:p w14:paraId="51FF09B7">
            <w:pPr>
              <w:pStyle w:val="110"/>
              <w:widowControl w:val="0"/>
              <w:rPr>
                <w:rFonts w:hAnsi="宋体"/>
              </w:rPr>
            </w:pPr>
            <w:r>
              <w:rPr>
                <w:rFonts w:hint="eastAsia" w:hAnsi="宋体" w:cs="宋体"/>
                <w:spacing w:val="-4"/>
                <w:szCs w:val="18"/>
              </w:rPr>
              <w:t>呼吸阀</w:t>
            </w:r>
          </w:p>
        </w:tc>
        <w:tc>
          <w:tcPr>
            <w:tcW w:w="4062" w:type="dxa"/>
            <w:shd w:val="clear" w:color="auto" w:fill="auto"/>
            <w:vAlign w:val="center"/>
          </w:tcPr>
          <w:p w14:paraId="1E60D1F5">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呼吸阀离线检验装置2套</w:t>
            </w:r>
          </w:p>
        </w:tc>
      </w:tr>
      <w:tr w14:paraId="40522A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416" w:type="dxa"/>
            <w:vMerge w:val="restart"/>
            <w:vAlign w:val="center"/>
          </w:tcPr>
          <w:p w14:paraId="330E2343">
            <w:pPr>
              <w:pStyle w:val="110"/>
              <w:widowControl w:val="0"/>
              <w:rPr>
                <w:rFonts w:hAnsi="宋体"/>
              </w:rPr>
            </w:pPr>
            <w:r>
              <w:rPr>
                <w:rFonts w:hint="eastAsia" w:hAnsi="宋体" w:cs="宋体"/>
                <w:spacing w:val="-5"/>
                <w:szCs w:val="18"/>
              </w:rPr>
              <w:t>救生设备</w:t>
            </w:r>
          </w:p>
        </w:tc>
        <w:tc>
          <w:tcPr>
            <w:tcW w:w="2856" w:type="dxa"/>
            <w:shd w:val="clear" w:color="auto" w:fill="auto"/>
            <w:vAlign w:val="center"/>
          </w:tcPr>
          <w:p w14:paraId="6480D983">
            <w:pPr>
              <w:pStyle w:val="110"/>
              <w:widowControl w:val="0"/>
              <w:rPr>
                <w:rFonts w:hAnsi="宋体"/>
              </w:rPr>
            </w:pPr>
            <w:r>
              <w:rPr>
                <w:rFonts w:hint="eastAsia" w:hAnsi="宋体" w:cs="宋体"/>
                <w:spacing w:val="-2"/>
                <w:szCs w:val="18"/>
              </w:rPr>
              <w:t>救生艇</w:t>
            </w:r>
          </w:p>
        </w:tc>
        <w:tc>
          <w:tcPr>
            <w:tcW w:w="4062" w:type="dxa"/>
            <w:shd w:val="clear" w:color="auto" w:fill="auto"/>
            <w:vAlign w:val="center"/>
          </w:tcPr>
          <w:p w14:paraId="7EA8A123">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40942344">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磁粉检测仪2台</w:t>
            </w:r>
          </w:p>
          <w:p w14:paraId="0FCEF86B">
            <w:pPr>
              <w:pStyle w:val="110"/>
              <w:widowControl w:val="0"/>
              <w:ind w:left="111"/>
              <w:jc w:val="both"/>
              <w:rPr>
                <w:rFonts w:hAnsi="宋体" w:cs="宋体"/>
                <w:kern w:val="2"/>
                <w:szCs w:val="18"/>
              </w:rPr>
            </w:pPr>
            <w:r>
              <w:rPr>
                <w:rFonts w:hint="eastAsia" w:hAnsi="宋体" w:cs="宋体"/>
                <w:kern w:val="2"/>
                <w:szCs w:val="18"/>
              </w:rPr>
              <w:t>救生艇试重设备2套</w:t>
            </w:r>
          </w:p>
        </w:tc>
      </w:tr>
      <w:tr w14:paraId="0D4DD7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416" w:type="dxa"/>
            <w:vMerge w:val="continue"/>
            <w:vAlign w:val="center"/>
          </w:tcPr>
          <w:p w14:paraId="0AABB3A8">
            <w:pPr>
              <w:pStyle w:val="110"/>
              <w:widowControl w:val="0"/>
              <w:rPr>
                <w:rFonts w:hAnsi="宋体"/>
              </w:rPr>
            </w:pPr>
          </w:p>
        </w:tc>
        <w:tc>
          <w:tcPr>
            <w:tcW w:w="2856" w:type="dxa"/>
            <w:shd w:val="clear" w:color="auto" w:fill="auto"/>
            <w:vAlign w:val="center"/>
          </w:tcPr>
          <w:p w14:paraId="577168FD">
            <w:pPr>
              <w:pStyle w:val="110"/>
              <w:widowControl w:val="0"/>
              <w:rPr>
                <w:rFonts w:hAnsi="宋体"/>
              </w:rPr>
            </w:pPr>
            <w:r>
              <w:rPr>
                <w:rFonts w:hint="eastAsia" w:hAnsi="宋体" w:cs="宋体"/>
                <w:spacing w:val="-2"/>
                <w:szCs w:val="18"/>
              </w:rPr>
              <w:t>救助艇</w:t>
            </w:r>
          </w:p>
        </w:tc>
        <w:tc>
          <w:tcPr>
            <w:tcW w:w="4062" w:type="dxa"/>
            <w:shd w:val="clear" w:color="auto" w:fill="auto"/>
            <w:vAlign w:val="center"/>
          </w:tcPr>
          <w:p w14:paraId="2DA8F709">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65A0ADF4">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磁粉检测仪2台</w:t>
            </w:r>
          </w:p>
          <w:p w14:paraId="7387EDF1">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救助艇试重设备2套</w:t>
            </w:r>
          </w:p>
        </w:tc>
      </w:tr>
      <w:tr w14:paraId="3A05B1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2416" w:type="dxa"/>
            <w:vMerge w:val="continue"/>
            <w:vAlign w:val="center"/>
          </w:tcPr>
          <w:p w14:paraId="6DBD1AE8">
            <w:pPr>
              <w:pStyle w:val="110"/>
              <w:widowControl w:val="0"/>
              <w:rPr>
                <w:rFonts w:hAnsi="宋体"/>
              </w:rPr>
            </w:pPr>
          </w:p>
        </w:tc>
        <w:tc>
          <w:tcPr>
            <w:tcW w:w="2856" w:type="dxa"/>
            <w:shd w:val="clear" w:color="auto" w:fill="auto"/>
            <w:vAlign w:val="center"/>
          </w:tcPr>
          <w:p w14:paraId="5DE42414">
            <w:pPr>
              <w:pStyle w:val="110"/>
              <w:widowControl w:val="0"/>
              <w:rPr>
                <w:rFonts w:hAnsi="宋体"/>
              </w:rPr>
            </w:pPr>
            <w:r>
              <w:rPr>
                <w:rFonts w:hint="eastAsia" w:hAnsi="宋体" w:cs="宋体"/>
                <w:spacing w:val="-2"/>
                <w:szCs w:val="18"/>
              </w:rPr>
              <w:t>救生筏</w:t>
            </w:r>
          </w:p>
        </w:tc>
        <w:tc>
          <w:tcPr>
            <w:tcW w:w="4062" w:type="dxa"/>
            <w:shd w:val="clear" w:color="auto" w:fill="auto"/>
            <w:vAlign w:val="center"/>
          </w:tcPr>
          <w:p w14:paraId="29A64CD8">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试重袋3个</w:t>
            </w:r>
          </w:p>
          <w:p w14:paraId="665377C0">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电子秤1台</w:t>
            </w:r>
          </w:p>
          <w:p w14:paraId="0EA70EF1">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钢瓶固定设备1台</w:t>
            </w:r>
          </w:p>
          <w:p w14:paraId="2BDA2553">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压力表4块</w:t>
            </w:r>
          </w:p>
          <w:p w14:paraId="0B36F491">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吸尘器1台</w:t>
            </w:r>
          </w:p>
          <w:p w14:paraId="0B57127F">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打包机1台</w:t>
            </w:r>
          </w:p>
        </w:tc>
      </w:tr>
    </w:tbl>
    <w:p w14:paraId="734899E4">
      <w:pPr>
        <w:pStyle w:val="43"/>
        <w:pageBreakBefore/>
        <w:spacing w:beforeLines="50" w:afterLines="50"/>
        <w:ind w:firstLine="0" w:firstLineChars="0"/>
        <w:jc w:val="center"/>
        <w:rPr>
          <w:rFonts w:hAnsi="宋体"/>
        </w:rPr>
      </w:pPr>
      <w:r>
        <w:rPr>
          <w:rFonts w:hint="eastAsia" w:hAnsi="宋体" w:eastAsia="黑体"/>
        </w:rPr>
        <w:t>表A.3  海洋石油专业设备检测检验机构设备配置条件</w:t>
      </w:r>
      <w:r>
        <w:rPr>
          <w:rFonts w:hint="eastAsia" w:hAnsi="宋体"/>
        </w:rPr>
        <w:t>（续）</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400"/>
        <w:gridCol w:w="3119"/>
        <w:gridCol w:w="3815"/>
      </w:tblGrid>
      <w:tr w14:paraId="625315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400" w:type="dxa"/>
            <w:tcBorders>
              <w:top w:val="single" w:color="auto" w:sz="8" w:space="0"/>
              <w:bottom w:val="single" w:color="auto" w:sz="8" w:space="0"/>
            </w:tcBorders>
            <w:vAlign w:val="center"/>
          </w:tcPr>
          <w:p w14:paraId="471FAE34">
            <w:pPr>
              <w:pStyle w:val="110"/>
              <w:widowControl w:val="0"/>
              <w:rPr>
                <w:rFonts w:hAnsi="宋体"/>
              </w:rPr>
            </w:pPr>
            <w:r>
              <w:rPr>
                <w:rFonts w:hint="eastAsia" w:hAnsi="宋体" w:cs="宋体"/>
                <w:szCs w:val="18"/>
              </w:rPr>
              <w:t>大类专业设备</w:t>
            </w:r>
          </w:p>
        </w:tc>
        <w:tc>
          <w:tcPr>
            <w:tcW w:w="3119" w:type="dxa"/>
            <w:tcBorders>
              <w:top w:val="single" w:color="auto" w:sz="8" w:space="0"/>
              <w:bottom w:val="single" w:color="auto" w:sz="8" w:space="0"/>
            </w:tcBorders>
            <w:vAlign w:val="center"/>
          </w:tcPr>
          <w:p w14:paraId="4D6FF418">
            <w:pPr>
              <w:pStyle w:val="110"/>
              <w:widowControl w:val="0"/>
              <w:rPr>
                <w:rFonts w:hAnsi="宋体"/>
              </w:rPr>
            </w:pPr>
            <w:r>
              <w:rPr>
                <w:rFonts w:hint="eastAsia" w:hAnsi="宋体" w:cs="宋体"/>
                <w:szCs w:val="18"/>
              </w:rPr>
              <w:t>中类专业设备</w:t>
            </w:r>
          </w:p>
        </w:tc>
        <w:tc>
          <w:tcPr>
            <w:tcW w:w="3815" w:type="dxa"/>
            <w:tcBorders>
              <w:top w:val="single" w:color="auto" w:sz="8" w:space="0"/>
              <w:bottom w:val="single" w:color="auto" w:sz="8" w:space="0"/>
            </w:tcBorders>
            <w:vAlign w:val="center"/>
          </w:tcPr>
          <w:p w14:paraId="7288FD6D">
            <w:pPr>
              <w:pStyle w:val="110"/>
              <w:widowControl w:val="0"/>
              <w:rPr>
                <w:rFonts w:hAnsi="宋体"/>
              </w:rPr>
            </w:pPr>
            <w:r>
              <w:rPr>
                <w:rFonts w:hint="eastAsia" w:hAnsi="宋体" w:cs="宋体"/>
                <w:szCs w:val="18"/>
              </w:rPr>
              <w:t>检测检验设备配置</w:t>
            </w:r>
          </w:p>
        </w:tc>
      </w:tr>
      <w:tr w14:paraId="4E0DDA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tcBorders>
              <w:top w:val="single" w:color="auto" w:sz="4" w:space="0"/>
            </w:tcBorders>
            <w:vAlign w:val="center"/>
          </w:tcPr>
          <w:p w14:paraId="15429C4A">
            <w:pPr>
              <w:pStyle w:val="110"/>
              <w:widowControl w:val="0"/>
              <w:rPr>
                <w:rFonts w:hAnsi="宋体"/>
              </w:rPr>
            </w:pPr>
            <w:r>
              <w:rPr>
                <w:rFonts w:hint="eastAsia" w:hAnsi="宋体" w:cs="宋体"/>
                <w:spacing w:val="-4"/>
                <w:szCs w:val="18"/>
              </w:rPr>
              <w:t>消防器材</w:t>
            </w:r>
          </w:p>
        </w:tc>
        <w:tc>
          <w:tcPr>
            <w:tcW w:w="3119" w:type="dxa"/>
            <w:tcBorders>
              <w:top w:val="single" w:color="auto" w:sz="4" w:space="0"/>
            </w:tcBorders>
            <w:vAlign w:val="center"/>
          </w:tcPr>
          <w:p w14:paraId="4E4D4D2E">
            <w:pPr>
              <w:pStyle w:val="110"/>
              <w:widowControl w:val="0"/>
              <w:rPr>
                <w:rFonts w:hAnsi="宋体"/>
              </w:rPr>
            </w:pPr>
            <w:r>
              <w:rPr>
                <w:rFonts w:hint="eastAsia" w:hAnsi="宋体" w:cs="宋体"/>
                <w:spacing w:val="-4"/>
                <w:szCs w:val="18"/>
              </w:rPr>
              <w:t>固定式灭火系统</w:t>
            </w:r>
          </w:p>
        </w:tc>
        <w:tc>
          <w:tcPr>
            <w:tcW w:w="3815" w:type="dxa"/>
            <w:tcBorders>
              <w:top w:val="single" w:color="auto" w:sz="4" w:space="0"/>
            </w:tcBorders>
            <w:vAlign w:val="center"/>
          </w:tcPr>
          <w:p w14:paraId="1B3A2F8A">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钢瓶水压试验机1台</w:t>
            </w:r>
          </w:p>
          <w:p w14:paraId="1D0BC759">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42C2ECBB">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超声检测仪2台</w:t>
            </w:r>
          </w:p>
          <w:p w14:paraId="0582713E">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磁粉检测仪2台</w:t>
            </w:r>
          </w:p>
          <w:p w14:paraId="1C69D7FA">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移动式压力试验机1台</w:t>
            </w:r>
          </w:p>
        </w:tc>
      </w:tr>
      <w:tr w14:paraId="607652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2CD1DC3E">
            <w:pPr>
              <w:pStyle w:val="110"/>
              <w:widowControl w:val="0"/>
              <w:rPr>
                <w:rFonts w:hAnsi="宋体"/>
              </w:rPr>
            </w:pPr>
            <w:r>
              <w:rPr>
                <w:rFonts w:hint="eastAsia" w:hAnsi="宋体" w:cs="宋体"/>
                <w:spacing w:val="-2"/>
                <w:szCs w:val="18"/>
              </w:rPr>
              <w:t>钢丝绳等系物及被系物</w:t>
            </w:r>
          </w:p>
        </w:tc>
        <w:tc>
          <w:tcPr>
            <w:tcW w:w="3119" w:type="dxa"/>
            <w:vAlign w:val="center"/>
          </w:tcPr>
          <w:p w14:paraId="6CD9897F">
            <w:pPr>
              <w:pStyle w:val="110"/>
              <w:widowControl w:val="0"/>
              <w:rPr>
                <w:rFonts w:hAnsi="宋体"/>
              </w:rPr>
            </w:pPr>
            <w:r>
              <w:rPr>
                <w:rFonts w:hint="eastAsia" w:hAnsi="宋体" w:cs="宋体"/>
                <w:spacing w:val="-3"/>
                <w:szCs w:val="18"/>
              </w:rPr>
              <w:t>系物</w:t>
            </w:r>
          </w:p>
        </w:tc>
        <w:tc>
          <w:tcPr>
            <w:tcW w:w="3815" w:type="dxa"/>
            <w:vAlign w:val="center"/>
          </w:tcPr>
          <w:p w14:paraId="40FEC3A9">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超声波测厚仪2台</w:t>
            </w:r>
          </w:p>
          <w:p w14:paraId="718CEB61">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磁粉检测仪2台</w:t>
            </w:r>
          </w:p>
        </w:tc>
      </w:tr>
      <w:tr w14:paraId="1E9A2F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00ED3BAC">
            <w:pPr>
              <w:pStyle w:val="110"/>
              <w:widowControl w:val="0"/>
              <w:rPr>
                <w:rFonts w:hAnsi="宋体"/>
              </w:rPr>
            </w:pPr>
          </w:p>
        </w:tc>
        <w:tc>
          <w:tcPr>
            <w:tcW w:w="3119" w:type="dxa"/>
            <w:vAlign w:val="center"/>
          </w:tcPr>
          <w:p w14:paraId="0F05138F">
            <w:pPr>
              <w:pStyle w:val="110"/>
              <w:widowControl w:val="0"/>
              <w:rPr>
                <w:rFonts w:hAnsi="宋体"/>
              </w:rPr>
            </w:pPr>
            <w:r>
              <w:rPr>
                <w:rFonts w:hint="eastAsia" w:hAnsi="宋体" w:cs="宋体"/>
                <w:spacing w:val="-2"/>
                <w:szCs w:val="18"/>
              </w:rPr>
              <w:t>被系物</w:t>
            </w:r>
          </w:p>
        </w:tc>
        <w:tc>
          <w:tcPr>
            <w:tcW w:w="3815" w:type="dxa"/>
            <w:vAlign w:val="center"/>
          </w:tcPr>
          <w:p w14:paraId="25C14BC5">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01C5F593">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磁粉检测仪2台</w:t>
            </w:r>
          </w:p>
          <w:p w14:paraId="6B5884A8">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试重设备1套</w:t>
            </w:r>
          </w:p>
        </w:tc>
      </w:tr>
      <w:tr w14:paraId="171696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42EA8110">
            <w:pPr>
              <w:pStyle w:val="110"/>
              <w:widowControl w:val="0"/>
              <w:rPr>
                <w:rFonts w:hAnsi="宋体"/>
              </w:rPr>
            </w:pPr>
          </w:p>
        </w:tc>
        <w:tc>
          <w:tcPr>
            <w:tcW w:w="3119" w:type="dxa"/>
            <w:vAlign w:val="center"/>
          </w:tcPr>
          <w:p w14:paraId="5758FB4B">
            <w:pPr>
              <w:pStyle w:val="110"/>
              <w:widowControl w:val="0"/>
              <w:rPr>
                <w:rFonts w:hAnsi="宋体"/>
              </w:rPr>
            </w:pPr>
            <w:r>
              <w:rPr>
                <w:rFonts w:hint="eastAsia" w:hAnsi="宋体" w:cs="宋体"/>
                <w:spacing w:val="-2"/>
                <w:szCs w:val="18"/>
              </w:rPr>
              <w:t>载人吊篮</w:t>
            </w:r>
          </w:p>
        </w:tc>
        <w:tc>
          <w:tcPr>
            <w:tcW w:w="3815" w:type="dxa"/>
            <w:vAlign w:val="center"/>
          </w:tcPr>
          <w:p w14:paraId="5BFFB4BE">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超声波测厚仪2台</w:t>
            </w:r>
          </w:p>
          <w:p w14:paraId="5068D455">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磁粉检测仪2台</w:t>
            </w:r>
          </w:p>
          <w:p w14:paraId="4CD13634">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试重设备1套</w:t>
            </w:r>
          </w:p>
        </w:tc>
      </w:tr>
      <w:tr w14:paraId="650592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3AB80435">
            <w:pPr>
              <w:pStyle w:val="110"/>
              <w:widowControl w:val="0"/>
              <w:rPr>
                <w:rFonts w:hAnsi="宋体"/>
              </w:rPr>
            </w:pPr>
            <w:r>
              <w:rPr>
                <w:rFonts w:hint="eastAsia" w:hAnsi="宋体" w:cs="宋体"/>
                <w:spacing w:val="-8"/>
                <w:szCs w:val="18"/>
              </w:rPr>
              <w:t>电气仪表</w:t>
            </w:r>
          </w:p>
        </w:tc>
        <w:tc>
          <w:tcPr>
            <w:tcW w:w="3119" w:type="dxa"/>
            <w:vAlign w:val="center"/>
          </w:tcPr>
          <w:p w14:paraId="223D1472">
            <w:pPr>
              <w:pStyle w:val="110"/>
              <w:widowControl w:val="0"/>
              <w:rPr>
                <w:rFonts w:hAnsi="宋体" w:cs="宋体"/>
                <w:spacing w:val="-2"/>
                <w:szCs w:val="18"/>
              </w:rPr>
            </w:pPr>
            <w:r>
              <w:rPr>
                <w:rFonts w:hint="eastAsia" w:hAnsi="宋体" w:cs="宋体"/>
                <w:spacing w:val="-3"/>
                <w:szCs w:val="18"/>
              </w:rPr>
              <w:t>防爆电气设备</w:t>
            </w:r>
          </w:p>
        </w:tc>
        <w:tc>
          <w:tcPr>
            <w:tcW w:w="3815" w:type="dxa"/>
            <w:vAlign w:val="center"/>
          </w:tcPr>
          <w:p w14:paraId="7B598EE9">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防爆型万用表2台</w:t>
            </w:r>
          </w:p>
          <w:p w14:paraId="67DD42E2">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绝缘电阻测试仪2台</w:t>
            </w:r>
          </w:p>
          <w:p w14:paraId="36CB19AD">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防爆型接地电阻测试仪2台</w:t>
            </w:r>
          </w:p>
          <w:p w14:paraId="6659B583">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防爆型钳形电流表2台</w:t>
            </w:r>
          </w:p>
          <w:p w14:paraId="43027640">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便携式可燃气体检测仪2台</w:t>
            </w:r>
          </w:p>
          <w:p w14:paraId="55BEAF2F">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防爆型红外测温仪2台</w:t>
            </w:r>
          </w:p>
        </w:tc>
      </w:tr>
      <w:tr w14:paraId="44D7A2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039A4FC5">
            <w:pPr>
              <w:pStyle w:val="110"/>
              <w:widowControl w:val="0"/>
              <w:rPr>
                <w:rFonts w:hAnsi="宋体"/>
              </w:rPr>
            </w:pPr>
          </w:p>
        </w:tc>
        <w:tc>
          <w:tcPr>
            <w:tcW w:w="3119" w:type="dxa"/>
            <w:tcBorders>
              <w:bottom w:val="single" w:color="auto" w:sz="8" w:space="0"/>
            </w:tcBorders>
            <w:vAlign w:val="center"/>
          </w:tcPr>
          <w:p w14:paraId="7259E4C6">
            <w:pPr>
              <w:pStyle w:val="110"/>
              <w:widowControl w:val="0"/>
              <w:rPr>
                <w:rFonts w:hAnsi="宋体"/>
              </w:rPr>
            </w:pPr>
            <w:r>
              <w:rPr>
                <w:rFonts w:hint="eastAsia" w:hAnsi="宋体" w:cs="宋体"/>
                <w:spacing w:val="-2"/>
                <w:szCs w:val="18"/>
              </w:rPr>
              <w:t>安全监测仪表</w:t>
            </w:r>
          </w:p>
        </w:tc>
        <w:tc>
          <w:tcPr>
            <w:tcW w:w="3815" w:type="dxa"/>
            <w:tcBorders>
              <w:bottom w:val="single" w:color="auto" w:sz="8" w:space="0"/>
            </w:tcBorders>
            <w:vAlign w:val="center"/>
          </w:tcPr>
          <w:p w14:paraId="5BF2E0AB">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压力标准器2套</w:t>
            </w:r>
          </w:p>
          <w:p w14:paraId="69392EA2">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电测量仪表2台</w:t>
            </w:r>
          </w:p>
          <w:p w14:paraId="3289A27D">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压力源2台</w:t>
            </w:r>
          </w:p>
          <w:p w14:paraId="5FC886BE">
            <w:pPr>
              <w:widowControl/>
              <w:kinsoku w:val="0"/>
              <w:autoSpaceDE w:val="0"/>
              <w:autoSpaceDN w:val="0"/>
              <w:adjustRightInd w:val="0"/>
              <w:snapToGrid w:val="0"/>
              <w:ind w:left="111" w:right="106"/>
              <w:jc w:val="left"/>
              <w:textAlignment w:val="baseline"/>
              <w:rPr>
                <w:rFonts w:ascii="宋体" w:hAnsi="宋体" w:eastAsia="宋体" w:cs="宋体"/>
                <w:sz w:val="18"/>
                <w:szCs w:val="18"/>
              </w:rPr>
            </w:pPr>
            <w:r>
              <w:rPr>
                <w:rFonts w:hint="eastAsia" w:ascii="宋体" w:hAnsi="宋体" w:eastAsia="宋体" w:cs="宋体"/>
                <w:sz w:val="18"/>
                <w:szCs w:val="18"/>
              </w:rPr>
              <w:t>温度标准器2套</w:t>
            </w:r>
          </w:p>
          <w:p w14:paraId="558235A8">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恒温设备2台</w:t>
            </w:r>
          </w:p>
          <w:p w14:paraId="68A5B592">
            <w:pPr>
              <w:widowControl/>
              <w:kinsoku w:val="0"/>
              <w:autoSpaceDE w:val="0"/>
              <w:autoSpaceDN w:val="0"/>
              <w:snapToGrid w:val="0"/>
              <w:ind w:left="111" w:right="106"/>
              <w:jc w:val="left"/>
              <w:textAlignment w:val="baseline"/>
              <w:rPr>
                <w:rFonts w:ascii="宋体" w:hAnsi="宋体" w:cs="宋体"/>
                <w:sz w:val="18"/>
                <w:szCs w:val="18"/>
              </w:rPr>
            </w:pPr>
            <w:r>
              <w:rPr>
                <w:rFonts w:hint="eastAsia" w:ascii="宋体" w:hAnsi="宋体" w:eastAsia="宋体" w:cs="宋体"/>
                <w:sz w:val="18"/>
                <w:szCs w:val="18"/>
              </w:rPr>
              <w:t>回路校验仪2台</w:t>
            </w:r>
          </w:p>
        </w:tc>
      </w:tr>
      <w:tr w14:paraId="248E84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334" w:type="dxa"/>
            <w:gridSpan w:val="3"/>
            <w:tcBorders>
              <w:top w:val="single" w:color="auto" w:sz="8" w:space="0"/>
              <w:bottom w:val="single" w:color="auto" w:sz="8" w:space="0"/>
            </w:tcBorders>
            <w:vAlign w:val="center"/>
          </w:tcPr>
          <w:p w14:paraId="03030C69">
            <w:pPr>
              <w:pStyle w:val="111"/>
              <w:ind w:left="817" w:hanging="454"/>
              <w:rPr>
                <w:rFonts w:hAnsi="宋体" w:eastAsia="黑体"/>
              </w:rPr>
            </w:pPr>
            <w:r>
              <w:rPr>
                <w:rFonts w:hint="eastAsia" w:hAnsi="宋体" w:eastAsia="黑体"/>
              </w:rPr>
              <w:t>注1：</w:t>
            </w:r>
            <w:r>
              <w:rPr>
                <w:rFonts w:hint="eastAsia" w:hAnsi="宋体"/>
              </w:rPr>
              <w:t>本表中的大类专业设备、中类专业设备依据AQ 2082-2025附录A的规定进行分类。</w:t>
            </w:r>
          </w:p>
          <w:p w14:paraId="4FD1530D">
            <w:pPr>
              <w:pStyle w:val="111"/>
              <w:adjustRightInd w:val="0"/>
              <w:snapToGrid w:val="0"/>
              <w:ind w:left="817" w:hanging="454"/>
              <w:rPr>
                <w:rFonts w:hAnsi="宋体"/>
              </w:rPr>
            </w:pPr>
            <w:r>
              <w:rPr>
                <w:rFonts w:hint="eastAsia" w:hAnsi="宋体" w:eastAsia="黑体"/>
              </w:rPr>
              <w:t>注2：</w:t>
            </w:r>
            <w:r>
              <w:rPr>
                <w:rFonts w:hint="eastAsia" w:hAnsi="宋体"/>
              </w:rPr>
              <w:t>水下电位仪、水下测厚仪、水下磁粉检测仪、潜水设备、作业级遥控潜水器仅适用于从事海上结构水下部分检测检验业务的海洋石油专业设备检测检验机构。</w:t>
            </w:r>
          </w:p>
        </w:tc>
      </w:tr>
      <w:tr w14:paraId="5A094D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36" w:hRule="atLeast"/>
          <w:jc w:val="center"/>
        </w:trPr>
        <w:tc>
          <w:tcPr>
            <w:tcW w:w="9334" w:type="dxa"/>
            <w:gridSpan w:val="3"/>
            <w:tcBorders>
              <w:top w:val="single" w:color="auto" w:sz="8" w:space="0"/>
            </w:tcBorders>
            <w:vAlign w:val="center"/>
          </w:tcPr>
          <w:p w14:paraId="33D61C11">
            <w:pPr>
              <w:pStyle w:val="109"/>
            </w:pPr>
            <w:r>
              <w:rPr>
                <w:rFonts w:hint="eastAsia"/>
              </w:rPr>
              <w:t>1组潜水设备至少包括1台潜水减压舱、1台潜水中央控室、1台潜水供气系统、1台潜水吊放系统、5套潜水头盔或面罩、5套潜水脐带、5套潜水录像设备。</w:t>
            </w:r>
          </w:p>
          <w:p w14:paraId="60BAF538">
            <w:pPr>
              <w:pStyle w:val="109"/>
            </w:pPr>
            <w:r>
              <w:rPr>
                <w:rFonts w:hint="eastAsia"/>
              </w:rPr>
              <w:t>承压类基本配置包括超声波测厚仪2台、便携式定量光谱仪1台、视频内窥镜1台、便携式硬度计1台、便携式金相仪(具有数码图像处理功能)1台、</w:t>
            </w:r>
            <w:r>
              <w:rPr>
                <w:rFonts w:hint="eastAsia" w:cs="宋体"/>
                <w:szCs w:val="18"/>
              </w:rPr>
              <w:t>超声检测仪2台、</w:t>
            </w:r>
            <w:r>
              <w:rPr>
                <w:rFonts w:hint="eastAsia"/>
              </w:rPr>
              <w:t>射线探伤装置2台、磁粉检测仪2台，以及满足检验检测及防护要求的观片灯、标准试块、对比试块、报警设备、黑度计等。</w:t>
            </w:r>
          </w:p>
          <w:p w14:paraId="1F5D3CAB">
            <w:pPr>
              <w:pStyle w:val="109"/>
            </w:pPr>
            <w:r>
              <w:rPr>
                <w:rFonts w:hint="eastAsia"/>
              </w:rPr>
              <w:t>1套有证气体标准物质包括空气中甲烷气体标准物质、氮中硫化氢气体标准物质、氮中一氧化碳气体标准物质、氮中二氧化碳气体标准物质、氮中氧气标准物质等。</w:t>
            </w:r>
          </w:p>
        </w:tc>
      </w:tr>
    </w:tbl>
    <w:p w14:paraId="099C986F">
      <w:pPr>
        <w:pStyle w:val="90"/>
        <w:tabs>
          <w:tab w:val="left" w:pos="6406"/>
        </w:tabs>
        <w:spacing w:after="120"/>
        <w:ind w:left="0"/>
        <w:rPr>
          <w:rFonts w:ascii="宋体" w:hAnsi="宋体"/>
        </w:rPr>
      </w:pPr>
      <w:bookmarkStart w:id="113" w:name="_Toc16389"/>
      <w:bookmarkEnd w:id="113"/>
      <w:bookmarkStart w:id="114" w:name="_Toc7406"/>
      <w:bookmarkEnd w:id="114"/>
      <w:bookmarkStart w:id="115" w:name="_Toc10717"/>
      <w:bookmarkEnd w:id="115"/>
      <w:bookmarkStart w:id="116" w:name="_Toc18564"/>
      <w:bookmarkEnd w:id="116"/>
      <w:bookmarkStart w:id="117" w:name="_Toc30706"/>
      <w:bookmarkStart w:id="118" w:name="_Toc17233"/>
      <w:r>
        <w:rPr>
          <w:rFonts w:ascii="宋体" w:hAnsi="宋体"/>
          <w:szCs w:val="21"/>
        </w:rPr>
        <w:br w:type="page"/>
      </w:r>
      <w:bookmarkStart w:id="119" w:name="_Toc14894"/>
      <w:r>
        <w:rPr>
          <w:rFonts w:ascii="宋体" w:hAnsi="宋体"/>
        </w:rPr>
        <w:br w:type="textWrapping"/>
      </w:r>
      <w:r>
        <w:rPr>
          <w:rFonts w:hint="eastAsia" w:ascii="宋体" w:hAnsi="宋体"/>
        </w:rPr>
        <w:t>（规范性）</w:t>
      </w:r>
      <w:r>
        <w:rPr>
          <w:rFonts w:ascii="宋体" w:hAnsi="宋体"/>
        </w:rPr>
        <w:br w:type="textWrapping"/>
      </w:r>
      <w:r>
        <w:rPr>
          <w:rFonts w:hint="eastAsia" w:ascii="宋体" w:hAnsi="宋体"/>
        </w:rPr>
        <w:t>海洋石油安全评价检测检验机构人员配置条件</w:t>
      </w:r>
      <w:bookmarkEnd w:id="117"/>
      <w:bookmarkEnd w:id="118"/>
      <w:bookmarkEnd w:id="119"/>
    </w:p>
    <w:p w14:paraId="65B974AC">
      <w:pPr>
        <w:pStyle w:val="43"/>
        <w:ind w:firstLine="420"/>
        <w:rPr>
          <w:rFonts w:hAnsi="宋体"/>
        </w:rPr>
      </w:pPr>
      <w:r>
        <w:rPr>
          <w:rFonts w:hint="eastAsia" w:hAnsi="宋体"/>
        </w:rPr>
        <w:t>海洋石油安全评价机构专职技术人员的配置应符合表B.1的要求；海洋石油生产设施发证检验机构专职检验人员的配置应符合表B.2的要求；海洋石油专业设备检测检验机构应为涉及的业务配置对应的专业设备检验人员和专业设备检测人员，其人员配置应符合表B.3的要求。</w:t>
      </w:r>
    </w:p>
    <w:p w14:paraId="0A40899C">
      <w:pPr>
        <w:pStyle w:val="34"/>
        <w:widowControl/>
        <w:numPr>
          <w:ilvl w:val="255"/>
          <w:numId w:val="0"/>
        </w:numPr>
        <w:autoSpaceDE w:val="0"/>
        <w:autoSpaceDN w:val="0"/>
        <w:spacing w:line="14" w:lineRule="exact"/>
        <w:ind w:left="425"/>
        <w:jc w:val="center"/>
        <w:rPr>
          <w:rFonts w:ascii="宋体" w:hAnsi="宋体" w:eastAsia="黑体" w:cs="Times New Roman"/>
          <w:vanish/>
          <w:kern w:val="0"/>
          <w:szCs w:val="20"/>
        </w:rPr>
      </w:pPr>
    </w:p>
    <w:p w14:paraId="4C467526">
      <w:pPr>
        <w:pStyle w:val="108"/>
        <w:numPr>
          <w:ilvl w:val="1"/>
          <w:numId w:val="0"/>
        </w:numPr>
        <w:spacing w:before="120" w:after="120"/>
        <w:rPr>
          <w:rFonts w:ascii="宋体" w:hAnsi="宋体"/>
        </w:rPr>
      </w:pPr>
      <w:r>
        <w:rPr>
          <w:rFonts w:hint="eastAsia" w:ascii="宋体" w:hAnsi="宋体"/>
        </w:rPr>
        <w:t>表B.1海洋石油安全评价机构专职技术人员配置条件</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833"/>
        <w:gridCol w:w="6095"/>
        <w:gridCol w:w="1406"/>
      </w:tblGrid>
      <w:tr w14:paraId="083436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833" w:type="dxa"/>
            <w:tcBorders>
              <w:top w:val="single" w:color="auto" w:sz="8" w:space="0"/>
              <w:bottom w:val="single" w:color="auto" w:sz="8" w:space="0"/>
            </w:tcBorders>
            <w:vAlign w:val="center"/>
          </w:tcPr>
          <w:p w14:paraId="74CCE42E">
            <w:pPr>
              <w:pStyle w:val="110"/>
              <w:widowControl w:val="0"/>
              <w:rPr>
                <w:rFonts w:hAnsi="宋体"/>
              </w:rPr>
            </w:pPr>
            <w:r>
              <w:rPr>
                <w:rFonts w:hint="eastAsia" w:hAnsi="宋体"/>
                <w:szCs w:val="18"/>
              </w:rPr>
              <w:t>专业能力</w:t>
            </w:r>
          </w:p>
        </w:tc>
        <w:tc>
          <w:tcPr>
            <w:tcW w:w="6095" w:type="dxa"/>
            <w:tcBorders>
              <w:top w:val="single" w:color="auto" w:sz="8" w:space="0"/>
              <w:bottom w:val="single" w:color="auto" w:sz="8" w:space="0"/>
            </w:tcBorders>
            <w:vAlign w:val="center"/>
          </w:tcPr>
          <w:p w14:paraId="51C55A37">
            <w:pPr>
              <w:pStyle w:val="110"/>
              <w:widowControl w:val="0"/>
              <w:rPr>
                <w:rFonts w:hAnsi="宋体"/>
              </w:rPr>
            </w:pPr>
            <w:r>
              <w:rPr>
                <w:rFonts w:hint="eastAsia" w:hAnsi="宋体"/>
                <w:spacing w:val="-1"/>
                <w:szCs w:val="18"/>
              </w:rPr>
              <w:t>相关学科基础专业</w:t>
            </w:r>
          </w:p>
        </w:tc>
        <w:tc>
          <w:tcPr>
            <w:tcW w:w="1406" w:type="dxa"/>
            <w:tcBorders>
              <w:top w:val="single" w:color="auto" w:sz="8" w:space="0"/>
              <w:bottom w:val="single" w:color="auto" w:sz="8" w:space="0"/>
            </w:tcBorders>
            <w:vAlign w:val="center"/>
          </w:tcPr>
          <w:p w14:paraId="3E0F42EB">
            <w:pPr>
              <w:pStyle w:val="110"/>
              <w:widowControl w:val="0"/>
              <w:rPr>
                <w:rFonts w:hAnsi="宋体"/>
              </w:rPr>
            </w:pPr>
            <w:r>
              <w:rPr>
                <w:rFonts w:hint="eastAsia" w:hAnsi="宋体"/>
                <w:spacing w:val="-1"/>
                <w:szCs w:val="18"/>
              </w:rPr>
              <w:t>最低人员配置</w:t>
            </w:r>
          </w:p>
        </w:tc>
      </w:tr>
      <w:tr w14:paraId="68C445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vAlign w:val="center"/>
          </w:tcPr>
          <w:p w14:paraId="1F57F6C7">
            <w:pPr>
              <w:pStyle w:val="110"/>
              <w:widowControl w:val="0"/>
              <w:rPr>
                <w:rFonts w:hAnsi="宋体"/>
                <w:szCs w:val="18"/>
              </w:rPr>
            </w:pPr>
            <w:r>
              <w:rPr>
                <w:rFonts w:hint="eastAsia" w:hAnsi="宋体"/>
                <w:szCs w:val="18"/>
              </w:rPr>
              <w:t>海洋油气工程</w:t>
            </w:r>
          </w:p>
        </w:tc>
        <w:tc>
          <w:tcPr>
            <w:tcW w:w="6095" w:type="dxa"/>
            <w:vAlign w:val="center"/>
          </w:tcPr>
          <w:p w14:paraId="7439F0CF">
            <w:pPr>
              <w:pStyle w:val="110"/>
              <w:widowControl w:val="0"/>
              <w:jc w:val="left"/>
              <w:rPr>
                <w:rFonts w:hAnsi="宋体"/>
                <w:spacing w:val="-1"/>
                <w:szCs w:val="18"/>
              </w:rPr>
            </w:pPr>
            <w:r>
              <w:rPr>
                <w:rFonts w:hint="eastAsia" w:hAnsi="宋体"/>
                <w:spacing w:val="-1"/>
                <w:szCs w:val="18"/>
              </w:rPr>
              <w:t xml:space="preserve">海洋油气工程/石油工程/石油与天然气工程 </w:t>
            </w:r>
          </w:p>
        </w:tc>
        <w:tc>
          <w:tcPr>
            <w:tcW w:w="1406" w:type="dxa"/>
            <w:vAlign w:val="center"/>
          </w:tcPr>
          <w:p w14:paraId="2F8F2130">
            <w:pPr>
              <w:pStyle w:val="110"/>
              <w:widowControl w:val="0"/>
              <w:rPr>
                <w:rFonts w:hAnsi="宋体"/>
                <w:szCs w:val="18"/>
              </w:rPr>
            </w:pPr>
            <w:r>
              <w:rPr>
                <w:rFonts w:hint="eastAsia" w:hAnsi="宋体"/>
                <w:szCs w:val="18"/>
              </w:rPr>
              <w:t>2人</w:t>
            </w:r>
          </w:p>
        </w:tc>
      </w:tr>
      <w:tr w14:paraId="4C762C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vAlign w:val="center"/>
          </w:tcPr>
          <w:p w14:paraId="2D88BFA6">
            <w:pPr>
              <w:pStyle w:val="110"/>
              <w:widowControl w:val="0"/>
              <w:rPr>
                <w:rFonts w:hAnsi="宋体"/>
              </w:rPr>
            </w:pPr>
            <w:r>
              <w:rPr>
                <w:rFonts w:hint="eastAsia" w:hAnsi="宋体"/>
                <w:szCs w:val="18"/>
              </w:rPr>
              <w:t>储运</w:t>
            </w:r>
          </w:p>
        </w:tc>
        <w:tc>
          <w:tcPr>
            <w:tcW w:w="6095" w:type="dxa"/>
            <w:vAlign w:val="center"/>
          </w:tcPr>
          <w:p w14:paraId="6EB2311F">
            <w:pPr>
              <w:pStyle w:val="110"/>
              <w:widowControl w:val="0"/>
              <w:jc w:val="left"/>
              <w:rPr>
                <w:rFonts w:hAnsi="宋体"/>
              </w:rPr>
            </w:pPr>
            <w:r>
              <w:rPr>
                <w:rFonts w:hint="eastAsia" w:hAnsi="宋体"/>
                <w:spacing w:val="-1"/>
                <w:szCs w:val="18"/>
              </w:rPr>
              <w:t>石油储运/石油天然气储运工程/油气储运工程/化学工程与工艺</w:t>
            </w:r>
          </w:p>
        </w:tc>
        <w:tc>
          <w:tcPr>
            <w:tcW w:w="1406" w:type="dxa"/>
            <w:vAlign w:val="center"/>
          </w:tcPr>
          <w:p w14:paraId="5F019786">
            <w:pPr>
              <w:pStyle w:val="110"/>
              <w:widowControl w:val="0"/>
              <w:rPr>
                <w:rFonts w:hAnsi="宋体"/>
              </w:rPr>
            </w:pPr>
            <w:r>
              <w:rPr>
                <w:rFonts w:hint="eastAsia" w:hAnsi="宋体"/>
                <w:szCs w:val="18"/>
              </w:rPr>
              <w:t>1人</w:t>
            </w:r>
          </w:p>
        </w:tc>
      </w:tr>
      <w:tr w14:paraId="0A2E03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vAlign w:val="center"/>
          </w:tcPr>
          <w:p w14:paraId="690A08F8">
            <w:pPr>
              <w:pStyle w:val="110"/>
              <w:widowControl w:val="0"/>
              <w:rPr>
                <w:rFonts w:hAnsi="宋体"/>
              </w:rPr>
            </w:pPr>
            <w:r>
              <w:rPr>
                <w:rFonts w:hint="eastAsia" w:hAnsi="宋体"/>
                <w:szCs w:val="18"/>
              </w:rPr>
              <w:t>结构</w:t>
            </w:r>
          </w:p>
        </w:tc>
        <w:tc>
          <w:tcPr>
            <w:tcW w:w="6095" w:type="dxa"/>
            <w:vAlign w:val="center"/>
          </w:tcPr>
          <w:p w14:paraId="2E5FAEDC">
            <w:pPr>
              <w:pStyle w:val="110"/>
              <w:widowControl w:val="0"/>
              <w:jc w:val="left"/>
              <w:rPr>
                <w:rFonts w:hAnsi="宋体"/>
              </w:rPr>
            </w:pPr>
            <w:r>
              <w:rPr>
                <w:rFonts w:hint="eastAsia" w:hAnsi="宋体"/>
                <w:spacing w:val="-1"/>
                <w:szCs w:val="18"/>
              </w:rPr>
              <w:t>船舶与海洋工程/结构工程/海洋工程/工程力学</w:t>
            </w:r>
          </w:p>
        </w:tc>
        <w:tc>
          <w:tcPr>
            <w:tcW w:w="1406" w:type="dxa"/>
            <w:vAlign w:val="center"/>
          </w:tcPr>
          <w:p w14:paraId="303C2942">
            <w:pPr>
              <w:pStyle w:val="110"/>
              <w:widowControl w:val="0"/>
              <w:rPr>
                <w:rFonts w:hAnsi="宋体"/>
              </w:rPr>
            </w:pPr>
            <w:r>
              <w:rPr>
                <w:rFonts w:hint="eastAsia" w:hAnsi="宋体"/>
                <w:szCs w:val="18"/>
              </w:rPr>
              <w:t>2人</w:t>
            </w:r>
          </w:p>
        </w:tc>
      </w:tr>
      <w:tr w14:paraId="0FE63A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vAlign w:val="center"/>
          </w:tcPr>
          <w:p w14:paraId="776613B0">
            <w:pPr>
              <w:pStyle w:val="110"/>
              <w:widowControl w:val="0"/>
              <w:rPr>
                <w:rFonts w:hAnsi="宋体"/>
              </w:rPr>
            </w:pPr>
            <w:r>
              <w:rPr>
                <w:rFonts w:hint="eastAsia" w:hAnsi="宋体"/>
                <w:szCs w:val="18"/>
              </w:rPr>
              <w:t>机械</w:t>
            </w:r>
          </w:p>
        </w:tc>
        <w:tc>
          <w:tcPr>
            <w:tcW w:w="6095" w:type="dxa"/>
            <w:vAlign w:val="center"/>
          </w:tcPr>
          <w:p w14:paraId="285FC6D0">
            <w:pPr>
              <w:pStyle w:val="110"/>
              <w:widowControl w:val="0"/>
              <w:adjustRightInd w:val="0"/>
              <w:snapToGrid w:val="0"/>
              <w:jc w:val="left"/>
              <w:rPr>
                <w:rFonts w:hAnsi="宋体"/>
              </w:rPr>
            </w:pPr>
            <w:r>
              <w:rPr>
                <w:rFonts w:hint="eastAsia" w:hAnsi="宋体"/>
                <w:szCs w:val="18"/>
              </w:rPr>
              <w:t>机械制造工艺与设备/机械制造工程/机械设计及制造/高分子材料加工机械/设备工程与管理/化工设备与机械/机械设计制造及其自动化/过程装备与控制工程/矿业机械/化工机械/机械工程/机械电子工程/工业设计/过程装备与控制工程/机械工程及自动化/工程机械/制造自动化与测控技术/制造工程</w:t>
            </w:r>
          </w:p>
        </w:tc>
        <w:tc>
          <w:tcPr>
            <w:tcW w:w="1406" w:type="dxa"/>
            <w:vAlign w:val="center"/>
          </w:tcPr>
          <w:p w14:paraId="39C0FA50">
            <w:pPr>
              <w:pStyle w:val="110"/>
              <w:widowControl w:val="0"/>
              <w:rPr>
                <w:rFonts w:hAnsi="宋体"/>
              </w:rPr>
            </w:pPr>
            <w:r>
              <w:rPr>
                <w:rFonts w:hint="eastAsia" w:hAnsi="宋体"/>
                <w:szCs w:val="18"/>
              </w:rPr>
              <w:t>1人</w:t>
            </w:r>
          </w:p>
        </w:tc>
      </w:tr>
      <w:tr w14:paraId="5DE83D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vAlign w:val="center"/>
          </w:tcPr>
          <w:p w14:paraId="62E12EEA">
            <w:pPr>
              <w:pStyle w:val="110"/>
              <w:widowControl w:val="0"/>
              <w:rPr>
                <w:rFonts w:hAnsi="宋体"/>
              </w:rPr>
            </w:pPr>
            <w:r>
              <w:rPr>
                <w:rFonts w:hint="eastAsia" w:hAnsi="宋体"/>
                <w:szCs w:val="18"/>
              </w:rPr>
              <w:t>仪表</w:t>
            </w:r>
          </w:p>
        </w:tc>
        <w:tc>
          <w:tcPr>
            <w:tcW w:w="6095" w:type="dxa"/>
            <w:vAlign w:val="center"/>
          </w:tcPr>
          <w:p w14:paraId="214B6D09">
            <w:pPr>
              <w:pStyle w:val="110"/>
              <w:widowControl w:val="0"/>
              <w:adjustRightInd w:val="0"/>
              <w:snapToGrid w:val="0"/>
              <w:jc w:val="left"/>
              <w:rPr>
                <w:rFonts w:hAnsi="宋体"/>
              </w:rPr>
            </w:pPr>
            <w:r>
              <w:rPr>
                <w:rFonts w:hint="eastAsia" w:hAnsi="宋体"/>
                <w:szCs w:val="18"/>
              </w:rPr>
              <w:t>自动控制/工业自动化/生产过程自动化/自动化/计算机及应用/自动控制/自动化仪表和设备/智能监控系统</w:t>
            </w:r>
          </w:p>
        </w:tc>
        <w:tc>
          <w:tcPr>
            <w:tcW w:w="1406" w:type="dxa"/>
            <w:vAlign w:val="center"/>
          </w:tcPr>
          <w:p w14:paraId="7E2ABD41">
            <w:pPr>
              <w:pStyle w:val="110"/>
              <w:widowControl w:val="0"/>
              <w:rPr>
                <w:rFonts w:hAnsi="宋体"/>
              </w:rPr>
            </w:pPr>
            <w:r>
              <w:rPr>
                <w:rFonts w:hint="eastAsia" w:hAnsi="宋体"/>
                <w:szCs w:val="18"/>
              </w:rPr>
              <w:t>1人</w:t>
            </w:r>
          </w:p>
        </w:tc>
      </w:tr>
      <w:tr w14:paraId="035778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vAlign w:val="center"/>
          </w:tcPr>
          <w:p w14:paraId="658F5B53">
            <w:pPr>
              <w:pStyle w:val="110"/>
              <w:widowControl w:val="0"/>
              <w:rPr>
                <w:rFonts w:hAnsi="宋体"/>
              </w:rPr>
            </w:pPr>
            <w:r>
              <w:rPr>
                <w:rFonts w:hint="eastAsia" w:hAnsi="宋体"/>
                <w:szCs w:val="18"/>
              </w:rPr>
              <w:t>电气</w:t>
            </w:r>
          </w:p>
        </w:tc>
        <w:tc>
          <w:tcPr>
            <w:tcW w:w="6095" w:type="dxa"/>
            <w:vAlign w:val="center"/>
          </w:tcPr>
          <w:p w14:paraId="73F027C3">
            <w:pPr>
              <w:pStyle w:val="110"/>
              <w:widowControl w:val="0"/>
              <w:adjustRightInd w:val="0"/>
              <w:snapToGrid w:val="0"/>
              <w:jc w:val="left"/>
              <w:rPr>
                <w:rFonts w:hAnsi="宋体"/>
              </w:rPr>
            </w:pPr>
            <w:r>
              <w:rPr>
                <w:rFonts w:hint="eastAsia" w:hAnsi="宋体"/>
                <w:szCs w:val="18"/>
              </w:rPr>
              <w:t>电气技术/高压电技术及设备/电气绝缘与电缆/电机/电器/工业自动化/工业电气自动化/生产过程自动化/电力牵引与传动控制/电机电器及其控制/高电压与绝缘技术/电气工程及其自动化/自动化/电力系统及其自动化/电气工程与自动化/电气信息工程/电力工程与管理/电气技术教育/电机电器智能化/电气工程与智能控制</w:t>
            </w:r>
          </w:p>
        </w:tc>
        <w:tc>
          <w:tcPr>
            <w:tcW w:w="1406" w:type="dxa"/>
            <w:vAlign w:val="center"/>
          </w:tcPr>
          <w:p w14:paraId="6D10A5AF">
            <w:pPr>
              <w:pStyle w:val="110"/>
              <w:widowControl w:val="0"/>
              <w:rPr>
                <w:rFonts w:hAnsi="宋体"/>
              </w:rPr>
            </w:pPr>
            <w:r>
              <w:rPr>
                <w:rFonts w:hint="eastAsia" w:hAnsi="宋体"/>
                <w:szCs w:val="18"/>
              </w:rPr>
              <w:t>1人</w:t>
            </w:r>
          </w:p>
        </w:tc>
      </w:tr>
      <w:tr w14:paraId="10EB6C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vAlign w:val="center"/>
          </w:tcPr>
          <w:p w14:paraId="24CD53F7">
            <w:pPr>
              <w:pStyle w:val="110"/>
              <w:widowControl w:val="0"/>
              <w:rPr>
                <w:rFonts w:hAnsi="宋体"/>
              </w:rPr>
            </w:pPr>
            <w:r>
              <w:rPr>
                <w:rFonts w:hint="eastAsia" w:hAnsi="宋体"/>
                <w:szCs w:val="18"/>
              </w:rPr>
              <w:t>材料/防腐</w:t>
            </w:r>
          </w:p>
        </w:tc>
        <w:tc>
          <w:tcPr>
            <w:tcW w:w="6095" w:type="dxa"/>
            <w:vAlign w:val="center"/>
          </w:tcPr>
          <w:p w14:paraId="749411CD">
            <w:pPr>
              <w:pStyle w:val="110"/>
              <w:widowControl w:val="0"/>
              <w:jc w:val="left"/>
              <w:rPr>
                <w:rFonts w:hAnsi="宋体"/>
              </w:rPr>
            </w:pPr>
            <w:r>
              <w:rPr>
                <w:rFonts w:hint="eastAsia" w:hAnsi="宋体"/>
                <w:spacing w:val="-1"/>
                <w:szCs w:val="18"/>
              </w:rPr>
              <w:t>腐蚀与防护/材料科学与工程/高分子材料与工程/材料物理/材料化学/金属材料工程/冶金工程</w:t>
            </w:r>
          </w:p>
        </w:tc>
        <w:tc>
          <w:tcPr>
            <w:tcW w:w="1406" w:type="dxa"/>
            <w:vAlign w:val="center"/>
          </w:tcPr>
          <w:p w14:paraId="7D2F06E6">
            <w:pPr>
              <w:pStyle w:val="110"/>
              <w:widowControl w:val="0"/>
              <w:rPr>
                <w:rFonts w:hAnsi="宋体"/>
              </w:rPr>
            </w:pPr>
            <w:r>
              <w:rPr>
                <w:rFonts w:hint="eastAsia" w:hAnsi="宋体"/>
                <w:szCs w:val="18"/>
              </w:rPr>
              <w:t>1人</w:t>
            </w:r>
          </w:p>
        </w:tc>
      </w:tr>
      <w:tr w14:paraId="33DE79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tcBorders>
              <w:bottom w:val="single" w:color="auto" w:sz="8" w:space="0"/>
            </w:tcBorders>
            <w:vAlign w:val="center"/>
          </w:tcPr>
          <w:p w14:paraId="1DE0165C">
            <w:pPr>
              <w:pStyle w:val="110"/>
              <w:widowControl w:val="0"/>
              <w:rPr>
                <w:rFonts w:hAnsi="宋体"/>
              </w:rPr>
            </w:pPr>
            <w:r>
              <w:rPr>
                <w:rFonts w:hint="eastAsia" w:hAnsi="宋体"/>
                <w:szCs w:val="18"/>
              </w:rPr>
              <w:t>安全</w:t>
            </w:r>
          </w:p>
        </w:tc>
        <w:tc>
          <w:tcPr>
            <w:tcW w:w="6095" w:type="dxa"/>
            <w:tcBorders>
              <w:bottom w:val="single" w:color="auto" w:sz="8" w:space="0"/>
            </w:tcBorders>
            <w:vAlign w:val="center"/>
          </w:tcPr>
          <w:p w14:paraId="37EC37DF">
            <w:pPr>
              <w:pStyle w:val="110"/>
              <w:widowControl w:val="0"/>
              <w:adjustRightInd w:val="0"/>
              <w:snapToGrid w:val="0"/>
              <w:jc w:val="left"/>
              <w:rPr>
                <w:rFonts w:hAnsi="宋体"/>
              </w:rPr>
            </w:pPr>
            <w:r>
              <w:rPr>
                <w:rFonts w:hint="eastAsia" w:hAnsi="宋体"/>
                <w:szCs w:val="18"/>
              </w:rPr>
              <w:t>安全工程/安全技术及工程/安全科学与工程/应急技术与管理/职业卫生工程/消防工程/核生化消防</w:t>
            </w:r>
          </w:p>
        </w:tc>
        <w:tc>
          <w:tcPr>
            <w:tcW w:w="1406" w:type="dxa"/>
            <w:tcBorders>
              <w:bottom w:val="single" w:color="auto" w:sz="8" w:space="0"/>
            </w:tcBorders>
            <w:vAlign w:val="center"/>
          </w:tcPr>
          <w:p w14:paraId="07C1574E">
            <w:pPr>
              <w:pStyle w:val="110"/>
              <w:widowControl w:val="0"/>
              <w:rPr>
                <w:rFonts w:hAnsi="宋体"/>
              </w:rPr>
            </w:pPr>
            <w:r>
              <w:rPr>
                <w:rFonts w:hint="eastAsia" w:hAnsi="宋体"/>
                <w:szCs w:val="18"/>
              </w:rPr>
              <w:t>2人</w:t>
            </w:r>
          </w:p>
        </w:tc>
      </w:tr>
      <w:tr w14:paraId="2840FE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334" w:type="dxa"/>
            <w:gridSpan w:val="3"/>
            <w:tcBorders>
              <w:top w:val="single" w:color="auto" w:sz="8" w:space="0"/>
              <w:bottom w:val="single" w:color="auto" w:sz="8" w:space="0"/>
            </w:tcBorders>
            <w:vAlign w:val="center"/>
          </w:tcPr>
          <w:p w14:paraId="70F9724F">
            <w:pPr>
              <w:pStyle w:val="122"/>
              <w:numPr>
                <w:ilvl w:val="0"/>
                <w:numId w:val="0"/>
              </w:numPr>
              <w:ind w:left="811" w:hanging="448"/>
              <w:rPr>
                <w:rFonts w:hAnsi="宋体"/>
              </w:rPr>
            </w:pPr>
            <w:bookmarkStart w:id="120" w:name="OLE_LINK7"/>
            <w:bookmarkStart w:id="121" w:name="OLE_LINK8"/>
            <w:r>
              <w:rPr>
                <w:rFonts w:hint="eastAsia" w:hAnsi="宋体" w:eastAsia="黑体"/>
              </w:rPr>
              <w:t>注1：</w:t>
            </w:r>
            <w:r>
              <w:rPr>
                <w:rFonts w:hint="eastAsia" w:hAnsi="宋体"/>
              </w:rPr>
              <w:t>本表收录的基础专业依据教育部1993年、1998年、2012年和2023年颁布的《普通高等学校本科专业目录》。经有关主管机构认可的海外学历学位证明、研究生招生专业等参照执行。因专业调整变化等原因造成专业名称不完全对应的，可按相近原则进行认定。</w:t>
            </w:r>
          </w:p>
          <w:bookmarkEnd w:id="120"/>
          <w:bookmarkEnd w:id="121"/>
          <w:p w14:paraId="38B3D634">
            <w:pPr>
              <w:pStyle w:val="122"/>
              <w:numPr>
                <w:ilvl w:val="0"/>
                <w:numId w:val="0"/>
              </w:numPr>
              <w:ind w:left="811" w:hanging="448"/>
              <w:rPr>
                <w:rFonts w:hAnsi="宋体"/>
              </w:rPr>
            </w:pPr>
            <w:r>
              <w:rPr>
                <w:rFonts w:hint="eastAsia" w:hAnsi="宋体" w:eastAsia="黑体"/>
              </w:rPr>
              <w:t>注2：</w:t>
            </w:r>
            <w:r>
              <w:rPr>
                <w:rFonts w:hint="eastAsia" w:hAnsi="宋体"/>
              </w:rPr>
              <w:t>安全评价人员专业能力通过普通高等院校学历、学位证书，中级及以上技术职称或学术专著、科技发明、标准、科技进步奖、论文等予以认定。学术专著是指正式出版的原创著作；科技发明是指已获得授权的国家发明专利；标准是指正式发布且现行有效的国家标准、行业标准或地方标准；科技进步奖是指国家或省部级科技进步奖；论文是指以第一或第二作者身份发表核心期刊论文1篇及以上。</w:t>
            </w:r>
          </w:p>
        </w:tc>
      </w:tr>
    </w:tbl>
    <w:p w14:paraId="5BC6E3E5">
      <w:pPr>
        <w:pStyle w:val="108"/>
        <w:numPr>
          <w:ilvl w:val="1"/>
          <w:numId w:val="0"/>
        </w:numPr>
        <w:spacing w:before="120" w:after="120"/>
        <w:rPr>
          <w:rFonts w:ascii="宋体" w:hAnsi="宋体"/>
        </w:rPr>
      </w:pPr>
      <w:r>
        <w:rPr>
          <w:rFonts w:hint="eastAsia" w:ascii="宋体" w:hAnsi="宋体"/>
        </w:rPr>
        <w:t>表B.2海洋石油</w:t>
      </w:r>
      <w:r>
        <w:rPr>
          <w:rFonts w:hint="eastAsia" w:hAnsi="宋体"/>
        </w:rPr>
        <w:t>生产设施</w:t>
      </w:r>
      <w:r>
        <w:rPr>
          <w:rFonts w:hint="eastAsia" w:ascii="宋体" w:hAnsi="宋体"/>
        </w:rPr>
        <w:t>发证检验机构专职检验人员配置条件</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616"/>
        <w:gridCol w:w="3771"/>
        <w:gridCol w:w="1984"/>
        <w:gridCol w:w="1972"/>
        <w:gridCol w:w="10"/>
      </w:tblGrid>
      <w:tr w14:paraId="1197C5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gridAfter w:val="1"/>
          <w:wAfter w:w="10" w:type="dxa"/>
          <w:tblHeader/>
          <w:jc w:val="center"/>
        </w:trPr>
        <w:tc>
          <w:tcPr>
            <w:tcW w:w="1616" w:type="dxa"/>
            <w:vMerge w:val="restart"/>
            <w:tcBorders>
              <w:top w:val="single" w:color="auto" w:sz="8" w:space="0"/>
            </w:tcBorders>
            <w:vAlign w:val="center"/>
          </w:tcPr>
          <w:p w14:paraId="43C7CCFC">
            <w:pPr>
              <w:pStyle w:val="110"/>
              <w:widowControl w:val="0"/>
              <w:rPr>
                <w:rFonts w:hAnsi="宋体"/>
              </w:rPr>
            </w:pPr>
            <w:r>
              <w:rPr>
                <w:rFonts w:hint="eastAsia" w:hAnsi="宋体"/>
              </w:rPr>
              <w:t>专业方向</w:t>
            </w:r>
          </w:p>
        </w:tc>
        <w:tc>
          <w:tcPr>
            <w:tcW w:w="3771" w:type="dxa"/>
            <w:vMerge w:val="restart"/>
            <w:tcBorders>
              <w:top w:val="single" w:color="auto" w:sz="8" w:space="0"/>
            </w:tcBorders>
            <w:vAlign w:val="center"/>
          </w:tcPr>
          <w:p w14:paraId="39715898">
            <w:pPr>
              <w:pStyle w:val="110"/>
              <w:widowControl w:val="0"/>
              <w:rPr>
                <w:rFonts w:hAnsi="宋体"/>
              </w:rPr>
            </w:pPr>
            <w:r>
              <w:rPr>
                <w:rFonts w:hAnsi="宋体"/>
              </w:rPr>
              <w:t>专业能力</w:t>
            </w:r>
          </w:p>
        </w:tc>
        <w:tc>
          <w:tcPr>
            <w:tcW w:w="3956" w:type="dxa"/>
            <w:gridSpan w:val="2"/>
            <w:tcBorders>
              <w:top w:val="single" w:color="auto" w:sz="8" w:space="0"/>
              <w:bottom w:val="single" w:color="auto" w:sz="8" w:space="0"/>
            </w:tcBorders>
            <w:vAlign w:val="center"/>
          </w:tcPr>
          <w:p w14:paraId="02FC1489">
            <w:pPr>
              <w:pStyle w:val="110"/>
              <w:widowControl w:val="0"/>
              <w:rPr>
                <w:rFonts w:hAnsi="宋体"/>
              </w:rPr>
            </w:pPr>
            <w:r>
              <w:rPr>
                <w:rFonts w:hint="eastAsia" w:hAnsi="宋体"/>
              </w:rPr>
              <w:t>最低人员配置</w:t>
            </w:r>
          </w:p>
        </w:tc>
      </w:tr>
      <w:tr w14:paraId="28AD58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616" w:type="dxa"/>
            <w:vMerge w:val="continue"/>
            <w:vAlign w:val="center"/>
          </w:tcPr>
          <w:p w14:paraId="5224C3C8">
            <w:pPr>
              <w:pStyle w:val="110"/>
              <w:widowControl w:val="0"/>
              <w:rPr>
                <w:rFonts w:hAnsi="宋体"/>
              </w:rPr>
            </w:pPr>
          </w:p>
        </w:tc>
        <w:tc>
          <w:tcPr>
            <w:tcW w:w="3771" w:type="dxa"/>
            <w:vMerge w:val="continue"/>
            <w:vAlign w:val="center"/>
          </w:tcPr>
          <w:p w14:paraId="41D80388">
            <w:pPr>
              <w:pStyle w:val="110"/>
              <w:widowControl w:val="0"/>
              <w:rPr>
                <w:rFonts w:hAnsi="宋体"/>
              </w:rPr>
            </w:pPr>
          </w:p>
        </w:tc>
        <w:tc>
          <w:tcPr>
            <w:tcW w:w="1984" w:type="dxa"/>
            <w:tcBorders>
              <w:top w:val="single" w:color="auto" w:sz="8" w:space="0"/>
              <w:bottom w:val="single" w:color="auto" w:sz="8" w:space="0"/>
            </w:tcBorders>
            <w:vAlign w:val="center"/>
          </w:tcPr>
          <w:p w14:paraId="7272A825">
            <w:pPr>
              <w:pStyle w:val="110"/>
              <w:widowControl w:val="0"/>
              <w:rPr>
                <w:rFonts w:hAnsi="宋体"/>
              </w:rPr>
            </w:pPr>
            <w:r>
              <w:rPr>
                <w:rFonts w:hint="eastAsia" w:hAnsi="宋体"/>
                <w:spacing w:val="-7"/>
                <w:szCs w:val="18"/>
              </w:rPr>
              <w:t>现场检验</w:t>
            </w:r>
          </w:p>
        </w:tc>
        <w:tc>
          <w:tcPr>
            <w:tcW w:w="1982" w:type="dxa"/>
            <w:gridSpan w:val="2"/>
            <w:tcBorders>
              <w:top w:val="single" w:color="auto" w:sz="8" w:space="0"/>
              <w:bottom w:val="single" w:color="auto" w:sz="8" w:space="0"/>
            </w:tcBorders>
            <w:vAlign w:val="center"/>
          </w:tcPr>
          <w:p w14:paraId="1F39F1A5">
            <w:pPr>
              <w:pStyle w:val="110"/>
              <w:widowControl w:val="0"/>
              <w:rPr>
                <w:rFonts w:hAnsi="宋体"/>
              </w:rPr>
            </w:pPr>
            <w:r>
              <w:rPr>
                <w:rFonts w:hint="eastAsia" w:hAnsi="宋体"/>
                <w:spacing w:val="-7"/>
                <w:szCs w:val="18"/>
              </w:rPr>
              <w:t>设计审查</w:t>
            </w:r>
          </w:p>
        </w:tc>
      </w:tr>
      <w:tr w14:paraId="633BF3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restart"/>
            <w:tcBorders>
              <w:top w:val="single" w:color="auto" w:sz="8" w:space="0"/>
            </w:tcBorders>
            <w:vAlign w:val="center"/>
          </w:tcPr>
          <w:p w14:paraId="5E931EE5">
            <w:pPr>
              <w:pStyle w:val="110"/>
              <w:widowControl w:val="0"/>
              <w:rPr>
                <w:rFonts w:hAnsi="宋体"/>
              </w:rPr>
            </w:pPr>
            <w:r>
              <w:rPr>
                <w:rFonts w:hint="eastAsia" w:hAnsi="宋体"/>
                <w:szCs w:val="18"/>
              </w:rPr>
              <w:t>结构与防腐</w:t>
            </w:r>
          </w:p>
        </w:tc>
        <w:tc>
          <w:tcPr>
            <w:tcW w:w="3771" w:type="dxa"/>
            <w:tcBorders>
              <w:top w:val="single" w:color="auto" w:sz="8" w:space="0"/>
              <w:bottom w:val="single" w:color="auto" w:sz="4" w:space="0"/>
            </w:tcBorders>
            <w:vAlign w:val="center"/>
          </w:tcPr>
          <w:p w14:paraId="0F6FD6B5">
            <w:pPr>
              <w:pStyle w:val="110"/>
              <w:widowControl w:val="0"/>
              <w:rPr>
                <w:rFonts w:hAnsi="宋体"/>
                <w:szCs w:val="18"/>
              </w:rPr>
            </w:pPr>
            <w:r>
              <w:rPr>
                <w:rFonts w:hint="eastAsia" w:hAnsi="宋体"/>
                <w:szCs w:val="18"/>
              </w:rPr>
              <w:t>总体</w:t>
            </w:r>
          </w:p>
        </w:tc>
        <w:tc>
          <w:tcPr>
            <w:tcW w:w="1984" w:type="dxa"/>
            <w:tcBorders>
              <w:top w:val="single" w:color="auto" w:sz="8" w:space="0"/>
              <w:bottom w:val="single" w:color="auto" w:sz="4" w:space="0"/>
            </w:tcBorders>
          </w:tcPr>
          <w:p w14:paraId="44C34202">
            <w:pPr>
              <w:pStyle w:val="110"/>
              <w:widowControl w:val="0"/>
              <w:rPr>
                <w:rFonts w:hAnsi="宋体"/>
              </w:rPr>
            </w:pPr>
            <w:r>
              <w:rPr>
                <w:rFonts w:hint="eastAsia" w:hAnsi="宋体"/>
              </w:rPr>
              <w:t>3</w:t>
            </w:r>
            <w:r>
              <w:rPr>
                <w:rFonts w:hAnsi="宋体"/>
              </w:rPr>
              <w:t>人</w:t>
            </w:r>
          </w:p>
        </w:tc>
        <w:tc>
          <w:tcPr>
            <w:tcW w:w="1982" w:type="dxa"/>
            <w:gridSpan w:val="2"/>
            <w:tcBorders>
              <w:top w:val="single" w:color="auto" w:sz="8" w:space="0"/>
              <w:bottom w:val="single" w:color="auto" w:sz="4" w:space="0"/>
            </w:tcBorders>
            <w:vAlign w:val="center"/>
          </w:tcPr>
          <w:p w14:paraId="0372BBAA">
            <w:pPr>
              <w:pStyle w:val="110"/>
              <w:widowControl w:val="0"/>
              <w:rPr>
                <w:rFonts w:hAnsi="宋体"/>
              </w:rPr>
            </w:pPr>
            <w:r>
              <w:rPr>
                <w:rFonts w:hint="eastAsia" w:hAnsi="宋体"/>
                <w:szCs w:val="18"/>
              </w:rPr>
              <w:t>1人</w:t>
            </w:r>
          </w:p>
        </w:tc>
      </w:tr>
      <w:tr w14:paraId="13D645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continue"/>
            <w:vAlign w:val="center"/>
          </w:tcPr>
          <w:p w14:paraId="7CFD5FA0">
            <w:pPr>
              <w:pStyle w:val="110"/>
              <w:widowControl w:val="0"/>
              <w:rPr>
                <w:rFonts w:hAnsi="宋体"/>
                <w:szCs w:val="18"/>
              </w:rPr>
            </w:pPr>
          </w:p>
        </w:tc>
        <w:tc>
          <w:tcPr>
            <w:tcW w:w="3771" w:type="dxa"/>
            <w:tcBorders>
              <w:top w:val="single" w:color="auto" w:sz="4" w:space="0"/>
              <w:bottom w:val="single" w:color="auto" w:sz="4" w:space="0"/>
            </w:tcBorders>
            <w:vAlign w:val="center"/>
          </w:tcPr>
          <w:p w14:paraId="086D1A7E">
            <w:pPr>
              <w:pStyle w:val="110"/>
              <w:widowControl w:val="0"/>
              <w:rPr>
                <w:rFonts w:hAnsi="宋体"/>
                <w:szCs w:val="18"/>
              </w:rPr>
            </w:pPr>
            <w:r>
              <w:rPr>
                <w:rFonts w:hint="eastAsia" w:hAnsi="宋体"/>
                <w:szCs w:val="18"/>
              </w:rPr>
              <w:t>结构</w:t>
            </w:r>
          </w:p>
        </w:tc>
        <w:tc>
          <w:tcPr>
            <w:tcW w:w="1984" w:type="dxa"/>
            <w:tcBorders>
              <w:top w:val="single" w:color="auto" w:sz="4" w:space="0"/>
              <w:bottom w:val="single" w:color="auto" w:sz="4" w:space="0"/>
            </w:tcBorders>
          </w:tcPr>
          <w:p w14:paraId="775ABB56">
            <w:pPr>
              <w:pStyle w:val="110"/>
              <w:widowControl w:val="0"/>
              <w:rPr>
                <w:rFonts w:hAnsi="宋体"/>
                <w:szCs w:val="18"/>
              </w:rPr>
            </w:pPr>
            <w:r>
              <w:rPr>
                <w:rFonts w:hint="eastAsia" w:hAnsi="宋体"/>
              </w:rPr>
              <w:t>6</w:t>
            </w:r>
            <w:r>
              <w:rPr>
                <w:rFonts w:hAnsi="宋体"/>
              </w:rPr>
              <w:t>人</w:t>
            </w:r>
          </w:p>
        </w:tc>
        <w:tc>
          <w:tcPr>
            <w:tcW w:w="1982" w:type="dxa"/>
            <w:gridSpan w:val="2"/>
            <w:tcBorders>
              <w:top w:val="single" w:color="auto" w:sz="4" w:space="0"/>
              <w:bottom w:val="single" w:color="auto" w:sz="4" w:space="0"/>
            </w:tcBorders>
            <w:vAlign w:val="center"/>
          </w:tcPr>
          <w:p w14:paraId="21825704">
            <w:pPr>
              <w:pStyle w:val="110"/>
              <w:widowControl w:val="0"/>
              <w:rPr>
                <w:rFonts w:hAnsi="宋体"/>
                <w:szCs w:val="18"/>
              </w:rPr>
            </w:pPr>
            <w:r>
              <w:rPr>
                <w:rFonts w:hint="eastAsia" w:hAnsi="宋体"/>
                <w:szCs w:val="18"/>
              </w:rPr>
              <w:t>1人</w:t>
            </w:r>
          </w:p>
        </w:tc>
      </w:tr>
      <w:tr w14:paraId="4FA951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continue"/>
            <w:vAlign w:val="center"/>
          </w:tcPr>
          <w:p w14:paraId="111B70C9">
            <w:pPr>
              <w:pStyle w:val="110"/>
              <w:widowControl w:val="0"/>
              <w:rPr>
                <w:rFonts w:hAnsi="宋体"/>
                <w:szCs w:val="18"/>
              </w:rPr>
            </w:pPr>
          </w:p>
        </w:tc>
        <w:tc>
          <w:tcPr>
            <w:tcW w:w="3771" w:type="dxa"/>
            <w:tcBorders>
              <w:top w:val="single" w:color="auto" w:sz="4" w:space="0"/>
              <w:bottom w:val="single" w:color="auto" w:sz="4" w:space="0"/>
            </w:tcBorders>
            <w:vAlign w:val="center"/>
          </w:tcPr>
          <w:p w14:paraId="117DEF86">
            <w:pPr>
              <w:pStyle w:val="110"/>
              <w:widowControl w:val="0"/>
              <w:rPr>
                <w:rFonts w:hAnsi="宋体"/>
                <w:szCs w:val="18"/>
              </w:rPr>
            </w:pPr>
            <w:r>
              <w:rPr>
                <w:rFonts w:hint="eastAsia" w:hAnsi="宋体"/>
                <w:szCs w:val="18"/>
              </w:rPr>
              <w:t>舾装</w:t>
            </w:r>
          </w:p>
        </w:tc>
        <w:tc>
          <w:tcPr>
            <w:tcW w:w="1984" w:type="dxa"/>
            <w:tcBorders>
              <w:top w:val="single" w:color="auto" w:sz="4" w:space="0"/>
              <w:bottom w:val="single" w:color="auto" w:sz="4" w:space="0"/>
            </w:tcBorders>
          </w:tcPr>
          <w:p w14:paraId="4F7C29F5">
            <w:pPr>
              <w:pStyle w:val="110"/>
              <w:widowControl w:val="0"/>
              <w:rPr>
                <w:rFonts w:hAnsi="宋体"/>
                <w:szCs w:val="18"/>
              </w:rPr>
            </w:pPr>
            <w:r>
              <w:rPr>
                <w:rFonts w:hAnsi="宋体"/>
              </w:rPr>
              <w:t>3人</w:t>
            </w:r>
          </w:p>
        </w:tc>
        <w:tc>
          <w:tcPr>
            <w:tcW w:w="1982" w:type="dxa"/>
            <w:gridSpan w:val="2"/>
            <w:tcBorders>
              <w:top w:val="single" w:color="auto" w:sz="4" w:space="0"/>
              <w:bottom w:val="single" w:color="auto" w:sz="4" w:space="0"/>
            </w:tcBorders>
            <w:vAlign w:val="center"/>
          </w:tcPr>
          <w:p w14:paraId="7B773FC7">
            <w:pPr>
              <w:pStyle w:val="110"/>
              <w:widowControl w:val="0"/>
              <w:rPr>
                <w:rFonts w:hAnsi="宋体"/>
                <w:szCs w:val="18"/>
              </w:rPr>
            </w:pPr>
            <w:r>
              <w:rPr>
                <w:rFonts w:hint="eastAsia" w:hAnsi="宋体"/>
                <w:szCs w:val="18"/>
              </w:rPr>
              <w:t>1人</w:t>
            </w:r>
          </w:p>
        </w:tc>
      </w:tr>
      <w:tr w14:paraId="7E07E8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continue"/>
            <w:vAlign w:val="center"/>
          </w:tcPr>
          <w:p w14:paraId="5A716DC2">
            <w:pPr>
              <w:pStyle w:val="110"/>
              <w:widowControl w:val="0"/>
              <w:rPr>
                <w:rFonts w:hAnsi="宋体"/>
                <w:szCs w:val="18"/>
              </w:rPr>
            </w:pPr>
          </w:p>
        </w:tc>
        <w:tc>
          <w:tcPr>
            <w:tcW w:w="3771" w:type="dxa"/>
            <w:tcBorders>
              <w:top w:val="single" w:color="auto" w:sz="4" w:space="0"/>
              <w:bottom w:val="single" w:color="auto" w:sz="4" w:space="0"/>
            </w:tcBorders>
            <w:vAlign w:val="center"/>
          </w:tcPr>
          <w:p w14:paraId="6ECB99C8">
            <w:pPr>
              <w:pStyle w:val="110"/>
              <w:widowControl w:val="0"/>
              <w:rPr>
                <w:rFonts w:hAnsi="宋体"/>
                <w:szCs w:val="18"/>
              </w:rPr>
            </w:pPr>
            <w:r>
              <w:rPr>
                <w:rFonts w:hint="eastAsia" w:hAnsi="宋体"/>
                <w:szCs w:val="18"/>
              </w:rPr>
              <w:t>防腐</w:t>
            </w:r>
          </w:p>
        </w:tc>
        <w:tc>
          <w:tcPr>
            <w:tcW w:w="1984" w:type="dxa"/>
            <w:tcBorders>
              <w:top w:val="single" w:color="auto" w:sz="4" w:space="0"/>
              <w:bottom w:val="single" w:color="auto" w:sz="4" w:space="0"/>
            </w:tcBorders>
          </w:tcPr>
          <w:p w14:paraId="37CB8450">
            <w:pPr>
              <w:pStyle w:val="110"/>
              <w:widowControl w:val="0"/>
              <w:rPr>
                <w:rFonts w:hAnsi="宋体"/>
                <w:szCs w:val="18"/>
              </w:rPr>
            </w:pPr>
            <w:r>
              <w:rPr>
                <w:rFonts w:hAnsi="宋体"/>
              </w:rPr>
              <w:t>3人</w:t>
            </w:r>
          </w:p>
        </w:tc>
        <w:tc>
          <w:tcPr>
            <w:tcW w:w="1982" w:type="dxa"/>
            <w:gridSpan w:val="2"/>
            <w:tcBorders>
              <w:top w:val="single" w:color="auto" w:sz="4" w:space="0"/>
              <w:bottom w:val="single" w:color="auto" w:sz="4" w:space="0"/>
            </w:tcBorders>
            <w:vAlign w:val="center"/>
          </w:tcPr>
          <w:p w14:paraId="7470E622">
            <w:pPr>
              <w:pStyle w:val="110"/>
              <w:widowControl w:val="0"/>
              <w:rPr>
                <w:rFonts w:hAnsi="宋体"/>
                <w:szCs w:val="18"/>
              </w:rPr>
            </w:pPr>
            <w:r>
              <w:rPr>
                <w:rFonts w:hint="eastAsia" w:hAnsi="宋体"/>
                <w:szCs w:val="18"/>
              </w:rPr>
              <w:t>1人</w:t>
            </w:r>
          </w:p>
        </w:tc>
      </w:tr>
      <w:tr w14:paraId="323D93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restart"/>
            <w:vAlign w:val="center"/>
          </w:tcPr>
          <w:p w14:paraId="780A1CF4">
            <w:pPr>
              <w:pStyle w:val="110"/>
              <w:widowControl w:val="0"/>
              <w:rPr>
                <w:rFonts w:hAnsi="宋体"/>
              </w:rPr>
            </w:pPr>
            <w:r>
              <w:rPr>
                <w:rFonts w:hint="eastAsia" w:hAnsi="宋体"/>
                <w:spacing w:val="-3"/>
                <w:szCs w:val="18"/>
              </w:rPr>
              <w:t>机械与工艺</w:t>
            </w:r>
          </w:p>
        </w:tc>
        <w:tc>
          <w:tcPr>
            <w:tcW w:w="3771" w:type="dxa"/>
            <w:tcBorders>
              <w:top w:val="single" w:color="auto" w:sz="4" w:space="0"/>
              <w:bottom w:val="single" w:color="auto" w:sz="4" w:space="0"/>
            </w:tcBorders>
            <w:vAlign w:val="center"/>
          </w:tcPr>
          <w:p w14:paraId="7B8338F4">
            <w:pPr>
              <w:pStyle w:val="110"/>
              <w:widowControl w:val="0"/>
              <w:rPr>
                <w:rFonts w:hAnsi="宋体"/>
                <w:spacing w:val="-3"/>
                <w:szCs w:val="18"/>
              </w:rPr>
            </w:pPr>
            <w:r>
              <w:rPr>
                <w:rFonts w:hint="eastAsia" w:hAnsi="宋体"/>
                <w:spacing w:val="-3"/>
                <w:szCs w:val="18"/>
              </w:rPr>
              <w:t>机械（含配管）</w:t>
            </w:r>
          </w:p>
        </w:tc>
        <w:tc>
          <w:tcPr>
            <w:tcW w:w="1984" w:type="dxa"/>
            <w:tcBorders>
              <w:top w:val="single" w:color="auto" w:sz="4" w:space="0"/>
              <w:bottom w:val="single" w:color="auto" w:sz="4" w:space="0"/>
            </w:tcBorders>
          </w:tcPr>
          <w:p w14:paraId="0D9402F2">
            <w:pPr>
              <w:pStyle w:val="110"/>
              <w:widowControl w:val="0"/>
              <w:rPr>
                <w:rFonts w:hAnsi="宋体"/>
              </w:rPr>
            </w:pPr>
            <w:r>
              <w:rPr>
                <w:rFonts w:hint="eastAsia" w:hAnsi="宋体"/>
              </w:rPr>
              <w:t>6</w:t>
            </w:r>
            <w:r>
              <w:rPr>
                <w:rFonts w:hAnsi="宋体"/>
              </w:rPr>
              <w:t>人</w:t>
            </w:r>
          </w:p>
        </w:tc>
        <w:tc>
          <w:tcPr>
            <w:tcW w:w="1982" w:type="dxa"/>
            <w:gridSpan w:val="2"/>
            <w:tcBorders>
              <w:top w:val="single" w:color="auto" w:sz="4" w:space="0"/>
              <w:bottom w:val="single" w:color="auto" w:sz="4" w:space="0"/>
            </w:tcBorders>
            <w:vAlign w:val="center"/>
          </w:tcPr>
          <w:p w14:paraId="7E401818">
            <w:pPr>
              <w:pStyle w:val="110"/>
              <w:widowControl w:val="0"/>
              <w:rPr>
                <w:rFonts w:hAnsi="宋体"/>
              </w:rPr>
            </w:pPr>
            <w:r>
              <w:rPr>
                <w:rFonts w:hint="eastAsia" w:hAnsi="宋体"/>
                <w:szCs w:val="18"/>
              </w:rPr>
              <w:t>1人</w:t>
            </w:r>
          </w:p>
        </w:tc>
      </w:tr>
      <w:tr w14:paraId="29ED74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continue"/>
            <w:vAlign w:val="center"/>
          </w:tcPr>
          <w:p w14:paraId="78CAEAA9">
            <w:pPr>
              <w:pStyle w:val="110"/>
              <w:widowControl w:val="0"/>
              <w:rPr>
                <w:rFonts w:hAnsi="宋体"/>
                <w:spacing w:val="-3"/>
                <w:szCs w:val="18"/>
              </w:rPr>
            </w:pPr>
          </w:p>
        </w:tc>
        <w:tc>
          <w:tcPr>
            <w:tcW w:w="3771" w:type="dxa"/>
            <w:tcBorders>
              <w:top w:val="single" w:color="auto" w:sz="4" w:space="0"/>
              <w:bottom w:val="single" w:color="auto" w:sz="4" w:space="0"/>
            </w:tcBorders>
            <w:vAlign w:val="center"/>
          </w:tcPr>
          <w:p w14:paraId="07175CE6">
            <w:pPr>
              <w:pStyle w:val="110"/>
              <w:widowControl w:val="0"/>
              <w:rPr>
                <w:rFonts w:hAnsi="宋体"/>
                <w:spacing w:val="-3"/>
                <w:szCs w:val="18"/>
              </w:rPr>
            </w:pPr>
            <w:r>
              <w:rPr>
                <w:rFonts w:hint="eastAsia" w:hAnsi="宋体"/>
                <w:spacing w:val="-3"/>
                <w:szCs w:val="18"/>
              </w:rPr>
              <w:t>工艺</w:t>
            </w:r>
          </w:p>
        </w:tc>
        <w:tc>
          <w:tcPr>
            <w:tcW w:w="1984" w:type="dxa"/>
            <w:tcBorders>
              <w:top w:val="single" w:color="auto" w:sz="4" w:space="0"/>
              <w:bottom w:val="single" w:color="auto" w:sz="4" w:space="0"/>
            </w:tcBorders>
          </w:tcPr>
          <w:p w14:paraId="2AF610CD">
            <w:pPr>
              <w:pStyle w:val="110"/>
              <w:widowControl w:val="0"/>
              <w:rPr>
                <w:rFonts w:hAnsi="宋体"/>
                <w:szCs w:val="18"/>
              </w:rPr>
            </w:pPr>
            <w:r>
              <w:rPr>
                <w:rFonts w:hint="eastAsia" w:hAnsi="宋体"/>
              </w:rPr>
              <w:t>3</w:t>
            </w:r>
            <w:r>
              <w:rPr>
                <w:rFonts w:hAnsi="宋体"/>
              </w:rPr>
              <w:t>人</w:t>
            </w:r>
          </w:p>
        </w:tc>
        <w:tc>
          <w:tcPr>
            <w:tcW w:w="1982" w:type="dxa"/>
            <w:gridSpan w:val="2"/>
            <w:tcBorders>
              <w:top w:val="single" w:color="auto" w:sz="4" w:space="0"/>
              <w:bottom w:val="single" w:color="auto" w:sz="4" w:space="0"/>
            </w:tcBorders>
            <w:vAlign w:val="center"/>
          </w:tcPr>
          <w:p w14:paraId="7308505B">
            <w:pPr>
              <w:pStyle w:val="110"/>
              <w:widowControl w:val="0"/>
              <w:rPr>
                <w:rFonts w:hAnsi="宋体"/>
                <w:szCs w:val="18"/>
              </w:rPr>
            </w:pPr>
            <w:r>
              <w:rPr>
                <w:rFonts w:hint="eastAsia" w:hAnsi="宋体"/>
                <w:szCs w:val="18"/>
              </w:rPr>
              <w:t>1人</w:t>
            </w:r>
          </w:p>
        </w:tc>
      </w:tr>
      <w:tr w14:paraId="052AEE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continue"/>
            <w:vAlign w:val="center"/>
          </w:tcPr>
          <w:p w14:paraId="4C277660">
            <w:pPr>
              <w:pStyle w:val="110"/>
              <w:widowControl w:val="0"/>
              <w:rPr>
                <w:rFonts w:hAnsi="宋体"/>
                <w:spacing w:val="-3"/>
                <w:szCs w:val="18"/>
              </w:rPr>
            </w:pPr>
          </w:p>
        </w:tc>
        <w:tc>
          <w:tcPr>
            <w:tcW w:w="3771" w:type="dxa"/>
            <w:tcBorders>
              <w:top w:val="single" w:color="auto" w:sz="4" w:space="0"/>
              <w:bottom w:val="single" w:color="auto" w:sz="4" w:space="0"/>
            </w:tcBorders>
            <w:vAlign w:val="center"/>
          </w:tcPr>
          <w:p w14:paraId="6AC830EC">
            <w:pPr>
              <w:pStyle w:val="110"/>
              <w:widowControl w:val="0"/>
              <w:rPr>
                <w:rFonts w:hAnsi="宋体"/>
                <w:spacing w:val="-3"/>
                <w:szCs w:val="18"/>
              </w:rPr>
            </w:pPr>
            <w:r>
              <w:rPr>
                <w:rFonts w:hint="eastAsia" w:hAnsi="宋体"/>
                <w:spacing w:val="-3"/>
                <w:szCs w:val="18"/>
              </w:rPr>
              <w:t>通风</w:t>
            </w:r>
          </w:p>
        </w:tc>
        <w:tc>
          <w:tcPr>
            <w:tcW w:w="1984" w:type="dxa"/>
            <w:tcBorders>
              <w:top w:val="single" w:color="auto" w:sz="4" w:space="0"/>
              <w:bottom w:val="single" w:color="auto" w:sz="4" w:space="0"/>
            </w:tcBorders>
          </w:tcPr>
          <w:p w14:paraId="065FEA8C">
            <w:pPr>
              <w:pStyle w:val="110"/>
              <w:widowControl w:val="0"/>
              <w:rPr>
                <w:rFonts w:hAnsi="宋体"/>
                <w:szCs w:val="18"/>
              </w:rPr>
            </w:pPr>
            <w:r>
              <w:rPr>
                <w:rFonts w:hAnsi="宋体"/>
              </w:rPr>
              <w:t>3人</w:t>
            </w:r>
          </w:p>
        </w:tc>
        <w:tc>
          <w:tcPr>
            <w:tcW w:w="1982" w:type="dxa"/>
            <w:gridSpan w:val="2"/>
            <w:tcBorders>
              <w:top w:val="single" w:color="auto" w:sz="4" w:space="0"/>
              <w:bottom w:val="single" w:color="auto" w:sz="4" w:space="0"/>
            </w:tcBorders>
            <w:vAlign w:val="center"/>
          </w:tcPr>
          <w:p w14:paraId="589F5E82">
            <w:pPr>
              <w:pStyle w:val="110"/>
              <w:widowControl w:val="0"/>
              <w:rPr>
                <w:rFonts w:hAnsi="宋体"/>
                <w:szCs w:val="18"/>
              </w:rPr>
            </w:pPr>
            <w:r>
              <w:rPr>
                <w:rFonts w:hint="eastAsia" w:hAnsi="宋体"/>
                <w:szCs w:val="18"/>
              </w:rPr>
              <w:t>1人</w:t>
            </w:r>
          </w:p>
        </w:tc>
      </w:tr>
      <w:tr w14:paraId="272E72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continue"/>
            <w:vAlign w:val="center"/>
          </w:tcPr>
          <w:p w14:paraId="107A5FB5">
            <w:pPr>
              <w:pStyle w:val="110"/>
              <w:widowControl w:val="0"/>
              <w:rPr>
                <w:rFonts w:hAnsi="宋体"/>
                <w:spacing w:val="-3"/>
                <w:szCs w:val="18"/>
              </w:rPr>
            </w:pPr>
          </w:p>
        </w:tc>
        <w:tc>
          <w:tcPr>
            <w:tcW w:w="3771" w:type="dxa"/>
            <w:tcBorders>
              <w:top w:val="single" w:color="auto" w:sz="4" w:space="0"/>
              <w:bottom w:val="single" w:color="auto" w:sz="4" w:space="0"/>
            </w:tcBorders>
            <w:vAlign w:val="center"/>
          </w:tcPr>
          <w:p w14:paraId="7B46F84F">
            <w:pPr>
              <w:pStyle w:val="110"/>
              <w:widowControl w:val="0"/>
              <w:rPr>
                <w:rFonts w:hAnsi="宋体"/>
                <w:spacing w:val="-3"/>
                <w:szCs w:val="18"/>
              </w:rPr>
            </w:pPr>
            <w:r>
              <w:rPr>
                <w:rFonts w:hint="eastAsia" w:hAnsi="宋体"/>
                <w:spacing w:val="-3"/>
                <w:szCs w:val="18"/>
              </w:rPr>
              <w:t>安全</w:t>
            </w:r>
          </w:p>
        </w:tc>
        <w:tc>
          <w:tcPr>
            <w:tcW w:w="1984" w:type="dxa"/>
            <w:tcBorders>
              <w:top w:val="single" w:color="auto" w:sz="4" w:space="0"/>
              <w:bottom w:val="single" w:color="auto" w:sz="4" w:space="0"/>
            </w:tcBorders>
          </w:tcPr>
          <w:p w14:paraId="1C3A15EA">
            <w:pPr>
              <w:pStyle w:val="110"/>
              <w:widowControl w:val="0"/>
              <w:rPr>
                <w:rFonts w:hAnsi="宋体"/>
                <w:szCs w:val="18"/>
              </w:rPr>
            </w:pPr>
            <w:r>
              <w:rPr>
                <w:rFonts w:hAnsi="宋体"/>
              </w:rPr>
              <w:t>3人</w:t>
            </w:r>
          </w:p>
        </w:tc>
        <w:tc>
          <w:tcPr>
            <w:tcW w:w="1982" w:type="dxa"/>
            <w:gridSpan w:val="2"/>
            <w:tcBorders>
              <w:top w:val="single" w:color="auto" w:sz="4" w:space="0"/>
              <w:bottom w:val="single" w:color="auto" w:sz="4" w:space="0"/>
            </w:tcBorders>
            <w:vAlign w:val="center"/>
          </w:tcPr>
          <w:p w14:paraId="6FB71FEA">
            <w:pPr>
              <w:pStyle w:val="110"/>
              <w:widowControl w:val="0"/>
              <w:rPr>
                <w:rFonts w:hAnsi="宋体"/>
                <w:szCs w:val="18"/>
              </w:rPr>
            </w:pPr>
            <w:r>
              <w:rPr>
                <w:rFonts w:hint="eastAsia" w:hAnsi="宋体"/>
                <w:szCs w:val="18"/>
              </w:rPr>
              <w:t>1人</w:t>
            </w:r>
          </w:p>
        </w:tc>
      </w:tr>
      <w:tr w14:paraId="24B5A2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restart"/>
            <w:vAlign w:val="center"/>
          </w:tcPr>
          <w:p w14:paraId="44785739">
            <w:pPr>
              <w:pStyle w:val="110"/>
              <w:widowControl w:val="0"/>
              <w:rPr>
                <w:rFonts w:hAnsi="宋体"/>
              </w:rPr>
            </w:pPr>
            <w:r>
              <w:rPr>
                <w:rFonts w:hint="eastAsia" w:hAnsi="宋体"/>
                <w:szCs w:val="18"/>
              </w:rPr>
              <w:t>电气与仪表</w:t>
            </w:r>
          </w:p>
        </w:tc>
        <w:tc>
          <w:tcPr>
            <w:tcW w:w="3771" w:type="dxa"/>
            <w:tcBorders>
              <w:top w:val="single" w:color="auto" w:sz="4" w:space="0"/>
              <w:bottom w:val="single" w:color="auto" w:sz="4" w:space="0"/>
            </w:tcBorders>
            <w:vAlign w:val="center"/>
          </w:tcPr>
          <w:p w14:paraId="771A0077">
            <w:pPr>
              <w:pStyle w:val="110"/>
              <w:widowControl w:val="0"/>
              <w:rPr>
                <w:rFonts w:hAnsi="宋体"/>
                <w:szCs w:val="18"/>
              </w:rPr>
            </w:pPr>
            <w:r>
              <w:rPr>
                <w:rFonts w:hint="eastAsia" w:hAnsi="宋体"/>
                <w:szCs w:val="18"/>
              </w:rPr>
              <w:t>电气</w:t>
            </w:r>
          </w:p>
        </w:tc>
        <w:tc>
          <w:tcPr>
            <w:tcW w:w="1984" w:type="dxa"/>
            <w:tcBorders>
              <w:top w:val="single" w:color="auto" w:sz="4" w:space="0"/>
              <w:bottom w:val="single" w:color="auto" w:sz="4" w:space="0"/>
            </w:tcBorders>
          </w:tcPr>
          <w:p w14:paraId="3BE0C0AF">
            <w:pPr>
              <w:pStyle w:val="110"/>
              <w:widowControl w:val="0"/>
              <w:rPr>
                <w:rFonts w:hAnsi="宋体"/>
              </w:rPr>
            </w:pPr>
            <w:r>
              <w:rPr>
                <w:rFonts w:hAnsi="宋体"/>
              </w:rPr>
              <w:t>5人</w:t>
            </w:r>
          </w:p>
        </w:tc>
        <w:tc>
          <w:tcPr>
            <w:tcW w:w="1982" w:type="dxa"/>
            <w:gridSpan w:val="2"/>
            <w:tcBorders>
              <w:top w:val="single" w:color="auto" w:sz="4" w:space="0"/>
              <w:bottom w:val="single" w:color="auto" w:sz="4" w:space="0"/>
            </w:tcBorders>
            <w:vAlign w:val="center"/>
          </w:tcPr>
          <w:p w14:paraId="52F8BE5E">
            <w:pPr>
              <w:pStyle w:val="110"/>
              <w:widowControl w:val="0"/>
              <w:rPr>
                <w:rFonts w:hAnsi="宋体"/>
              </w:rPr>
            </w:pPr>
            <w:r>
              <w:rPr>
                <w:rFonts w:hint="eastAsia" w:hAnsi="宋体"/>
                <w:szCs w:val="18"/>
              </w:rPr>
              <w:t>1人</w:t>
            </w:r>
          </w:p>
        </w:tc>
      </w:tr>
      <w:tr w14:paraId="73C19F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continue"/>
            <w:vAlign w:val="center"/>
          </w:tcPr>
          <w:p w14:paraId="383EBAB5">
            <w:pPr>
              <w:pStyle w:val="110"/>
              <w:widowControl w:val="0"/>
              <w:rPr>
                <w:rFonts w:hAnsi="宋体"/>
                <w:szCs w:val="18"/>
              </w:rPr>
            </w:pPr>
          </w:p>
        </w:tc>
        <w:tc>
          <w:tcPr>
            <w:tcW w:w="3771" w:type="dxa"/>
            <w:tcBorders>
              <w:top w:val="single" w:color="auto" w:sz="4" w:space="0"/>
              <w:bottom w:val="single" w:color="auto" w:sz="4" w:space="0"/>
            </w:tcBorders>
            <w:vAlign w:val="center"/>
          </w:tcPr>
          <w:p w14:paraId="047CDAE1">
            <w:pPr>
              <w:pStyle w:val="110"/>
              <w:widowControl w:val="0"/>
              <w:rPr>
                <w:rFonts w:hAnsi="宋体"/>
                <w:szCs w:val="18"/>
              </w:rPr>
            </w:pPr>
            <w:r>
              <w:rPr>
                <w:rFonts w:hint="eastAsia" w:hAnsi="宋体"/>
                <w:szCs w:val="18"/>
              </w:rPr>
              <w:t>仪表</w:t>
            </w:r>
          </w:p>
        </w:tc>
        <w:tc>
          <w:tcPr>
            <w:tcW w:w="1984" w:type="dxa"/>
            <w:tcBorders>
              <w:top w:val="single" w:color="auto" w:sz="4" w:space="0"/>
              <w:bottom w:val="single" w:color="auto" w:sz="4" w:space="0"/>
            </w:tcBorders>
          </w:tcPr>
          <w:p w14:paraId="1597A2CE">
            <w:pPr>
              <w:pStyle w:val="110"/>
              <w:widowControl w:val="0"/>
              <w:rPr>
                <w:rFonts w:hAnsi="宋体"/>
                <w:szCs w:val="18"/>
              </w:rPr>
            </w:pPr>
            <w:r>
              <w:rPr>
                <w:rFonts w:hAnsi="宋体"/>
              </w:rPr>
              <w:t>3人</w:t>
            </w:r>
          </w:p>
        </w:tc>
        <w:tc>
          <w:tcPr>
            <w:tcW w:w="1982" w:type="dxa"/>
            <w:gridSpan w:val="2"/>
            <w:vMerge w:val="restart"/>
            <w:tcBorders>
              <w:top w:val="single" w:color="auto" w:sz="4" w:space="0"/>
            </w:tcBorders>
            <w:vAlign w:val="center"/>
          </w:tcPr>
          <w:p w14:paraId="434CF2CE">
            <w:pPr>
              <w:pStyle w:val="110"/>
              <w:widowControl w:val="0"/>
              <w:rPr>
                <w:rFonts w:hAnsi="宋体"/>
                <w:szCs w:val="18"/>
              </w:rPr>
            </w:pPr>
            <w:r>
              <w:rPr>
                <w:rFonts w:hint="eastAsia" w:hAnsi="宋体"/>
                <w:szCs w:val="18"/>
              </w:rPr>
              <w:t>1人</w:t>
            </w:r>
          </w:p>
        </w:tc>
      </w:tr>
      <w:tr w14:paraId="04A54B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616" w:type="dxa"/>
            <w:vMerge w:val="continue"/>
            <w:vAlign w:val="center"/>
          </w:tcPr>
          <w:p w14:paraId="4BAFBBCB">
            <w:pPr>
              <w:pStyle w:val="110"/>
              <w:widowControl w:val="0"/>
              <w:rPr>
                <w:rFonts w:hAnsi="宋体"/>
                <w:szCs w:val="18"/>
              </w:rPr>
            </w:pPr>
          </w:p>
        </w:tc>
        <w:tc>
          <w:tcPr>
            <w:tcW w:w="3771" w:type="dxa"/>
            <w:tcBorders>
              <w:top w:val="single" w:color="auto" w:sz="4" w:space="0"/>
              <w:bottom w:val="single" w:color="auto" w:sz="8" w:space="0"/>
            </w:tcBorders>
            <w:vAlign w:val="center"/>
          </w:tcPr>
          <w:p w14:paraId="199E94DF">
            <w:pPr>
              <w:pStyle w:val="110"/>
              <w:widowControl w:val="0"/>
              <w:rPr>
                <w:rFonts w:hAnsi="宋体"/>
                <w:szCs w:val="18"/>
              </w:rPr>
            </w:pPr>
            <w:r>
              <w:rPr>
                <w:rFonts w:hint="eastAsia" w:hAnsi="宋体"/>
                <w:szCs w:val="18"/>
              </w:rPr>
              <w:t>通信</w:t>
            </w:r>
          </w:p>
        </w:tc>
        <w:tc>
          <w:tcPr>
            <w:tcW w:w="1984" w:type="dxa"/>
            <w:tcBorders>
              <w:top w:val="single" w:color="auto" w:sz="4" w:space="0"/>
              <w:bottom w:val="single" w:color="auto" w:sz="8" w:space="0"/>
            </w:tcBorders>
          </w:tcPr>
          <w:p w14:paraId="2D57D0E2">
            <w:pPr>
              <w:pStyle w:val="110"/>
              <w:widowControl w:val="0"/>
              <w:rPr>
                <w:rFonts w:hAnsi="宋体"/>
                <w:szCs w:val="18"/>
              </w:rPr>
            </w:pPr>
            <w:r>
              <w:rPr>
                <w:rFonts w:hAnsi="宋体"/>
              </w:rPr>
              <w:t>2人</w:t>
            </w:r>
          </w:p>
        </w:tc>
        <w:tc>
          <w:tcPr>
            <w:tcW w:w="1982" w:type="dxa"/>
            <w:gridSpan w:val="2"/>
            <w:vMerge w:val="continue"/>
            <w:tcBorders>
              <w:bottom w:val="single" w:color="auto" w:sz="8" w:space="0"/>
            </w:tcBorders>
            <w:vAlign w:val="center"/>
          </w:tcPr>
          <w:p w14:paraId="3FA8B058">
            <w:pPr>
              <w:pStyle w:val="110"/>
              <w:widowControl w:val="0"/>
              <w:rPr>
                <w:rFonts w:hAnsi="宋体"/>
                <w:szCs w:val="18"/>
              </w:rPr>
            </w:pPr>
          </w:p>
        </w:tc>
      </w:tr>
    </w:tbl>
    <w:p w14:paraId="1CFA6BB7">
      <w:pPr>
        <w:widowControl/>
        <w:jc w:val="left"/>
        <w:rPr>
          <w:rFonts w:ascii="宋体" w:hAnsi="宋体"/>
        </w:rPr>
      </w:pPr>
      <w:r>
        <w:rPr>
          <w:rFonts w:ascii="宋体" w:hAnsi="宋体"/>
        </w:rPr>
        <w:br w:type="page"/>
      </w:r>
    </w:p>
    <w:p w14:paraId="17329B3B">
      <w:pPr>
        <w:pStyle w:val="108"/>
        <w:numPr>
          <w:ilvl w:val="1"/>
          <w:numId w:val="0"/>
        </w:numPr>
        <w:spacing w:before="120" w:after="120"/>
        <w:rPr>
          <w:rFonts w:ascii="宋体" w:hAnsi="宋体"/>
        </w:rPr>
      </w:pPr>
      <w:r>
        <w:rPr>
          <w:rFonts w:hint="eastAsia" w:ascii="宋体" w:hAnsi="宋体"/>
        </w:rPr>
        <w:t>表B.3海洋石油专业设备检测检验机构人员配置条件</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400"/>
        <w:gridCol w:w="3260"/>
        <w:gridCol w:w="3674"/>
      </w:tblGrid>
      <w:tr w14:paraId="46665C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400" w:type="dxa"/>
            <w:tcBorders>
              <w:top w:val="single" w:color="auto" w:sz="8" w:space="0"/>
              <w:bottom w:val="single" w:color="auto" w:sz="8" w:space="0"/>
            </w:tcBorders>
            <w:vAlign w:val="center"/>
          </w:tcPr>
          <w:p w14:paraId="58E2647B">
            <w:pPr>
              <w:pStyle w:val="110"/>
              <w:widowControl w:val="0"/>
              <w:rPr>
                <w:rFonts w:hAnsi="宋体"/>
              </w:rPr>
            </w:pPr>
            <w:r>
              <w:rPr>
                <w:rFonts w:hint="eastAsia" w:hAnsi="宋体"/>
                <w:szCs w:val="18"/>
              </w:rPr>
              <w:t>大类专业设备</w:t>
            </w:r>
          </w:p>
        </w:tc>
        <w:tc>
          <w:tcPr>
            <w:tcW w:w="3260" w:type="dxa"/>
            <w:tcBorders>
              <w:top w:val="single" w:color="auto" w:sz="8" w:space="0"/>
              <w:bottom w:val="single" w:color="auto" w:sz="8" w:space="0"/>
            </w:tcBorders>
            <w:vAlign w:val="center"/>
          </w:tcPr>
          <w:p w14:paraId="0C9AB6FE">
            <w:pPr>
              <w:pStyle w:val="110"/>
              <w:widowControl w:val="0"/>
              <w:rPr>
                <w:rFonts w:hAnsi="宋体"/>
              </w:rPr>
            </w:pPr>
            <w:r>
              <w:rPr>
                <w:rFonts w:hint="eastAsia" w:hAnsi="宋体"/>
                <w:szCs w:val="18"/>
              </w:rPr>
              <w:t>中类专业设备</w:t>
            </w:r>
          </w:p>
        </w:tc>
        <w:tc>
          <w:tcPr>
            <w:tcW w:w="3674" w:type="dxa"/>
            <w:tcBorders>
              <w:top w:val="single" w:color="auto" w:sz="8" w:space="0"/>
              <w:bottom w:val="single" w:color="auto" w:sz="8" w:space="0"/>
            </w:tcBorders>
            <w:vAlign w:val="center"/>
          </w:tcPr>
          <w:p w14:paraId="226EB1B5">
            <w:pPr>
              <w:pStyle w:val="110"/>
              <w:widowControl w:val="0"/>
              <w:rPr>
                <w:rFonts w:hAnsi="宋体"/>
              </w:rPr>
            </w:pPr>
            <w:r>
              <w:rPr>
                <w:rFonts w:hint="eastAsia" w:hAnsi="宋体"/>
                <w:spacing w:val="-7"/>
                <w:szCs w:val="18"/>
              </w:rPr>
              <w:t>最低人员配置</w:t>
            </w:r>
          </w:p>
        </w:tc>
      </w:tr>
      <w:tr w14:paraId="103E06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tcBorders>
              <w:top w:val="single" w:color="auto" w:sz="8" w:space="0"/>
            </w:tcBorders>
            <w:vAlign w:val="center"/>
          </w:tcPr>
          <w:p w14:paraId="28A2C5AD">
            <w:pPr>
              <w:pStyle w:val="110"/>
              <w:widowControl w:val="0"/>
              <w:rPr>
                <w:rFonts w:hAnsi="宋体"/>
              </w:rPr>
            </w:pPr>
            <w:r>
              <w:rPr>
                <w:rFonts w:hint="eastAsia" w:hAnsi="宋体"/>
              </w:rPr>
              <w:t>海上结构</w:t>
            </w:r>
          </w:p>
        </w:tc>
        <w:tc>
          <w:tcPr>
            <w:tcW w:w="3260" w:type="dxa"/>
            <w:tcBorders>
              <w:top w:val="single" w:color="auto" w:sz="8" w:space="0"/>
            </w:tcBorders>
            <w:vAlign w:val="center"/>
          </w:tcPr>
          <w:p w14:paraId="0AD21C10">
            <w:pPr>
              <w:pStyle w:val="110"/>
              <w:widowControl w:val="0"/>
              <w:rPr>
                <w:rFonts w:hAnsi="宋体"/>
              </w:rPr>
            </w:pPr>
            <w:r>
              <w:rPr>
                <w:rFonts w:hint="eastAsia" w:hAnsi="宋体"/>
                <w:spacing w:val="-1"/>
                <w:szCs w:val="18"/>
              </w:rPr>
              <w:t>海洋平台结构</w:t>
            </w:r>
          </w:p>
        </w:tc>
        <w:tc>
          <w:tcPr>
            <w:tcW w:w="3674" w:type="dxa"/>
            <w:tcBorders>
              <w:top w:val="single" w:color="auto" w:sz="8" w:space="0"/>
            </w:tcBorders>
            <w:vAlign w:val="center"/>
          </w:tcPr>
          <w:p w14:paraId="0F2650DB">
            <w:pPr>
              <w:pStyle w:val="99"/>
              <w:widowControl/>
              <w:kinsoku w:val="0"/>
              <w:autoSpaceDE w:val="0"/>
              <w:autoSpaceDN w:val="0"/>
              <w:adjustRightInd w:val="0"/>
              <w:snapToGrid w:val="0"/>
              <w:ind w:left="111" w:right="106" w:firstLine="0" w:firstLineChars="0"/>
              <w:jc w:val="left"/>
              <w:textAlignment w:val="baseline"/>
              <w:rPr>
                <w:rFonts w:cs="Times New Roman"/>
                <w:sz w:val="18"/>
                <w:szCs w:val="18"/>
              </w:rPr>
            </w:pPr>
            <w:r>
              <w:rPr>
                <w:rFonts w:hint="eastAsia" w:cs="Times New Roman"/>
                <w:sz w:val="18"/>
                <w:szCs w:val="18"/>
              </w:rPr>
              <w:t>海洋平台结构检验人员4人</w:t>
            </w:r>
          </w:p>
          <w:p w14:paraId="3C65EB35">
            <w:pPr>
              <w:pStyle w:val="99"/>
              <w:widowControl/>
              <w:kinsoku w:val="0"/>
              <w:autoSpaceDE w:val="0"/>
              <w:autoSpaceDN w:val="0"/>
              <w:adjustRightInd w:val="0"/>
              <w:snapToGrid w:val="0"/>
              <w:ind w:left="111" w:right="106" w:firstLine="0" w:firstLineChars="0"/>
              <w:jc w:val="left"/>
              <w:textAlignment w:val="baseline"/>
              <w:rPr>
                <w:rFonts w:cs="Times New Roman"/>
                <w:sz w:val="18"/>
                <w:szCs w:val="18"/>
              </w:rPr>
            </w:pPr>
            <w:r>
              <w:rPr>
                <w:rFonts w:hint="eastAsia" w:cs="Times New Roman"/>
                <w:sz w:val="18"/>
                <w:szCs w:val="18"/>
              </w:rPr>
              <w:t>超声检测人员2人项</w:t>
            </w:r>
          </w:p>
          <w:p w14:paraId="418951CE">
            <w:pPr>
              <w:pStyle w:val="99"/>
              <w:widowControl/>
              <w:kinsoku w:val="0"/>
              <w:autoSpaceDE w:val="0"/>
              <w:autoSpaceDN w:val="0"/>
              <w:adjustRightInd w:val="0"/>
              <w:snapToGrid w:val="0"/>
              <w:ind w:left="111" w:right="106" w:firstLine="0" w:firstLineChars="0"/>
              <w:jc w:val="left"/>
              <w:textAlignment w:val="baseline"/>
              <w:rPr>
                <w:rFonts w:cs="Times New Roman"/>
                <w:sz w:val="18"/>
                <w:szCs w:val="18"/>
              </w:rPr>
            </w:pPr>
            <w:r>
              <w:rPr>
                <w:rFonts w:hint="eastAsia" w:cs="Times New Roman"/>
                <w:sz w:val="18"/>
                <w:szCs w:val="18"/>
              </w:rPr>
              <w:t>磁粉检测人员2人项</w:t>
            </w:r>
          </w:p>
          <w:p w14:paraId="66625141">
            <w:pPr>
              <w:pStyle w:val="99"/>
              <w:widowControl/>
              <w:kinsoku w:val="0"/>
              <w:autoSpaceDE w:val="0"/>
              <w:autoSpaceDN w:val="0"/>
              <w:adjustRightInd w:val="0"/>
              <w:snapToGrid w:val="0"/>
              <w:ind w:left="111" w:right="106" w:firstLine="0" w:firstLineChars="0"/>
              <w:jc w:val="left"/>
              <w:textAlignment w:val="baseline"/>
              <w:rPr>
                <w:rFonts w:cs="Times New Roman"/>
                <w:sz w:val="18"/>
                <w:szCs w:val="18"/>
              </w:rPr>
            </w:pPr>
            <w:r>
              <w:rPr>
                <w:rFonts w:hint="eastAsia" w:cs="Times New Roman"/>
                <w:sz w:val="18"/>
                <w:szCs w:val="18"/>
              </w:rPr>
              <w:t>渗透检测人员2人项</w:t>
            </w:r>
          </w:p>
          <w:p w14:paraId="07021094">
            <w:pPr>
              <w:pStyle w:val="99"/>
              <w:widowControl/>
              <w:kinsoku w:val="0"/>
              <w:autoSpaceDE w:val="0"/>
              <w:autoSpaceDN w:val="0"/>
              <w:adjustRightInd w:val="0"/>
              <w:snapToGrid w:val="0"/>
              <w:ind w:left="111" w:right="106" w:firstLine="0" w:firstLineChars="0"/>
              <w:jc w:val="left"/>
              <w:textAlignment w:val="baseline"/>
              <w:rPr>
                <w:rFonts w:cs="Times New Roman"/>
                <w:sz w:val="18"/>
                <w:szCs w:val="18"/>
              </w:rPr>
            </w:pPr>
            <w:r>
              <w:rPr>
                <w:rFonts w:hint="eastAsia" w:cs="Times New Roman"/>
                <w:sz w:val="18"/>
                <w:szCs w:val="18"/>
              </w:rPr>
              <w:t>交流电磁场检测人员2人项</w:t>
            </w:r>
          </w:p>
          <w:p w14:paraId="326EA0A1">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水下磁粉检测人员2人项</w:t>
            </w:r>
          </w:p>
          <w:p w14:paraId="40D7A277">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水下目视检测人员2人项</w:t>
            </w:r>
          </w:p>
          <w:p w14:paraId="2879E996">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水下测厚人员2人项</w:t>
            </w:r>
          </w:p>
        </w:tc>
      </w:tr>
      <w:tr w14:paraId="781556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3F5A5026">
            <w:pPr>
              <w:pStyle w:val="110"/>
              <w:widowControl w:val="0"/>
              <w:rPr>
                <w:rFonts w:hAnsi="宋体"/>
              </w:rPr>
            </w:pPr>
          </w:p>
        </w:tc>
        <w:tc>
          <w:tcPr>
            <w:tcW w:w="3260" w:type="dxa"/>
            <w:vAlign w:val="center"/>
          </w:tcPr>
          <w:p w14:paraId="16540DE9">
            <w:pPr>
              <w:pStyle w:val="110"/>
              <w:widowControl w:val="0"/>
              <w:rPr>
                <w:rFonts w:hAnsi="宋体"/>
              </w:rPr>
            </w:pPr>
            <w:r>
              <w:rPr>
                <w:rFonts w:hint="eastAsia" w:hAnsi="宋体"/>
                <w:spacing w:val="-2"/>
                <w:szCs w:val="18"/>
              </w:rPr>
              <w:t>单点系泊结构</w:t>
            </w:r>
          </w:p>
        </w:tc>
        <w:tc>
          <w:tcPr>
            <w:tcW w:w="3674" w:type="dxa"/>
            <w:vAlign w:val="center"/>
          </w:tcPr>
          <w:p w14:paraId="527A0364">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单点系泊结构检验人员4人</w:t>
            </w:r>
          </w:p>
          <w:p w14:paraId="3F3255BB">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超声检测人员2人项</w:t>
            </w:r>
          </w:p>
          <w:p w14:paraId="29A3C506">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磁粉检测人员2人项</w:t>
            </w:r>
          </w:p>
          <w:p w14:paraId="182E78DB">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渗透检测人员2人项</w:t>
            </w:r>
          </w:p>
          <w:p w14:paraId="0A254CD2">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交流电磁场检测人员2人项</w:t>
            </w:r>
          </w:p>
          <w:p w14:paraId="0AE93FD0">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水下磁粉检测人员2人项</w:t>
            </w:r>
          </w:p>
          <w:p w14:paraId="6E11EBE4">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水下目视检测人员2人项</w:t>
            </w:r>
          </w:p>
          <w:p w14:paraId="7B620082">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水下测厚人员2人项</w:t>
            </w:r>
          </w:p>
        </w:tc>
      </w:tr>
      <w:tr w14:paraId="51FD95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Align w:val="center"/>
          </w:tcPr>
          <w:p w14:paraId="1F114E2D">
            <w:pPr>
              <w:pStyle w:val="110"/>
              <w:widowControl w:val="0"/>
              <w:rPr>
                <w:rFonts w:hAnsi="宋体"/>
              </w:rPr>
            </w:pPr>
            <w:r>
              <w:rPr>
                <w:rFonts w:hint="eastAsia" w:hAnsi="宋体"/>
              </w:rPr>
              <w:t>采油设备</w:t>
            </w:r>
          </w:p>
        </w:tc>
        <w:tc>
          <w:tcPr>
            <w:tcW w:w="3260" w:type="dxa"/>
            <w:vAlign w:val="center"/>
          </w:tcPr>
          <w:p w14:paraId="7273A9EC">
            <w:pPr>
              <w:pStyle w:val="110"/>
              <w:widowControl w:val="0"/>
              <w:rPr>
                <w:rFonts w:hAnsi="宋体"/>
              </w:rPr>
            </w:pPr>
            <w:r>
              <w:rPr>
                <w:rFonts w:hint="eastAsia" w:hAnsi="宋体"/>
                <w:spacing w:val="-14"/>
                <w:szCs w:val="18"/>
              </w:rPr>
              <w:t>采油（气）树</w:t>
            </w:r>
          </w:p>
        </w:tc>
        <w:tc>
          <w:tcPr>
            <w:tcW w:w="3674" w:type="dxa"/>
            <w:vAlign w:val="center"/>
          </w:tcPr>
          <w:p w14:paraId="20716183">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采油（气）树检验人员3人</w:t>
            </w:r>
          </w:p>
          <w:p w14:paraId="54A8293A">
            <w:pPr>
              <w:pStyle w:val="99"/>
              <w:widowControl/>
              <w:kinsoku w:val="0"/>
              <w:autoSpaceDE w:val="0"/>
              <w:autoSpaceDN w:val="0"/>
              <w:adjustRightInd w:val="0"/>
              <w:snapToGrid w:val="0"/>
              <w:ind w:left="112" w:right="104" w:firstLine="0" w:firstLineChars="0"/>
              <w:jc w:val="left"/>
              <w:textAlignment w:val="baseline"/>
              <w:rPr>
                <w:rFonts w:cs="Times New Roman"/>
                <w:spacing w:val="-1"/>
                <w:sz w:val="18"/>
                <w:szCs w:val="18"/>
              </w:rPr>
            </w:pPr>
            <w:r>
              <w:rPr>
                <w:rFonts w:hint="eastAsia" w:cs="Times New Roman"/>
                <w:spacing w:val="-1"/>
                <w:sz w:val="18"/>
                <w:szCs w:val="18"/>
              </w:rPr>
              <w:t>超声检测人员2人项</w:t>
            </w:r>
          </w:p>
          <w:p w14:paraId="6AD075C6">
            <w:pPr>
              <w:pStyle w:val="99"/>
              <w:widowControl/>
              <w:kinsoku w:val="0"/>
              <w:autoSpaceDE w:val="0"/>
              <w:autoSpaceDN w:val="0"/>
              <w:adjustRightInd w:val="0"/>
              <w:snapToGrid w:val="0"/>
              <w:ind w:left="112" w:right="104" w:firstLine="0" w:firstLineChars="0"/>
              <w:jc w:val="left"/>
              <w:textAlignment w:val="baseline"/>
              <w:rPr>
                <w:rFonts w:cs="Times New Roman"/>
                <w:spacing w:val="-1"/>
                <w:sz w:val="18"/>
                <w:szCs w:val="18"/>
              </w:rPr>
            </w:pPr>
            <w:r>
              <w:rPr>
                <w:rFonts w:hint="eastAsia" w:cs="Times New Roman"/>
                <w:spacing w:val="-1"/>
                <w:sz w:val="18"/>
                <w:szCs w:val="18"/>
              </w:rPr>
              <w:t>磁粉检测人员2人项</w:t>
            </w:r>
          </w:p>
          <w:p w14:paraId="5F3D7123">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渗透检测人员2人项</w:t>
            </w:r>
          </w:p>
        </w:tc>
      </w:tr>
      <w:tr w14:paraId="325684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0257682A">
            <w:pPr>
              <w:pStyle w:val="110"/>
              <w:widowControl w:val="0"/>
              <w:rPr>
                <w:rFonts w:hAnsi="宋体"/>
              </w:rPr>
            </w:pPr>
            <w:r>
              <w:rPr>
                <w:rFonts w:hint="eastAsia" w:hAnsi="宋体"/>
              </w:rPr>
              <w:t>海上锅炉和压力容器</w:t>
            </w:r>
          </w:p>
        </w:tc>
        <w:tc>
          <w:tcPr>
            <w:tcW w:w="3260" w:type="dxa"/>
            <w:vAlign w:val="center"/>
          </w:tcPr>
          <w:p w14:paraId="254A1176">
            <w:pPr>
              <w:pStyle w:val="110"/>
              <w:widowControl w:val="0"/>
              <w:rPr>
                <w:rFonts w:hAnsi="宋体"/>
              </w:rPr>
            </w:pPr>
            <w:r>
              <w:rPr>
                <w:rFonts w:hint="eastAsia" w:hAnsi="宋体"/>
                <w:spacing w:val="-1"/>
                <w:szCs w:val="18"/>
              </w:rPr>
              <w:t>海上锅炉</w:t>
            </w:r>
          </w:p>
        </w:tc>
        <w:tc>
          <w:tcPr>
            <w:tcW w:w="3674" w:type="dxa"/>
            <w:vAlign w:val="center"/>
          </w:tcPr>
          <w:p w14:paraId="1C2F40E3">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海上锅炉检验人员3人</w:t>
            </w:r>
          </w:p>
          <w:p w14:paraId="502D1A29">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超声检测人员2人项</w:t>
            </w:r>
          </w:p>
          <w:p w14:paraId="3B0C41CC">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磁粉检测人员2人项</w:t>
            </w:r>
          </w:p>
          <w:p w14:paraId="1BC526A0">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渗透检测人员2人项</w:t>
            </w:r>
          </w:p>
          <w:p w14:paraId="29B77061">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射线检测人员2人项</w:t>
            </w:r>
          </w:p>
        </w:tc>
      </w:tr>
      <w:tr w14:paraId="45BACC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1D2EDB98">
            <w:pPr>
              <w:pStyle w:val="110"/>
              <w:widowControl w:val="0"/>
              <w:rPr>
                <w:rFonts w:hAnsi="宋体"/>
              </w:rPr>
            </w:pPr>
          </w:p>
        </w:tc>
        <w:tc>
          <w:tcPr>
            <w:tcW w:w="3260" w:type="dxa"/>
            <w:vAlign w:val="center"/>
          </w:tcPr>
          <w:p w14:paraId="7A3BFB66">
            <w:pPr>
              <w:pStyle w:val="110"/>
              <w:widowControl w:val="0"/>
              <w:rPr>
                <w:rFonts w:hAnsi="宋体"/>
              </w:rPr>
            </w:pPr>
            <w:r>
              <w:rPr>
                <w:rFonts w:hint="eastAsia" w:hAnsi="宋体"/>
                <w:spacing w:val="-1"/>
                <w:szCs w:val="18"/>
              </w:rPr>
              <w:t>海上压力容器</w:t>
            </w:r>
          </w:p>
        </w:tc>
        <w:tc>
          <w:tcPr>
            <w:tcW w:w="3674" w:type="dxa"/>
            <w:vAlign w:val="center"/>
          </w:tcPr>
          <w:p w14:paraId="0EB8C63A">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海上压力容器检验人员3人</w:t>
            </w:r>
          </w:p>
          <w:p w14:paraId="31DE63AF">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超声检测人员2人项</w:t>
            </w:r>
          </w:p>
          <w:p w14:paraId="426F1224">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磁粉检测人员2人项</w:t>
            </w:r>
          </w:p>
          <w:p w14:paraId="1AFDCD34">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渗透检测人员2人项</w:t>
            </w:r>
          </w:p>
          <w:p w14:paraId="3DBC19EB">
            <w:pPr>
              <w:pStyle w:val="99"/>
              <w:widowControl/>
              <w:kinsoku w:val="0"/>
              <w:autoSpaceDE w:val="0"/>
              <w:autoSpaceDN w:val="0"/>
              <w:adjustRightInd w:val="0"/>
              <w:snapToGrid w:val="0"/>
              <w:ind w:left="111" w:right="106" w:firstLine="0" w:firstLineChars="0"/>
              <w:jc w:val="left"/>
              <w:textAlignment w:val="baseline"/>
              <w:rPr>
                <w:spacing w:val="-1"/>
                <w:szCs w:val="18"/>
              </w:rPr>
            </w:pPr>
            <w:r>
              <w:rPr>
                <w:rFonts w:hint="eastAsia" w:cs="Times New Roman"/>
                <w:spacing w:val="-1"/>
                <w:sz w:val="18"/>
                <w:szCs w:val="18"/>
              </w:rPr>
              <w:t>射线检测人员2人项</w:t>
            </w:r>
          </w:p>
        </w:tc>
      </w:tr>
      <w:tr w14:paraId="3CBE69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0287EDEF">
            <w:pPr>
              <w:pStyle w:val="110"/>
              <w:widowControl w:val="0"/>
              <w:rPr>
                <w:rFonts w:hAnsi="宋体"/>
              </w:rPr>
            </w:pPr>
          </w:p>
        </w:tc>
        <w:tc>
          <w:tcPr>
            <w:tcW w:w="3260" w:type="dxa"/>
            <w:vAlign w:val="center"/>
          </w:tcPr>
          <w:p w14:paraId="54284484">
            <w:pPr>
              <w:pStyle w:val="110"/>
              <w:widowControl w:val="0"/>
              <w:rPr>
                <w:rFonts w:hAnsi="宋体"/>
              </w:rPr>
            </w:pPr>
            <w:r>
              <w:rPr>
                <w:rFonts w:hint="eastAsia" w:hAnsi="宋体"/>
                <w:spacing w:val="-1"/>
                <w:szCs w:val="18"/>
              </w:rPr>
              <w:t>海上压力管道</w:t>
            </w:r>
          </w:p>
        </w:tc>
        <w:tc>
          <w:tcPr>
            <w:tcW w:w="3674" w:type="dxa"/>
            <w:vAlign w:val="center"/>
          </w:tcPr>
          <w:p w14:paraId="79815EA2">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海上压力管道检验人员3人</w:t>
            </w:r>
          </w:p>
          <w:p w14:paraId="2EA23457">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超声检测人员2人项</w:t>
            </w:r>
          </w:p>
          <w:p w14:paraId="2341C6CC">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磁粉检测人员2人项</w:t>
            </w:r>
          </w:p>
          <w:p w14:paraId="34D03C0F">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渗透检测人员2人项</w:t>
            </w:r>
          </w:p>
          <w:p w14:paraId="13C10F19">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射线检测人员2人项</w:t>
            </w:r>
          </w:p>
        </w:tc>
      </w:tr>
      <w:tr w14:paraId="6E1599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724E0FFB">
            <w:pPr>
              <w:pStyle w:val="110"/>
              <w:widowControl w:val="0"/>
              <w:rPr>
                <w:rFonts w:hAnsi="宋体"/>
              </w:rPr>
            </w:pPr>
            <w:r>
              <w:rPr>
                <w:rFonts w:hint="eastAsia" w:hAnsi="宋体"/>
              </w:rPr>
              <w:t>钻井和修井设备</w:t>
            </w:r>
          </w:p>
        </w:tc>
        <w:tc>
          <w:tcPr>
            <w:tcW w:w="3260" w:type="dxa"/>
            <w:vAlign w:val="center"/>
          </w:tcPr>
          <w:p w14:paraId="52A55078">
            <w:pPr>
              <w:pStyle w:val="110"/>
              <w:widowControl w:val="0"/>
              <w:rPr>
                <w:rFonts w:hAnsi="宋体"/>
              </w:rPr>
            </w:pPr>
            <w:r>
              <w:rPr>
                <w:rFonts w:hint="eastAsia" w:hAnsi="宋体"/>
                <w:spacing w:val="-2"/>
                <w:szCs w:val="18"/>
              </w:rPr>
              <w:t>钻机</w:t>
            </w:r>
          </w:p>
        </w:tc>
        <w:tc>
          <w:tcPr>
            <w:tcW w:w="3674" w:type="dxa"/>
            <w:vAlign w:val="center"/>
          </w:tcPr>
          <w:p w14:paraId="436C9B6C">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钻修井机检验人员3人</w:t>
            </w:r>
          </w:p>
          <w:p w14:paraId="3ADA5950">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超声检测人员2人项</w:t>
            </w:r>
          </w:p>
          <w:p w14:paraId="185408CC">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磁粉检测人员2人项</w:t>
            </w:r>
          </w:p>
          <w:p w14:paraId="2B08A3BA">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渗透检测人员2人项</w:t>
            </w:r>
          </w:p>
        </w:tc>
      </w:tr>
      <w:tr w14:paraId="05F7C1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2B5DB179">
            <w:pPr>
              <w:pStyle w:val="110"/>
              <w:widowControl w:val="0"/>
              <w:rPr>
                <w:rFonts w:hAnsi="宋体"/>
              </w:rPr>
            </w:pPr>
          </w:p>
        </w:tc>
        <w:tc>
          <w:tcPr>
            <w:tcW w:w="3260" w:type="dxa"/>
            <w:vAlign w:val="center"/>
          </w:tcPr>
          <w:p w14:paraId="29724479">
            <w:pPr>
              <w:pStyle w:val="110"/>
              <w:widowControl w:val="0"/>
              <w:rPr>
                <w:rFonts w:hAnsi="宋体"/>
              </w:rPr>
            </w:pPr>
            <w:r>
              <w:rPr>
                <w:rFonts w:hint="eastAsia" w:hAnsi="宋体"/>
                <w:spacing w:val="-2"/>
                <w:szCs w:val="18"/>
              </w:rPr>
              <w:t>修井机</w:t>
            </w:r>
          </w:p>
        </w:tc>
        <w:tc>
          <w:tcPr>
            <w:tcW w:w="3674" w:type="dxa"/>
            <w:vAlign w:val="center"/>
          </w:tcPr>
          <w:p w14:paraId="15627D2B">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钻修井机检验人员3人</w:t>
            </w:r>
          </w:p>
          <w:p w14:paraId="4FA3D59D">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超声检测人员2人项</w:t>
            </w:r>
          </w:p>
          <w:p w14:paraId="73078656">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磁粉检测人员2人项</w:t>
            </w:r>
          </w:p>
          <w:p w14:paraId="06A5B7D1">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渗透检测人员2人项</w:t>
            </w:r>
          </w:p>
        </w:tc>
      </w:tr>
      <w:tr w14:paraId="79FE83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601BEAD9">
            <w:pPr>
              <w:pStyle w:val="110"/>
              <w:widowControl w:val="0"/>
              <w:rPr>
                <w:rFonts w:hAnsi="宋体"/>
              </w:rPr>
            </w:pPr>
          </w:p>
        </w:tc>
        <w:tc>
          <w:tcPr>
            <w:tcW w:w="3260" w:type="dxa"/>
            <w:vAlign w:val="center"/>
          </w:tcPr>
          <w:p w14:paraId="7BFBD25A">
            <w:pPr>
              <w:pStyle w:val="110"/>
              <w:widowControl w:val="0"/>
              <w:rPr>
                <w:rFonts w:hAnsi="宋体"/>
              </w:rPr>
            </w:pPr>
            <w:r>
              <w:rPr>
                <w:rFonts w:hint="eastAsia" w:hAnsi="宋体"/>
                <w:spacing w:val="-2"/>
                <w:szCs w:val="18"/>
              </w:rPr>
              <w:t>井控系统</w:t>
            </w:r>
          </w:p>
        </w:tc>
        <w:tc>
          <w:tcPr>
            <w:tcW w:w="3674" w:type="dxa"/>
            <w:vAlign w:val="center"/>
          </w:tcPr>
          <w:p w14:paraId="625A403A">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井控系统检验人员3人</w:t>
            </w:r>
          </w:p>
          <w:p w14:paraId="25BCD160">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超声检测人员2人项</w:t>
            </w:r>
          </w:p>
          <w:p w14:paraId="40FD59C7">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磁粉检测人员2人项</w:t>
            </w:r>
          </w:p>
          <w:p w14:paraId="596B9AED">
            <w:pPr>
              <w:pStyle w:val="99"/>
              <w:widowControl/>
              <w:kinsoku w:val="0"/>
              <w:autoSpaceDE w:val="0"/>
              <w:autoSpaceDN w:val="0"/>
              <w:adjustRightInd w:val="0"/>
              <w:snapToGrid w:val="0"/>
              <w:ind w:left="114" w:right="294" w:firstLine="0" w:firstLineChars="0"/>
              <w:jc w:val="left"/>
              <w:textAlignment w:val="baseline"/>
              <w:rPr>
                <w:rFonts w:cs="Times New Roman"/>
                <w:spacing w:val="-1"/>
                <w:sz w:val="18"/>
                <w:szCs w:val="18"/>
              </w:rPr>
            </w:pPr>
            <w:r>
              <w:rPr>
                <w:rFonts w:hint="eastAsia" w:cs="Times New Roman"/>
                <w:spacing w:val="-1"/>
                <w:sz w:val="18"/>
                <w:szCs w:val="18"/>
              </w:rPr>
              <w:t>渗透检测人员2人项</w:t>
            </w:r>
          </w:p>
        </w:tc>
      </w:tr>
      <w:tr w14:paraId="7A71CE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tcBorders>
              <w:bottom w:val="single" w:color="auto" w:sz="4" w:space="0"/>
            </w:tcBorders>
            <w:vAlign w:val="center"/>
          </w:tcPr>
          <w:p w14:paraId="214CB2BB">
            <w:pPr>
              <w:pStyle w:val="110"/>
              <w:widowControl w:val="0"/>
              <w:rPr>
                <w:rFonts w:hAnsi="宋体"/>
              </w:rPr>
            </w:pPr>
            <w:r>
              <w:rPr>
                <w:rFonts w:hint="eastAsia" w:hAnsi="宋体"/>
              </w:rPr>
              <w:t>起重和升降设备</w:t>
            </w:r>
          </w:p>
        </w:tc>
        <w:tc>
          <w:tcPr>
            <w:tcW w:w="3260" w:type="dxa"/>
            <w:tcBorders>
              <w:bottom w:val="single" w:color="auto" w:sz="4" w:space="0"/>
            </w:tcBorders>
            <w:vAlign w:val="center"/>
          </w:tcPr>
          <w:p w14:paraId="6E346E9D">
            <w:pPr>
              <w:pStyle w:val="110"/>
              <w:widowControl w:val="0"/>
              <w:rPr>
                <w:rFonts w:hAnsi="宋体"/>
              </w:rPr>
            </w:pPr>
            <w:r>
              <w:rPr>
                <w:rFonts w:hint="eastAsia" w:hAnsi="宋体"/>
                <w:szCs w:val="18"/>
              </w:rPr>
              <w:t>起重机</w:t>
            </w:r>
          </w:p>
        </w:tc>
        <w:tc>
          <w:tcPr>
            <w:tcW w:w="3674" w:type="dxa"/>
            <w:tcBorders>
              <w:bottom w:val="single" w:color="auto" w:sz="4" w:space="0"/>
            </w:tcBorders>
            <w:vAlign w:val="center"/>
          </w:tcPr>
          <w:p w14:paraId="5B89780B">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起重机检验人员2人</w:t>
            </w:r>
          </w:p>
          <w:p w14:paraId="16FE0DE3">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1D3156DA">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7C38D781">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渗透检测人员2人项</w:t>
            </w:r>
          </w:p>
        </w:tc>
      </w:tr>
    </w:tbl>
    <w:p w14:paraId="0BC5FAC5">
      <w:pPr>
        <w:rPr>
          <w:rFonts w:ascii="宋体" w:hAnsi="宋体"/>
        </w:rPr>
      </w:pPr>
      <w:r>
        <w:rPr>
          <w:rFonts w:ascii="宋体" w:hAnsi="宋体"/>
          <w:szCs w:val="21"/>
        </w:rPr>
        <w:br w:type="page"/>
      </w:r>
    </w:p>
    <w:p w14:paraId="121F84F6">
      <w:pPr>
        <w:pStyle w:val="43"/>
        <w:pageBreakBefore/>
        <w:spacing w:beforeLines="50" w:afterLines="50"/>
        <w:ind w:firstLine="0" w:firstLineChars="0"/>
        <w:jc w:val="center"/>
        <w:rPr>
          <w:rFonts w:hAnsi="宋体"/>
        </w:rPr>
      </w:pPr>
      <w:r>
        <w:rPr>
          <w:rFonts w:hint="eastAsia" w:hAnsi="宋体" w:eastAsia="黑体"/>
        </w:rPr>
        <w:t>表B.3  专业设备检测检验机构人员配置条件</w:t>
      </w:r>
      <w:r>
        <w:rPr>
          <w:rFonts w:hint="eastAsia" w:hAnsi="宋体"/>
        </w:rPr>
        <w:t>（续）</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400"/>
        <w:gridCol w:w="3260"/>
        <w:gridCol w:w="3674"/>
      </w:tblGrid>
      <w:tr w14:paraId="74BE9F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2400" w:type="dxa"/>
            <w:tcBorders>
              <w:top w:val="single" w:color="auto" w:sz="8" w:space="0"/>
              <w:bottom w:val="single" w:color="auto" w:sz="8" w:space="0"/>
            </w:tcBorders>
            <w:vAlign w:val="center"/>
          </w:tcPr>
          <w:p w14:paraId="7136B565">
            <w:pPr>
              <w:pStyle w:val="110"/>
              <w:widowControl w:val="0"/>
              <w:rPr>
                <w:rFonts w:hAnsi="宋体"/>
              </w:rPr>
            </w:pPr>
            <w:r>
              <w:rPr>
                <w:rFonts w:hint="eastAsia" w:hAnsi="宋体"/>
                <w:szCs w:val="18"/>
              </w:rPr>
              <w:t>大类专业设备</w:t>
            </w:r>
          </w:p>
        </w:tc>
        <w:tc>
          <w:tcPr>
            <w:tcW w:w="3260" w:type="dxa"/>
            <w:tcBorders>
              <w:top w:val="single" w:color="auto" w:sz="8" w:space="0"/>
              <w:bottom w:val="single" w:color="auto" w:sz="8" w:space="0"/>
            </w:tcBorders>
            <w:vAlign w:val="center"/>
          </w:tcPr>
          <w:p w14:paraId="314D094A">
            <w:pPr>
              <w:pStyle w:val="110"/>
              <w:widowControl w:val="0"/>
              <w:rPr>
                <w:rFonts w:hAnsi="宋体"/>
              </w:rPr>
            </w:pPr>
            <w:r>
              <w:rPr>
                <w:rFonts w:hint="eastAsia" w:hAnsi="宋体"/>
                <w:szCs w:val="18"/>
              </w:rPr>
              <w:t>中类专业设备</w:t>
            </w:r>
          </w:p>
        </w:tc>
        <w:tc>
          <w:tcPr>
            <w:tcW w:w="3674" w:type="dxa"/>
            <w:tcBorders>
              <w:top w:val="single" w:color="auto" w:sz="8" w:space="0"/>
              <w:bottom w:val="single" w:color="auto" w:sz="8" w:space="0"/>
            </w:tcBorders>
            <w:vAlign w:val="center"/>
          </w:tcPr>
          <w:p w14:paraId="713C8168">
            <w:pPr>
              <w:pStyle w:val="110"/>
              <w:widowControl w:val="0"/>
              <w:rPr>
                <w:rFonts w:hAnsi="宋体"/>
              </w:rPr>
            </w:pPr>
            <w:r>
              <w:rPr>
                <w:rFonts w:hint="eastAsia" w:hAnsi="宋体"/>
                <w:spacing w:val="-7"/>
                <w:szCs w:val="18"/>
              </w:rPr>
              <w:t>最低人员配置</w:t>
            </w:r>
          </w:p>
        </w:tc>
      </w:tr>
      <w:tr w14:paraId="671D93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tcBorders>
              <w:top w:val="single" w:color="auto" w:sz="4" w:space="0"/>
            </w:tcBorders>
            <w:vAlign w:val="center"/>
          </w:tcPr>
          <w:p w14:paraId="70B3759D">
            <w:pPr>
              <w:pStyle w:val="110"/>
              <w:widowControl w:val="0"/>
              <w:rPr>
                <w:rFonts w:hAnsi="宋体"/>
              </w:rPr>
            </w:pPr>
            <w:r>
              <w:rPr>
                <w:rFonts w:hint="eastAsia" w:hAnsi="宋体"/>
              </w:rPr>
              <w:t>起重和升降设备</w:t>
            </w:r>
          </w:p>
        </w:tc>
        <w:tc>
          <w:tcPr>
            <w:tcW w:w="3260" w:type="dxa"/>
            <w:tcBorders>
              <w:top w:val="single" w:color="auto" w:sz="4" w:space="0"/>
              <w:bottom w:val="single" w:color="auto" w:sz="4" w:space="0"/>
            </w:tcBorders>
            <w:vAlign w:val="center"/>
          </w:tcPr>
          <w:p w14:paraId="604F10FD">
            <w:pPr>
              <w:pStyle w:val="110"/>
              <w:widowControl w:val="0"/>
              <w:rPr>
                <w:rFonts w:hAnsi="宋体"/>
              </w:rPr>
            </w:pPr>
            <w:r>
              <w:rPr>
                <w:rFonts w:hint="eastAsia" w:hAnsi="宋体"/>
                <w:spacing w:val="-2"/>
                <w:szCs w:val="18"/>
              </w:rPr>
              <w:t>升降栈桥</w:t>
            </w:r>
          </w:p>
        </w:tc>
        <w:tc>
          <w:tcPr>
            <w:tcW w:w="3674" w:type="dxa"/>
            <w:tcBorders>
              <w:top w:val="single" w:color="auto" w:sz="4" w:space="0"/>
              <w:bottom w:val="single" w:color="auto" w:sz="4" w:space="0"/>
            </w:tcBorders>
            <w:vAlign w:val="center"/>
          </w:tcPr>
          <w:p w14:paraId="7E56DDEE">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升降栈桥检验人员3人</w:t>
            </w:r>
          </w:p>
          <w:p w14:paraId="2C5042D6">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5AD69C09">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6C390E8F">
            <w:pPr>
              <w:pStyle w:val="99"/>
              <w:widowControl/>
              <w:kinsoku w:val="0"/>
              <w:autoSpaceDE w:val="0"/>
              <w:autoSpaceDN w:val="0"/>
              <w:adjustRightInd w:val="0"/>
              <w:snapToGrid w:val="0"/>
              <w:ind w:left="111" w:right="106" w:firstLine="0" w:firstLineChars="0"/>
              <w:jc w:val="left"/>
              <w:textAlignment w:val="baseline"/>
              <w:rPr>
                <w:rFonts w:cs="Times New Roman"/>
                <w:sz w:val="18"/>
                <w:szCs w:val="18"/>
              </w:rPr>
            </w:pPr>
            <w:r>
              <w:rPr>
                <w:rFonts w:hint="eastAsia" w:cs="Times New Roman"/>
                <w:spacing w:val="-1"/>
                <w:sz w:val="18"/>
                <w:szCs w:val="18"/>
              </w:rPr>
              <w:t>渗透检测人员2人项</w:t>
            </w:r>
          </w:p>
        </w:tc>
      </w:tr>
      <w:tr w14:paraId="764823A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1FFDAE1F">
            <w:pPr>
              <w:pStyle w:val="110"/>
              <w:widowControl w:val="0"/>
              <w:rPr>
                <w:rFonts w:hAnsi="宋体"/>
              </w:rPr>
            </w:pPr>
          </w:p>
        </w:tc>
        <w:tc>
          <w:tcPr>
            <w:tcW w:w="3260" w:type="dxa"/>
            <w:tcBorders>
              <w:top w:val="single" w:color="auto" w:sz="4" w:space="0"/>
            </w:tcBorders>
            <w:vAlign w:val="center"/>
          </w:tcPr>
          <w:p w14:paraId="64313293">
            <w:pPr>
              <w:pStyle w:val="110"/>
              <w:widowControl w:val="0"/>
              <w:rPr>
                <w:rFonts w:hAnsi="宋体"/>
              </w:rPr>
            </w:pPr>
            <w:r>
              <w:rPr>
                <w:rFonts w:hint="eastAsia" w:hAnsi="宋体"/>
                <w:spacing w:val="-2"/>
                <w:szCs w:val="18"/>
              </w:rPr>
              <w:t>升降机</w:t>
            </w:r>
          </w:p>
        </w:tc>
        <w:tc>
          <w:tcPr>
            <w:tcW w:w="3674" w:type="dxa"/>
            <w:tcBorders>
              <w:top w:val="single" w:color="auto" w:sz="4" w:space="0"/>
            </w:tcBorders>
            <w:vAlign w:val="center"/>
          </w:tcPr>
          <w:p w14:paraId="1AC7549B">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升降机检验人员3人</w:t>
            </w:r>
          </w:p>
          <w:p w14:paraId="7D14C439">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77DB41FD">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0EAD8893">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渗透检测人员2人项</w:t>
            </w:r>
          </w:p>
        </w:tc>
      </w:tr>
      <w:tr w14:paraId="7A5F4F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33F62BF9">
            <w:pPr>
              <w:pStyle w:val="110"/>
              <w:widowControl w:val="0"/>
              <w:rPr>
                <w:rFonts w:hAnsi="宋体"/>
              </w:rPr>
            </w:pPr>
          </w:p>
        </w:tc>
        <w:tc>
          <w:tcPr>
            <w:tcW w:w="3260" w:type="dxa"/>
            <w:vAlign w:val="center"/>
          </w:tcPr>
          <w:p w14:paraId="624F1614">
            <w:pPr>
              <w:pStyle w:val="110"/>
              <w:widowControl w:val="0"/>
              <w:rPr>
                <w:rFonts w:hAnsi="宋体"/>
              </w:rPr>
            </w:pPr>
            <w:r>
              <w:rPr>
                <w:rFonts w:hint="eastAsia" w:hAnsi="宋体"/>
                <w:spacing w:val="-8"/>
                <w:szCs w:val="18"/>
              </w:rPr>
              <w:t>电梯</w:t>
            </w:r>
          </w:p>
        </w:tc>
        <w:tc>
          <w:tcPr>
            <w:tcW w:w="3674" w:type="dxa"/>
            <w:vAlign w:val="center"/>
          </w:tcPr>
          <w:p w14:paraId="3E3B675F">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电梯检验人员3人</w:t>
            </w:r>
          </w:p>
          <w:p w14:paraId="55C904BD">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7CFA9898">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0A032F98">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渗透检测人员2人项</w:t>
            </w:r>
          </w:p>
        </w:tc>
      </w:tr>
      <w:tr w14:paraId="3737A2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4F4CFA99">
            <w:pPr>
              <w:pStyle w:val="110"/>
              <w:widowControl w:val="0"/>
              <w:adjustRightInd w:val="0"/>
              <w:snapToGrid w:val="0"/>
              <w:rPr>
                <w:rFonts w:hAnsi="宋体"/>
              </w:rPr>
            </w:pPr>
            <w:r>
              <w:rPr>
                <w:rFonts w:hint="eastAsia" w:hAnsi="宋体"/>
                <w:szCs w:val="18"/>
              </w:rPr>
              <w:t>火灾和可燃气体探测报警及控制系统</w:t>
            </w:r>
          </w:p>
        </w:tc>
        <w:tc>
          <w:tcPr>
            <w:tcW w:w="3260" w:type="dxa"/>
            <w:vAlign w:val="center"/>
          </w:tcPr>
          <w:p w14:paraId="76299AAA">
            <w:pPr>
              <w:pStyle w:val="110"/>
              <w:widowControl w:val="0"/>
              <w:rPr>
                <w:rFonts w:hAnsi="宋体"/>
              </w:rPr>
            </w:pPr>
            <w:r>
              <w:rPr>
                <w:rFonts w:hint="eastAsia" w:hAnsi="宋体"/>
                <w:spacing w:val="-6"/>
                <w:szCs w:val="18"/>
              </w:rPr>
              <w:t>可燃气体、有毒有害气体探测</w:t>
            </w:r>
            <w:r>
              <w:rPr>
                <w:rFonts w:hint="eastAsia" w:hAnsi="宋体"/>
                <w:spacing w:val="-1"/>
                <w:szCs w:val="18"/>
              </w:rPr>
              <w:t>报警系统</w:t>
            </w:r>
          </w:p>
        </w:tc>
        <w:tc>
          <w:tcPr>
            <w:tcW w:w="3674" w:type="dxa"/>
            <w:vAlign w:val="center"/>
          </w:tcPr>
          <w:p w14:paraId="02D1E73B">
            <w:pPr>
              <w:pStyle w:val="99"/>
              <w:widowControl/>
              <w:kinsoku w:val="0"/>
              <w:adjustRightInd w:val="0"/>
              <w:snapToGrid w:val="0"/>
              <w:ind w:left="113" w:right="108" w:firstLine="0" w:firstLineChars="0"/>
              <w:textAlignment w:val="baseline"/>
            </w:pPr>
            <w:r>
              <w:rPr>
                <w:rFonts w:hint="eastAsia" w:cs="Times New Roman"/>
                <w:spacing w:val="-1"/>
                <w:sz w:val="18"/>
                <w:szCs w:val="18"/>
              </w:rPr>
              <w:t>可燃气体、有毒有害气体探测报警系统检验人员3人</w:t>
            </w:r>
          </w:p>
        </w:tc>
      </w:tr>
      <w:tr w14:paraId="02D9EC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23D2C3FF">
            <w:pPr>
              <w:pStyle w:val="110"/>
              <w:widowControl w:val="0"/>
              <w:rPr>
                <w:rFonts w:hAnsi="宋体"/>
              </w:rPr>
            </w:pPr>
          </w:p>
        </w:tc>
        <w:tc>
          <w:tcPr>
            <w:tcW w:w="3260" w:type="dxa"/>
            <w:vAlign w:val="center"/>
          </w:tcPr>
          <w:p w14:paraId="5A83B799">
            <w:pPr>
              <w:pStyle w:val="110"/>
              <w:widowControl w:val="0"/>
              <w:rPr>
                <w:rFonts w:hAnsi="宋体"/>
              </w:rPr>
            </w:pPr>
            <w:r>
              <w:rPr>
                <w:rFonts w:hint="eastAsia" w:hAnsi="宋体"/>
                <w:spacing w:val="-1"/>
                <w:szCs w:val="18"/>
              </w:rPr>
              <w:t>火灾自动报警系统</w:t>
            </w:r>
          </w:p>
        </w:tc>
        <w:tc>
          <w:tcPr>
            <w:tcW w:w="3674" w:type="dxa"/>
            <w:vAlign w:val="center"/>
          </w:tcPr>
          <w:p w14:paraId="4DA909B7">
            <w:pPr>
              <w:pStyle w:val="99"/>
              <w:widowControl/>
              <w:kinsoku w:val="0"/>
              <w:adjustRightInd w:val="0"/>
              <w:snapToGrid w:val="0"/>
              <w:ind w:left="113" w:right="108" w:firstLine="0" w:firstLineChars="0"/>
              <w:textAlignment w:val="baseline"/>
            </w:pPr>
            <w:r>
              <w:rPr>
                <w:rFonts w:hint="eastAsia" w:cs="Times New Roman"/>
                <w:spacing w:val="-1"/>
                <w:sz w:val="18"/>
                <w:szCs w:val="18"/>
              </w:rPr>
              <w:t>火灾自动报警系统检验人员3人</w:t>
            </w:r>
          </w:p>
        </w:tc>
      </w:tr>
      <w:tr w14:paraId="5D3F06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6C7F6B92">
            <w:pPr>
              <w:pStyle w:val="110"/>
              <w:widowControl w:val="0"/>
              <w:rPr>
                <w:rFonts w:hAnsi="宋体"/>
              </w:rPr>
            </w:pPr>
            <w:r>
              <w:rPr>
                <w:rFonts w:hint="eastAsia" w:hAnsi="宋体"/>
              </w:rPr>
              <w:t>安全阀</w:t>
            </w:r>
          </w:p>
        </w:tc>
        <w:tc>
          <w:tcPr>
            <w:tcW w:w="3260" w:type="dxa"/>
            <w:vAlign w:val="center"/>
          </w:tcPr>
          <w:p w14:paraId="545B36E5">
            <w:pPr>
              <w:pStyle w:val="110"/>
              <w:widowControl w:val="0"/>
              <w:rPr>
                <w:rFonts w:hAnsi="宋体"/>
              </w:rPr>
            </w:pPr>
            <w:r>
              <w:rPr>
                <w:rFonts w:hint="eastAsia" w:hAnsi="宋体"/>
                <w:spacing w:val="-2"/>
                <w:szCs w:val="18"/>
              </w:rPr>
              <w:t>安全阀</w:t>
            </w:r>
          </w:p>
        </w:tc>
        <w:tc>
          <w:tcPr>
            <w:tcW w:w="3674" w:type="dxa"/>
            <w:vAlign w:val="center"/>
          </w:tcPr>
          <w:p w14:paraId="449228C0">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安全阀检验人员3人</w:t>
            </w:r>
          </w:p>
        </w:tc>
      </w:tr>
      <w:tr w14:paraId="7250F7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5F261B3F">
            <w:pPr>
              <w:pStyle w:val="110"/>
              <w:widowControl w:val="0"/>
              <w:rPr>
                <w:rFonts w:hAnsi="宋体"/>
              </w:rPr>
            </w:pPr>
          </w:p>
        </w:tc>
        <w:tc>
          <w:tcPr>
            <w:tcW w:w="3260" w:type="dxa"/>
            <w:vAlign w:val="center"/>
          </w:tcPr>
          <w:p w14:paraId="3AC1230A">
            <w:pPr>
              <w:pStyle w:val="110"/>
              <w:widowControl w:val="0"/>
              <w:rPr>
                <w:rFonts w:hAnsi="宋体"/>
              </w:rPr>
            </w:pPr>
            <w:r>
              <w:rPr>
                <w:rFonts w:hint="eastAsia" w:hAnsi="宋体"/>
                <w:spacing w:val="-4"/>
                <w:szCs w:val="18"/>
              </w:rPr>
              <w:t>呼吸阀</w:t>
            </w:r>
          </w:p>
        </w:tc>
        <w:tc>
          <w:tcPr>
            <w:tcW w:w="3674" w:type="dxa"/>
            <w:vAlign w:val="center"/>
          </w:tcPr>
          <w:p w14:paraId="4384613D">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呼吸阀检验人员3人</w:t>
            </w:r>
          </w:p>
        </w:tc>
      </w:tr>
      <w:tr w14:paraId="363C81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66E2D2B4">
            <w:pPr>
              <w:pStyle w:val="110"/>
              <w:widowControl w:val="0"/>
              <w:rPr>
                <w:rFonts w:hAnsi="宋体"/>
              </w:rPr>
            </w:pPr>
            <w:r>
              <w:rPr>
                <w:rFonts w:hint="eastAsia" w:hAnsi="宋体"/>
              </w:rPr>
              <w:t>救生设备</w:t>
            </w:r>
          </w:p>
        </w:tc>
        <w:tc>
          <w:tcPr>
            <w:tcW w:w="3260" w:type="dxa"/>
            <w:vAlign w:val="center"/>
          </w:tcPr>
          <w:p w14:paraId="63BF2DBB">
            <w:pPr>
              <w:pStyle w:val="110"/>
              <w:widowControl w:val="0"/>
              <w:rPr>
                <w:rFonts w:hAnsi="宋体"/>
              </w:rPr>
            </w:pPr>
            <w:r>
              <w:rPr>
                <w:rFonts w:hint="eastAsia" w:hAnsi="宋体"/>
                <w:spacing w:val="-2"/>
                <w:szCs w:val="18"/>
              </w:rPr>
              <w:t>救生艇</w:t>
            </w:r>
          </w:p>
        </w:tc>
        <w:tc>
          <w:tcPr>
            <w:tcW w:w="3674" w:type="dxa"/>
            <w:vAlign w:val="center"/>
          </w:tcPr>
          <w:p w14:paraId="3F28248B">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救生艇/救助艇检验人员3人</w:t>
            </w:r>
          </w:p>
          <w:p w14:paraId="76EA078A">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2F525CB6">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6E8F96A4">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渗透检测人员2人项</w:t>
            </w:r>
          </w:p>
        </w:tc>
      </w:tr>
      <w:tr w14:paraId="35EE73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2D690F15">
            <w:pPr>
              <w:pStyle w:val="110"/>
              <w:widowControl w:val="0"/>
              <w:rPr>
                <w:rFonts w:hAnsi="宋体"/>
              </w:rPr>
            </w:pPr>
          </w:p>
        </w:tc>
        <w:tc>
          <w:tcPr>
            <w:tcW w:w="3260" w:type="dxa"/>
            <w:vAlign w:val="center"/>
          </w:tcPr>
          <w:p w14:paraId="6681CD44">
            <w:pPr>
              <w:pStyle w:val="110"/>
              <w:widowControl w:val="0"/>
              <w:rPr>
                <w:rFonts w:hAnsi="宋体"/>
              </w:rPr>
            </w:pPr>
            <w:r>
              <w:rPr>
                <w:rFonts w:hint="eastAsia" w:hAnsi="宋体"/>
                <w:spacing w:val="-2"/>
                <w:szCs w:val="18"/>
              </w:rPr>
              <w:t>救助艇</w:t>
            </w:r>
          </w:p>
        </w:tc>
        <w:tc>
          <w:tcPr>
            <w:tcW w:w="3674" w:type="dxa"/>
            <w:vAlign w:val="center"/>
          </w:tcPr>
          <w:p w14:paraId="22DC0DA5">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救生艇/救助艇检验人员2人</w:t>
            </w:r>
          </w:p>
          <w:p w14:paraId="1BB7C6EF">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1D8104A3">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5330D130">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渗透检测人员2人项</w:t>
            </w:r>
          </w:p>
        </w:tc>
      </w:tr>
      <w:tr w14:paraId="69402B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20E6A6D1">
            <w:pPr>
              <w:pStyle w:val="110"/>
              <w:widowControl w:val="0"/>
              <w:rPr>
                <w:rFonts w:hAnsi="宋体"/>
              </w:rPr>
            </w:pPr>
          </w:p>
        </w:tc>
        <w:tc>
          <w:tcPr>
            <w:tcW w:w="3260" w:type="dxa"/>
            <w:vAlign w:val="center"/>
          </w:tcPr>
          <w:p w14:paraId="2D394F4D">
            <w:pPr>
              <w:pStyle w:val="110"/>
              <w:widowControl w:val="0"/>
              <w:rPr>
                <w:rFonts w:hAnsi="宋体"/>
              </w:rPr>
            </w:pPr>
            <w:r>
              <w:rPr>
                <w:rFonts w:hint="eastAsia" w:hAnsi="宋体"/>
                <w:spacing w:val="-2"/>
                <w:szCs w:val="18"/>
              </w:rPr>
              <w:t>救生筏</w:t>
            </w:r>
          </w:p>
        </w:tc>
        <w:tc>
          <w:tcPr>
            <w:tcW w:w="3674" w:type="dxa"/>
            <w:vAlign w:val="center"/>
          </w:tcPr>
          <w:p w14:paraId="0A463C4A">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救生筏检验人员2人</w:t>
            </w:r>
          </w:p>
        </w:tc>
      </w:tr>
      <w:tr w14:paraId="226B7D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Align w:val="center"/>
          </w:tcPr>
          <w:p w14:paraId="25DAAD28">
            <w:pPr>
              <w:pStyle w:val="110"/>
              <w:widowControl w:val="0"/>
              <w:adjustRightInd w:val="0"/>
              <w:snapToGrid w:val="0"/>
              <w:rPr>
                <w:rFonts w:hAnsi="宋体"/>
                <w:szCs w:val="18"/>
              </w:rPr>
            </w:pPr>
            <w:r>
              <w:rPr>
                <w:rFonts w:hint="eastAsia" w:hAnsi="宋体"/>
                <w:szCs w:val="18"/>
              </w:rPr>
              <w:t>消防器材</w:t>
            </w:r>
          </w:p>
        </w:tc>
        <w:tc>
          <w:tcPr>
            <w:tcW w:w="3260" w:type="dxa"/>
            <w:vAlign w:val="center"/>
          </w:tcPr>
          <w:p w14:paraId="7C07E7E6">
            <w:pPr>
              <w:pStyle w:val="110"/>
              <w:widowControl w:val="0"/>
              <w:adjustRightInd w:val="0"/>
              <w:snapToGrid w:val="0"/>
              <w:rPr>
                <w:rFonts w:hAnsi="宋体"/>
                <w:szCs w:val="18"/>
              </w:rPr>
            </w:pPr>
            <w:r>
              <w:rPr>
                <w:rFonts w:hint="eastAsia" w:hAnsi="宋体"/>
                <w:szCs w:val="18"/>
              </w:rPr>
              <w:t>固定式灭火系统</w:t>
            </w:r>
          </w:p>
        </w:tc>
        <w:tc>
          <w:tcPr>
            <w:tcW w:w="3674" w:type="dxa"/>
            <w:vAlign w:val="center"/>
          </w:tcPr>
          <w:p w14:paraId="4221486E">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固定式灭火系统检验人员3人</w:t>
            </w:r>
          </w:p>
          <w:p w14:paraId="7CE1EB37">
            <w:pPr>
              <w:pStyle w:val="99"/>
              <w:widowControl/>
              <w:kinsoku w:val="0"/>
              <w:autoSpaceDE w:val="0"/>
              <w:autoSpaceDN w:val="0"/>
              <w:adjustRightInd w:val="0"/>
              <w:snapToGrid w:val="0"/>
              <w:ind w:left="112" w:right="104" w:firstLine="0" w:firstLineChars="0"/>
              <w:jc w:val="left"/>
              <w:textAlignment w:val="baseline"/>
              <w:rPr>
                <w:rFonts w:cs="Times New Roman"/>
                <w:sz w:val="18"/>
                <w:szCs w:val="18"/>
              </w:rPr>
            </w:pPr>
            <w:r>
              <w:rPr>
                <w:rFonts w:hint="eastAsia" w:cs="Times New Roman"/>
                <w:sz w:val="18"/>
                <w:szCs w:val="18"/>
              </w:rPr>
              <w:t>超声检测人员2人项</w:t>
            </w:r>
          </w:p>
          <w:p w14:paraId="08FA158E">
            <w:pPr>
              <w:pStyle w:val="99"/>
              <w:widowControl/>
              <w:kinsoku w:val="0"/>
              <w:autoSpaceDE w:val="0"/>
              <w:autoSpaceDN w:val="0"/>
              <w:adjustRightInd w:val="0"/>
              <w:snapToGrid w:val="0"/>
              <w:ind w:left="112" w:right="104" w:firstLine="0" w:firstLineChars="0"/>
              <w:jc w:val="left"/>
              <w:textAlignment w:val="baseline"/>
              <w:rPr>
                <w:rFonts w:cs="Times New Roman"/>
                <w:sz w:val="18"/>
                <w:szCs w:val="18"/>
              </w:rPr>
            </w:pPr>
            <w:r>
              <w:rPr>
                <w:rFonts w:hint="eastAsia" w:cs="Times New Roman"/>
                <w:sz w:val="18"/>
                <w:szCs w:val="18"/>
              </w:rPr>
              <w:t>磁粉检测人员2人项</w:t>
            </w:r>
          </w:p>
          <w:p w14:paraId="0CA0BD82">
            <w:pPr>
              <w:pStyle w:val="99"/>
              <w:widowControl/>
              <w:kinsoku w:val="0"/>
              <w:autoSpaceDE w:val="0"/>
              <w:autoSpaceDN w:val="0"/>
              <w:adjustRightInd w:val="0"/>
              <w:snapToGrid w:val="0"/>
              <w:ind w:left="112" w:right="104" w:firstLine="0" w:firstLineChars="0"/>
              <w:jc w:val="left"/>
              <w:textAlignment w:val="baseline"/>
              <w:rPr>
                <w:rFonts w:cs="Times New Roman"/>
                <w:sz w:val="18"/>
                <w:szCs w:val="18"/>
              </w:rPr>
            </w:pPr>
            <w:r>
              <w:rPr>
                <w:rFonts w:hint="eastAsia" w:cs="Times New Roman"/>
                <w:spacing w:val="-1"/>
                <w:sz w:val="18"/>
                <w:szCs w:val="18"/>
              </w:rPr>
              <w:t>固定式灭火系统检测人员</w:t>
            </w:r>
            <w:r>
              <w:rPr>
                <w:rFonts w:hint="eastAsia" w:cs="Times New Roman"/>
                <w:sz w:val="18"/>
                <w:szCs w:val="18"/>
              </w:rPr>
              <w:t>2人项</w:t>
            </w:r>
          </w:p>
        </w:tc>
      </w:tr>
      <w:tr w14:paraId="210F58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5B85C85D">
            <w:pPr>
              <w:pStyle w:val="110"/>
              <w:widowControl w:val="0"/>
              <w:adjustRightInd w:val="0"/>
              <w:snapToGrid w:val="0"/>
              <w:rPr>
                <w:rFonts w:hAnsi="宋体"/>
                <w:szCs w:val="18"/>
              </w:rPr>
            </w:pPr>
            <w:r>
              <w:rPr>
                <w:rFonts w:hint="eastAsia" w:hAnsi="宋体"/>
                <w:szCs w:val="18"/>
              </w:rPr>
              <w:t>钢丝绳等系物及被系物</w:t>
            </w:r>
          </w:p>
        </w:tc>
        <w:tc>
          <w:tcPr>
            <w:tcW w:w="3260" w:type="dxa"/>
            <w:vAlign w:val="center"/>
          </w:tcPr>
          <w:p w14:paraId="6506480B">
            <w:pPr>
              <w:pStyle w:val="110"/>
              <w:widowControl w:val="0"/>
              <w:adjustRightInd w:val="0"/>
              <w:snapToGrid w:val="0"/>
              <w:rPr>
                <w:rFonts w:hAnsi="宋体"/>
                <w:szCs w:val="18"/>
              </w:rPr>
            </w:pPr>
            <w:r>
              <w:rPr>
                <w:rFonts w:hint="eastAsia" w:hAnsi="宋体"/>
                <w:szCs w:val="18"/>
              </w:rPr>
              <w:t>系物</w:t>
            </w:r>
          </w:p>
        </w:tc>
        <w:tc>
          <w:tcPr>
            <w:tcW w:w="3674" w:type="dxa"/>
            <w:vAlign w:val="center"/>
          </w:tcPr>
          <w:p w14:paraId="4BE2C3F6">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系物/被系物检验人员3人</w:t>
            </w:r>
          </w:p>
          <w:p w14:paraId="70F32A6A">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6FEFF48D">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24C8860D">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z w:val="18"/>
                <w:szCs w:val="18"/>
              </w:rPr>
              <w:t>渗透检测人员2人项</w:t>
            </w:r>
          </w:p>
        </w:tc>
      </w:tr>
      <w:tr w14:paraId="0E7C14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74057753">
            <w:pPr>
              <w:pStyle w:val="110"/>
              <w:widowControl w:val="0"/>
              <w:adjustRightInd w:val="0"/>
              <w:snapToGrid w:val="0"/>
              <w:rPr>
                <w:rFonts w:hAnsi="宋体"/>
                <w:szCs w:val="18"/>
              </w:rPr>
            </w:pPr>
          </w:p>
        </w:tc>
        <w:tc>
          <w:tcPr>
            <w:tcW w:w="3260" w:type="dxa"/>
            <w:vAlign w:val="center"/>
          </w:tcPr>
          <w:p w14:paraId="0D50521D">
            <w:pPr>
              <w:pStyle w:val="110"/>
              <w:widowControl w:val="0"/>
              <w:adjustRightInd w:val="0"/>
              <w:snapToGrid w:val="0"/>
              <w:rPr>
                <w:rFonts w:hAnsi="宋体"/>
                <w:szCs w:val="18"/>
              </w:rPr>
            </w:pPr>
            <w:r>
              <w:rPr>
                <w:rFonts w:hint="eastAsia" w:hAnsi="宋体"/>
                <w:szCs w:val="18"/>
              </w:rPr>
              <w:t>被系物</w:t>
            </w:r>
          </w:p>
        </w:tc>
        <w:tc>
          <w:tcPr>
            <w:tcW w:w="3674" w:type="dxa"/>
            <w:vAlign w:val="center"/>
          </w:tcPr>
          <w:p w14:paraId="378F560A">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系物/被系物检验人员3人</w:t>
            </w:r>
          </w:p>
          <w:p w14:paraId="48135AF1">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1AE74A0B">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4258F3A0">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z w:val="18"/>
                <w:szCs w:val="18"/>
              </w:rPr>
              <w:t>渗透检测人员2人项</w:t>
            </w:r>
          </w:p>
        </w:tc>
      </w:tr>
      <w:tr w14:paraId="60902B2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38D16B5C">
            <w:pPr>
              <w:pStyle w:val="110"/>
              <w:widowControl w:val="0"/>
              <w:adjustRightInd w:val="0"/>
              <w:snapToGrid w:val="0"/>
              <w:rPr>
                <w:rFonts w:hAnsi="宋体"/>
                <w:szCs w:val="18"/>
              </w:rPr>
            </w:pPr>
          </w:p>
        </w:tc>
        <w:tc>
          <w:tcPr>
            <w:tcW w:w="3260" w:type="dxa"/>
            <w:vAlign w:val="center"/>
          </w:tcPr>
          <w:p w14:paraId="02BBD590">
            <w:pPr>
              <w:pStyle w:val="110"/>
              <w:widowControl w:val="0"/>
              <w:adjustRightInd w:val="0"/>
              <w:snapToGrid w:val="0"/>
              <w:rPr>
                <w:rFonts w:hAnsi="宋体"/>
                <w:szCs w:val="18"/>
              </w:rPr>
            </w:pPr>
            <w:r>
              <w:rPr>
                <w:rFonts w:hint="eastAsia" w:hAnsi="宋体"/>
                <w:szCs w:val="18"/>
              </w:rPr>
              <w:t>载人吊篮</w:t>
            </w:r>
          </w:p>
        </w:tc>
        <w:tc>
          <w:tcPr>
            <w:tcW w:w="3674" w:type="dxa"/>
            <w:vAlign w:val="center"/>
          </w:tcPr>
          <w:p w14:paraId="4638D8EE">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载人吊篮检验人员3人</w:t>
            </w:r>
          </w:p>
          <w:p w14:paraId="58397B00">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超声检测人员2人项</w:t>
            </w:r>
          </w:p>
          <w:p w14:paraId="2EE76B5D">
            <w:pPr>
              <w:pStyle w:val="99"/>
              <w:widowControl/>
              <w:kinsoku w:val="0"/>
              <w:autoSpaceDE w:val="0"/>
              <w:autoSpaceDN w:val="0"/>
              <w:adjustRightInd w:val="0"/>
              <w:snapToGrid w:val="0"/>
              <w:ind w:left="114" w:right="294" w:firstLine="0" w:firstLineChars="0"/>
              <w:jc w:val="left"/>
              <w:textAlignment w:val="baseline"/>
              <w:rPr>
                <w:rFonts w:cs="Times New Roman"/>
                <w:sz w:val="18"/>
                <w:szCs w:val="18"/>
              </w:rPr>
            </w:pPr>
            <w:r>
              <w:rPr>
                <w:rFonts w:hint="eastAsia" w:cs="Times New Roman"/>
                <w:sz w:val="18"/>
                <w:szCs w:val="18"/>
              </w:rPr>
              <w:t>磁粉检测人员2人项</w:t>
            </w:r>
          </w:p>
          <w:p w14:paraId="117957F7">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z w:val="18"/>
                <w:szCs w:val="18"/>
              </w:rPr>
              <w:t>渗透检测人员2人项</w:t>
            </w:r>
          </w:p>
        </w:tc>
      </w:tr>
      <w:tr w14:paraId="1BA0B9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restart"/>
            <w:vAlign w:val="center"/>
          </w:tcPr>
          <w:p w14:paraId="34782FE5">
            <w:pPr>
              <w:pStyle w:val="110"/>
              <w:widowControl w:val="0"/>
              <w:adjustRightInd w:val="0"/>
              <w:snapToGrid w:val="0"/>
              <w:rPr>
                <w:rFonts w:hAnsi="宋体"/>
                <w:szCs w:val="18"/>
              </w:rPr>
            </w:pPr>
            <w:r>
              <w:rPr>
                <w:rFonts w:hint="eastAsia" w:hAnsi="宋体"/>
                <w:szCs w:val="18"/>
              </w:rPr>
              <w:t>电气仪表</w:t>
            </w:r>
          </w:p>
        </w:tc>
        <w:tc>
          <w:tcPr>
            <w:tcW w:w="3260" w:type="dxa"/>
            <w:vAlign w:val="center"/>
          </w:tcPr>
          <w:p w14:paraId="19C329AF">
            <w:pPr>
              <w:pStyle w:val="110"/>
              <w:widowControl w:val="0"/>
              <w:adjustRightInd w:val="0"/>
              <w:snapToGrid w:val="0"/>
              <w:rPr>
                <w:rFonts w:hAnsi="宋体"/>
                <w:szCs w:val="18"/>
              </w:rPr>
            </w:pPr>
            <w:r>
              <w:rPr>
                <w:rFonts w:hint="eastAsia" w:hAnsi="宋体"/>
                <w:szCs w:val="18"/>
              </w:rPr>
              <w:t>防爆电气设备</w:t>
            </w:r>
          </w:p>
        </w:tc>
        <w:tc>
          <w:tcPr>
            <w:tcW w:w="3674" w:type="dxa"/>
            <w:vAlign w:val="center"/>
          </w:tcPr>
          <w:p w14:paraId="4F540BC5">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防爆电气设备检验人员3人</w:t>
            </w:r>
          </w:p>
        </w:tc>
      </w:tr>
      <w:tr w14:paraId="6ECB6C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2400" w:type="dxa"/>
            <w:vMerge w:val="continue"/>
            <w:vAlign w:val="center"/>
          </w:tcPr>
          <w:p w14:paraId="5C8A8E1E">
            <w:pPr>
              <w:pStyle w:val="110"/>
              <w:widowControl w:val="0"/>
              <w:adjustRightInd w:val="0"/>
              <w:snapToGrid w:val="0"/>
              <w:rPr>
                <w:rFonts w:hAnsi="宋体"/>
                <w:szCs w:val="18"/>
              </w:rPr>
            </w:pPr>
          </w:p>
        </w:tc>
        <w:tc>
          <w:tcPr>
            <w:tcW w:w="3260" w:type="dxa"/>
            <w:vAlign w:val="center"/>
          </w:tcPr>
          <w:p w14:paraId="03019A6A">
            <w:pPr>
              <w:pStyle w:val="110"/>
              <w:widowControl w:val="0"/>
              <w:adjustRightInd w:val="0"/>
              <w:snapToGrid w:val="0"/>
              <w:rPr>
                <w:rFonts w:hAnsi="宋体"/>
                <w:szCs w:val="18"/>
              </w:rPr>
            </w:pPr>
            <w:r>
              <w:rPr>
                <w:rFonts w:hint="eastAsia" w:hAnsi="宋体"/>
                <w:szCs w:val="18"/>
              </w:rPr>
              <w:t>安全监测仪表</w:t>
            </w:r>
          </w:p>
        </w:tc>
        <w:tc>
          <w:tcPr>
            <w:tcW w:w="3674" w:type="dxa"/>
            <w:vAlign w:val="center"/>
          </w:tcPr>
          <w:p w14:paraId="14549BEB">
            <w:pPr>
              <w:pStyle w:val="99"/>
              <w:widowControl/>
              <w:kinsoku w:val="0"/>
              <w:autoSpaceDE w:val="0"/>
              <w:autoSpaceDN w:val="0"/>
              <w:adjustRightInd w:val="0"/>
              <w:snapToGrid w:val="0"/>
              <w:ind w:left="111" w:right="106" w:firstLine="0" w:firstLineChars="0"/>
              <w:jc w:val="left"/>
              <w:textAlignment w:val="baseline"/>
              <w:rPr>
                <w:rFonts w:cs="Times New Roman"/>
                <w:spacing w:val="-1"/>
                <w:sz w:val="18"/>
                <w:szCs w:val="18"/>
              </w:rPr>
            </w:pPr>
            <w:r>
              <w:rPr>
                <w:rFonts w:hint="eastAsia" w:cs="Times New Roman"/>
                <w:spacing w:val="-1"/>
                <w:sz w:val="18"/>
                <w:szCs w:val="18"/>
              </w:rPr>
              <w:t>安全监测仪表检验人员3人</w:t>
            </w:r>
          </w:p>
        </w:tc>
      </w:tr>
      <w:tr w14:paraId="064710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334" w:type="dxa"/>
            <w:gridSpan w:val="3"/>
            <w:tcBorders>
              <w:top w:val="single" w:color="auto" w:sz="8" w:space="0"/>
              <w:bottom w:val="single" w:color="auto" w:sz="8" w:space="0"/>
            </w:tcBorders>
            <w:vAlign w:val="center"/>
          </w:tcPr>
          <w:p w14:paraId="0BA1065E">
            <w:pPr>
              <w:pStyle w:val="122"/>
              <w:numPr>
                <w:ilvl w:val="0"/>
                <w:numId w:val="0"/>
              </w:numPr>
              <w:adjustRightInd w:val="0"/>
              <w:snapToGrid w:val="0"/>
              <w:ind w:left="811" w:hanging="448"/>
              <w:rPr>
                <w:rFonts w:hAnsi="宋体"/>
              </w:rPr>
            </w:pPr>
            <w:r>
              <w:rPr>
                <w:rFonts w:hint="eastAsia" w:hAnsi="宋体" w:eastAsia="黑体"/>
              </w:rPr>
              <w:t>注1：</w:t>
            </w:r>
            <w:r>
              <w:rPr>
                <w:rFonts w:hint="eastAsia" w:hAnsi="宋体"/>
              </w:rPr>
              <w:t>本表中的大类专业设备、中类专业设备依据AQ 2082-2025附录A的规定进行分类。</w:t>
            </w:r>
          </w:p>
          <w:p w14:paraId="404CBADB">
            <w:pPr>
              <w:pStyle w:val="122"/>
              <w:numPr>
                <w:ilvl w:val="0"/>
                <w:numId w:val="0"/>
              </w:numPr>
              <w:adjustRightInd w:val="0"/>
              <w:snapToGrid w:val="0"/>
              <w:ind w:left="811" w:hanging="448"/>
              <w:rPr>
                <w:rFonts w:hAnsi="宋体"/>
              </w:rPr>
            </w:pPr>
            <w:r>
              <w:rPr>
                <w:rFonts w:hint="eastAsia" w:hAnsi="宋体" w:eastAsia="黑体"/>
              </w:rPr>
              <w:t>注2：</w:t>
            </w:r>
            <w:r>
              <w:rPr>
                <w:rFonts w:hint="eastAsia" w:hAnsi="宋体"/>
              </w:rPr>
              <w:t>从事海上结构检测检验业务的海洋石油专业设备检测检验机构，如采用作业级遥控潜水器作业，还应配备遥控潜水器操作人员2人项。</w:t>
            </w:r>
          </w:p>
          <w:p w14:paraId="4531DFCF">
            <w:pPr>
              <w:pStyle w:val="122"/>
              <w:numPr>
                <w:ilvl w:val="0"/>
                <w:numId w:val="0"/>
              </w:numPr>
              <w:adjustRightInd w:val="0"/>
              <w:snapToGrid w:val="0"/>
              <w:ind w:left="811" w:hanging="448"/>
              <w:rPr>
                <w:rFonts w:hAnsi="宋体"/>
              </w:rPr>
            </w:pPr>
            <w:r>
              <w:rPr>
                <w:rFonts w:hint="eastAsia" w:hAnsi="宋体" w:eastAsia="黑体"/>
              </w:rPr>
              <w:t>注3：</w:t>
            </w:r>
            <w:r>
              <w:rPr>
                <w:rFonts w:hint="eastAsia" w:hAnsi="宋体"/>
              </w:rPr>
              <w:t>水下磁粉检测人员、水下目视检测人员、水下测厚人员、遥控潜水器操作人员仅适用于从事海上结构水下部分检测检验业务的海洋石油专业设备检测检验机构。</w:t>
            </w:r>
          </w:p>
        </w:tc>
      </w:tr>
    </w:tbl>
    <w:p w14:paraId="4CBC4F1C">
      <w:pPr>
        <w:widowControl/>
        <w:jc w:val="left"/>
        <w:rPr>
          <w:rFonts w:ascii="宋体" w:hAnsi="宋体"/>
        </w:rPr>
      </w:pPr>
      <w:r>
        <w:rPr>
          <w:rFonts w:ascii="宋体" w:hAnsi="宋体"/>
        </w:rPr>
        <w:br w:type="page"/>
      </w:r>
    </w:p>
    <w:p w14:paraId="094BA081">
      <w:pPr>
        <w:pStyle w:val="90"/>
        <w:tabs>
          <w:tab w:val="left" w:pos="6406"/>
        </w:tabs>
        <w:spacing w:after="120"/>
        <w:ind w:left="0"/>
        <w:rPr>
          <w:rFonts w:ascii="宋体" w:hAnsi="宋体"/>
        </w:rPr>
      </w:pPr>
      <w:bookmarkStart w:id="122" w:name="_Toc1372"/>
      <w:bookmarkStart w:id="123" w:name="_Toc29802"/>
      <w:r>
        <w:rPr>
          <w:rFonts w:ascii="宋体" w:hAnsi="宋体"/>
        </w:rPr>
        <w:br w:type="textWrapping"/>
      </w:r>
      <w:r>
        <w:rPr>
          <w:rFonts w:hint="eastAsia" w:ascii="宋体" w:hAnsi="宋体"/>
        </w:rPr>
        <w:t>（规范性）</w:t>
      </w:r>
      <w:r>
        <w:rPr>
          <w:rFonts w:ascii="宋体" w:hAnsi="宋体"/>
        </w:rPr>
        <w:br w:type="textWrapping"/>
      </w:r>
      <w:r>
        <w:rPr>
          <w:rFonts w:hint="eastAsia" w:ascii="宋体" w:hAnsi="宋体"/>
        </w:rPr>
        <w:t>海洋石油安全评价检测检验机构质量管理体系（过程控制体系）基本要素</w:t>
      </w:r>
      <w:bookmarkEnd w:id="122"/>
      <w:bookmarkEnd w:id="123"/>
    </w:p>
    <w:p w14:paraId="421FE3C3">
      <w:pPr>
        <w:pStyle w:val="114"/>
        <w:numPr>
          <w:ilvl w:val="1"/>
          <w:numId w:val="6"/>
        </w:numPr>
        <w:spacing w:before="120" w:after="120"/>
        <w:ind w:left="0"/>
        <w:rPr>
          <w:rFonts w:ascii="宋体" w:hAnsi="宋体"/>
        </w:rPr>
      </w:pPr>
      <w:r>
        <w:rPr>
          <w:rFonts w:hint="eastAsia" w:ascii="宋体" w:hAnsi="宋体"/>
        </w:rPr>
        <w:t>基本要求</w:t>
      </w:r>
    </w:p>
    <w:p w14:paraId="3EF07EEA">
      <w:pPr>
        <w:pStyle w:val="43"/>
        <w:ind w:firstLine="420"/>
        <w:rPr>
          <w:rFonts w:hAnsi="宋体"/>
        </w:rPr>
      </w:pPr>
      <w:r>
        <w:rPr>
          <w:rFonts w:hint="eastAsia" w:hAnsi="宋体"/>
        </w:rPr>
        <w:t>海洋石油安全评价检测检验机构应结合承担的安全评价检测检验项目特性和本单位实际情况，按照以下要求建立质量管理体系（过程控制体系）：</w:t>
      </w:r>
    </w:p>
    <w:p w14:paraId="36B4720B">
      <w:pPr>
        <w:pStyle w:val="107"/>
        <w:numPr>
          <w:ilvl w:val="0"/>
          <w:numId w:val="27"/>
        </w:numPr>
        <w:rPr>
          <w:rFonts w:hAnsi="宋体"/>
        </w:rPr>
      </w:pPr>
      <w:r>
        <w:rPr>
          <w:rFonts w:hint="eastAsia" w:hAnsi="宋体"/>
        </w:rPr>
        <w:t>建立、实施、保持并且持续改进质量管理体系（过程控制体系），并且与安全评价检测检验活动和自身特点相适应；</w:t>
      </w:r>
    </w:p>
    <w:p w14:paraId="6657AFE2">
      <w:pPr>
        <w:pStyle w:val="107"/>
        <w:numPr>
          <w:ilvl w:val="0"/>
          <w:numId w:val="27"/>
        </w:numPr>
        <w:rPr>
          <w:rFonts w:hAnsi="宋体"/>
        </w:rPr>
      </w:pPr>
      <w:r>
        <w:rPr>
          <w:rFonts w:hint="eastAsia" w:hAnsi="宋体"/>
        </w:rPr>
        <w:t>确保独立行使过程控制、监督和控制的权限；</w:t>
      </w:r>
    </w:p>
    <w:p w14:paraId="5D72CF05">
      <w:pPr>
        <w:pStyle w:val="107"/>
        <w:numPr>
          <w:ilvl w:val="0"/>
          <w:numId w:val="27"/>
        </w:numPr>
        <w:rPr>
          <w:rFonts w:hAnsi="宋体"/>
        </w:rPr>
      </w:pPr>
      <w:r>
        <w:rPr>
          <w:rFonts w:hint="eastAsia" w:hAnsi="宋体"/>
        </w:rPr>
        <w:t>覆盖安全评价检测检验机构的所有过程、要素和领域；</w:t>
      </w:r>
    </w:p>
    <w:p w14:paraId="5906D57F">
      <w:pPr>
        <w:pStyle w:val="107"/>
        <w:numPr>
          <w:ilvl w:val="0"/>
          <w:numId w:val="27"/>
        </w:numPr>
        <w:rPr>
          <w:rFonts w:hAnsi="宋体"/>
        </w:rPr>
      </w:pPr>
      <w:r>
        <w:rPr>
          <w:rFonts w:hint="eastAsia" w:hAnsi="宋体"/>
        </w:rPr>
        <w:t>形成文件，并且在安全评价检测检验机构内得到贯彻和执行。</w:t>
      </w:r>
    </w:p>
    <w:p w14:paraId="31855D90">
      <w:pPr>
        <w:pStyle w:val="114"/>
        <w:numPr>
          <w:ilvl w:val="1"/>
          <w:numId w:val="6"/>
        </w:numPr>
        <w:spacing w:before="120" w:after="120"/>
        <w:ind w:left="0"/>
        <w:rPr>
          <w:rFonts w:ascii="宋体" w:hAnsi="宋体"/>
        </w:rPr>
      </w:pPr>
      <w:r>
        <w:rPr>
          <w:rFonts w:hint="eastAsia" w:ascii="宋体" w:hAnsi="宋体"/>
        </w:rPr>
        <w:t>质量管理体系（过程控制体系）</w:t>
      </w:r>
    </w:p>
    <w:p w14:paraId="7C1ED10E">
      <w:pPr>
        <w:pStyle w:val="115"/>
        <w:numPr>
          <w:ilvl w:val="2"/>
          <w:numId w:val="6"/>
        </w:numPr>
        <w:spacing w:before="120" w:after="120"/>
        <w:ind w:left="0"/>
        <w:rPr>
          <w:rFonts w:ascii="宋体" w:hAnsi="宋体"/>
        </w:rPr>
      </w:pPr>
      <w:r>
        <w:rPr>
          <w:rFonts w:hint="eastAsia" w:ascii="宋体" w:hAnsi="宋体"/>
        </w:rPr>
        <w:t>一般要求</w:t>
      </w:r>
    </w:p>
    <w:p w14:paraId="2D663770">
      <w:pPr>
        <w:pStyle w:val="43"/>
        <w:ind w:firstLine="420"/>
        <w:rPr>
          <w:rFonts w:hAnsi="宋体"/>
        </w:rPr>
      </w:pPr>
      <w:r>
        <w:rPr>
          <w:rFonts w:hint="eastAsia" w:hAnsi="宋体"/>
        </w:rPr>
        <w:t>质量管理体系（过程控制体系）文件应由以下文件构成：</w:t>
      </w:r>
    </w:p>
    <w:p w14:paraId="7F04034C">
      <w:pPr>
        <w:pStyle w:val="107"/>
        <w:numPr>
          <w:ilvl w:val="0"/>
          <w:numId w:val="28"/>
        </w:numPr>
        <w:rPr>
          <w:rFonts w:hAnsi="宋体"/>
          <w:color w:val="000000"/>
          <w:kern w:val="2"/>
          <w:szCs w:val="21"/>
        </w:rPr>
      </w:pPr>
      <w:r>
        <w:rPr>
          <w:rFonts w:hint="eastAsia" w:hAnsi="宋体"/>
          <w:color w:val="000000"/>
        </w:rPr>
        <w:t>质量手册；</w:t>
      </w:r>
    </w:p>
    <w:p w14:paraId="48AB2177">
      <w:pPr>
        <w:pStyle w:val="107"/>
        <w:numPr>
          <w:ilvl w:val="0"/>
          <w:numId w:val="28"/>
        </w:numPr>
        <w:rPr>
          <w:rFonts w:hAnsi="宋体"/>
          <w:color w:val="000000"/>
        </w:rPr>
      </w:pPr>
      <w:r>
        <w:rPr>
          <w:rFonts w:hint="eastAsia" w:hAnsi="宋体"/>
          <w:color w:val="000000"/>
        </w:rPr>
        <w:t>程序文件；</w:t>
      </w:r>
    </w:p>
    <w:p w14:paraId="565CCE35">
      <w:pPr>
        <w:pStyle w:val="107"/>
        <w:numPr>
          <w:ilvl w:val="0"/>
          <w:numId w:val="28"/>
        </w:numPr>
        <w:rPr>
          <w:rFonts w:hAnsi="宋体"/>
          <w:color w:val="000000"/>
        </w:rPr>
      </w:pPr>
      <w:r>
        <w:rPr>
          <w:rFonts w:hint="eastAsia" w:hAnsi="宋体"/>
          <w:color w:val="000000"/>
        </w:rPr>
        <w:t>作业指导书；</w:t>
      </w:r>
    </w:p>
    <w:p w14:paraId="73171622">
      <w:pPr>
        <w:pStyle w:val="107"/>
        <w:numPr>
          <w:ilvl w:val="0"/>
          <w:numId w:val="28"/>
        </w:numPr>
        <w:rPr>
          <w:rFonts w:hAnsi="宋体"/>
          <w:color w:val="000000"/>
        </w:rPr>
      </w:pPr>
      <w:r>
        <w:rPr>
          <w:rFonts w:hint="eastAsia" w:hAnsi="宋体"/>
          <w:color w:val="000000"/>
        </w:rPr>
        <w:t>记录表格；</w:t>
      </w:r>
    </w:p>
    <w:p w14:paraId="44251B10">
      <w:pPr>
        <w:pStyle w:val="107"/>
        <w:numPr>
          <w:ilvl w:val="0"/>
          <w:numId w:val="28"/>
        </w:numPr>
        <w:rPr>
          <w:rFonts w:hAnsi="宋体"/>
          <w:color w:val="000000"/>
        </w:rPr>
      </w:pPr>
      <w:r>
        <w:rPr>
          <w:rFonts w:hint="eastAsia" w:hAnsi="宋体"/>
          <w:color w:val="000000"/>
        </w:rPr>
        <w:t>与安全评价检测检验有关的法律、法规、规章、安全技术规范及相关标准、主管部门文函等外来文件。</w:t>
      </w:r>
    </w:p>
    <w:p w14:paraId="4B369470">
      <w:pPr>
        <w:pStyle w:val="115"/>
        <w:numPr>
          <w:ilvl w:val="2"/>
          <w:numId w:val="6"/>
        </w:numPr>
        <w:spacing w:before="120" w:after="120"/>
        <w:ind w:left="0"/>
        <w:rPr>
          <w:rFonts w:ascii="宋体" w:hAnsi="宋体"/>
        </w:rPr>
      </w:pPr>
      <w:r>
        <w:rPr>
          <w:rFonts w:hint="eastAsia" w:ascii="宋体" w:hAnsi="宋体"/>
        </w:rPr>
        <w:t>文件控制</w:t>
      </w:r>
    </w:p>
    <w:p w14:paraId="34AB42C1">
      <w:pPr>
        <w:pStyle w:val="43"/>
        <w:ind w:firstLine="420"/>
        <w:rPr>
          <w:rFonts w:hAnsi="宋体"/>
        </w:rPr>
      </w:pPr>
      <w:r>
        <w:rPr>
          <w:rFonts w:hint="eastAsia" w:hAnsi="宋体"/>
        </w:rPr>
        <w:t>应建立文件控制程序，包括文件的类别、编制审批、唯一性标识、发放控制、归档保管、定期评审和更改控制。</w:t>
      </w:r>
    </w:p>
    <w:p w14:paraId="3939E6B8">
      <w:pPr>
        <w:pStyle w:val="115"/>
        <w:numPr>
          <w:ilvl w:val="2"/>
          <w:numId w:val="6"/>
        </w:numPr>
        <w:spacing w:before="120" w:after="120"/>
        <w:ind w:left="0"/>
        <w:rPr>
          <w:rFonts w:ascii="宋体" w:hAnsi="宋体"/>
        </w:rPr>
      </w:pPr>
      <w:r>
        <w:rPr>
          <w:rFonts w:hint="eastAsia" w:ascii="宋体" w:hAnsi="宋体"/>
        </w:rPr>
        <w:t>记录（信息）控制</w:t>
      </w:r>
    </w:p>
    <w:p w14:paraId="64B14E36">
      <w:pPr>
        <w:pStyle w:val="43"/>
        <w:ind w:firstLine="420"/>
        <w:rPr>
          <w:rFonts w:hAnsi="宋体"/>
        </w:rPr>
      </w:pPr>
      <w:r>
        <w:rPr>
          <w:rFonts w:hint="eastAsia" w:hAnsi="宋体"/>
        </w:rPr>
        <w:t>海洋石油生产设施发证检验机构和专业设备检测检验机构应建立和实施记录（信息）控制程序，对质量管理体系建立及实施过程、安全评价检测检验过程中形成的记录（信息）进行控制。</w:t>
      </w:r>
    </w:p>
    <w:p w14:paraId="36676E0E">
      <w:pPr>
        <w:pStyle w:val="114"/>
        <w:numPr>
          <w:ilvl w:val="1"/>
          <w:numId w:val="6"/>
        </w:numPr>
        <w:spacing w:before="120" w:after="120"/>
        <w:ind w:left="0"/>
        <w:rPr>
          <w:rFonts w:ascii="宋体" w:hAnsi="宋体"/>
        </w:rPr>
      </w:pPr>
      <w:r>
        <w:rPr>
          <w:rFonts w:hint="eastAsia" w:ascii="宋体" w:hAnsi="宋体"/>
        </w:rPr>
        <w:t>管理职责</w:t>
      </w:r>
    </w:p>
    <w:p w14:paraId="08A77CAF">
      <w:pPr>
        <w:pStyle w:val="121"/>
        <w:numPr>
          <w:ilvl w:val="2"/>
          <w:numId w:val="6"/>
        </w:numPr>
        <w:ind w:left="0"/>
        <w:rPr>
          <w:rFonts w:hAnsi="宋体"/>
        </w:rPr>
      </w:pPr>
      <w:r>
        <w:rPr>
          <w:rFonts w:hint="eastAsia" w:hAnsi="宋体"/>
        </w:rPr>
        <w:t>应明确质量方针和质量目标，并与机构宗旨和性质相适应，满足主管部门和客户要求。</w:t>
      </w:r>
    </w:p>
    <w:p w14:paraId="29AC1FA2">
      <w:pPr>
        <w:pStyle w:val="121"/>
        <w:numPr>
          <w:ilvl w:val="2"/>
          <w:numId w:val="6"/>
        </w:numPr>
        <w:ind w:left="0"/>
        <w:rPr>
          <w:rFonts w:hAnsi="宋体"/>
        </w:rPr>
      </w:pPr>
      <w:r>
        <w:rPr>
          <w:rFonts w:hint="eastAsia" w:hAnsi="宋体"/>
        </w:rPr>
        <w:t>应建立组织结构，明确技术负责人和质量负责人（过程控制负责人）的职责，以及技术人员的配备和管理。</w:t>
      </w:r>
    </w:p>
    <w:p w14:paraId="5E10CF54">
      <w:pPr>
        <w:pStyle w:val="121"/>
        <w:numPr>
          <w:ilvl w:val="2"/>
          <w:numId w:val="6"/>
        </w:numPr>
        <w:ind w:left="0"/>
        <w:rPr>
          <w:rFonts w:hAnsi="宋体"/>
        </w:rPr>
      </w:pPr>
      <w:r>
        <w:rPr>
          <w:rFonts w:hint="eastAsia" w:hAnsi="宋体"/>
        </w:rPr>
        <w:t>海洋石油生产设施发证检验机构和专业设备检测检验机构应建立和实施管理评审控制程序，机构主持工作负责人应每年至少组织一次管理评审，以确保质量管理体系的适宜性、充分性和有效性。</w:t>
      </w:r>
    </w:p>
    <w:p w14:paraId="0A04C0EA">
      <w:pPr>
        <w:pStyle w:val="114"/>
        <w:numPr>
          <w:ilvl w:val="1"/>
          <w:numId w:val="6"/>
        </w:numPr>
        <w:spacing w:before="120" w:after="120"/>
        <w:ind w:left="0"/>
        <w:rPr>
          <w:rFonts w:ascii="宋体" w:hAnsi="宋体"/>
        </w:rPr>
      </w:pPr>
      <w:r>
        <w:rPr>
          <w:rFonts w:hint="eastAsia" w:ascii="宋体" w:hAnsi="宋体"/>
        </w:rPr>
        <w:t>资源管理</w:t>
      </w:r>
    </w:p>
    <w:p w14:paraId="62CD1CF5">
      <w:pPr>
        <w:pStyle w:val="121"/>
        <w:numPr>
          <w:ilvl w:val="2"/>
          <w:numId w:val="6"/>
        </w:numPr>
        <w:ind w:left="0"/>
        <w:rPr>
          <w:rFonts w:hAnsi="宋体"/>
        </w:rPr>
      </w:pPr>
      <w:r>
        <w:rPr>
          <w:rFonts w:hint="eastAsia" w:hAnsi="宋体"/>
        </w:rPr>
        <w:t>人员管理应包括任职条件确认、岗位职责明确、技术和质量管理培训、考核评价和执业档案建立。</w:t>
      </w:r>
    </w:p>
    <w:p w14:paraId="76FE3B1D">
      <w:pPr>
        <w:pStyle w:val="121"/>
        <w:numPr>
          <w:ilvl w:val="2"/>
          <w:numId w:val="6"/>
        </w:numPr>
        <w:ind w:left="0"/>
        <w:rPr>
          <w:rFonts w:hAnsi="宋体"/>
        </w:rPr>
      </w:pPr>
      <w:r>
        <w:rPr>
          <w:rFonts w:hint="eastAsia" w:hAnsi="宋体"/>
        </w:rPr>
        <w:t>检测检验设备管理应包括设备台账建立、保存条件、检定/校准或核查台账、操作规程和设备档案管理。</w:t>
      </w:r>
    </w:p>
    <w:p w14:paraId="4AF488E4">
      <w:pPr>
        <w:pStyle w:val="121"/>
        <w:numPr>
          <w:ilvl w:val="2"/>
          <w:numId w:val="6"/>
        </w:numPr>
        <w:ind w:left="0"/>
        <w:rPr>
          <w:rFonts w:hAnsi="宋体"/>
        </w:rPr>
      </w:pPr>
      <w:r>
        <w:rPr>
          <w:rFonts w:hint="eastAsia" w:hAnsi="宋体"/>
        </w:rPr>
        <w:t>软件管理应包括软件台账建立、更新维护记录。</w:t>
      </w:r>
    </w:p>
    <w:p w14:paraId="73F29902">
      <w:pPr>
        <w:pStyle w:val="114"/>
        <w:numPr>
          <w:ilvl w:val="1"/>
          <w:numId w:val="6"/>
        </w:numPr>
        <w:spacing w:before="120" w:after="120"/>
        <w:ind w:left="0"/>
        <w:rPr>
          <w:rFonts w:ascii="宋体" w:hAnsi="宋体"/>
        </w:rPr>
      </w:pPr>
      <w:r>
        <w:rPr>
          <w:rFonts w:hint="eastAsia" w:ascii="宋体" w:hAnsi="宋体"/>
        </w:rPr>
        <w:t>安全评价检测检验实施</w:t>
      </w:r>
    </w:p>
    <w:p w14:paraId="2B825272">
      <w:pPr>
        <w:pStyle w:val="121"/>
        <w:numPr>
          <w:ilvl w:val="2"/>
          <w:numId w:val="6"/>
        </w:numPr>
        <w:ind w:left="0"/>
        <w:rPr>
          <w:rFonts w:hAnsi="宋体"/>
        </w:rPr>
      </w:pPr>
      <w:r>
        <w:rPr>
          <w:rFonts w:hint="eastAsia" w:hAnsi="宋体"/>
        </w:rPr>
        <w:t>海洋石油生产设施发证检验机构和专业设备检测检验机构应建立任务控制程序，明确任务来源、接收方式、客户条件告知和合同评审。</w:t>
      </w:r>
    </w:p>
    <w:p w14:paraId="6741A8BE">
      <w:pPr>
        <w:pStyle w:val="121"/>
        <w:numPr>
          <w:ilvl w:val="2"/>
          <w:numId w:val="6"/>
        </w:numPr>
        <w:ind w:left="0"/>
        <w:rPr>
          <w:rFonts w:hAnsi="宋体"/>
        </w:rPr>
      </w:pPr>
      <w:r>
        <w:rPr>
          <w:rFonts w:hint="eastAsia" w:hAnsi="宋体"/>
        </w:rPr>
        <w:t>海洋石油生产设施发证检验机构和专业设备检测检验机构应建立检测检验方法控制程序，明确使用有关法律、法规、规章和安全技术规范规定的检测检验方法，对未规定的方法进行技术评审和验证。</w:t>
      </w:r>
    </w:p>
    <w:p w14:paraId="39CEEE01">
      <w:pPr>
        <w:pStyle w:val="121"/>
        <w:numPr>
          <w:ilvl w:val="2"/>
          <w:numId w:val="6"/>
        </w:numPr>
        <w:ind w:left="0"/>
        <w:rPr>
          <w:rFonts w:hAnsi="宋体"/>
        </w:rPr>
      </w:pPr>
      <w:r>
        <w:rPr>
          <w:rFonts w:hint="eastAsia" w:hAnsi="宋体"/>
        </w:rPr>
        <w:t>海洋石油安全评价机构应建立过程控制程序，明确安全评价相关活动的流程、方法和管理要求，覆盖海洋石油安全评价机构日常评价工作管理和评价项目实施过程的各个环节。</w:t>
      </w:r>
    </w:p>
    <w:p w14:paraId="0F151F9E">
      <w:pPr>
        <w:pStyle w:val="114"/>
        <w:numPr>
          <w:ilvl w:val="1"/>
          <w:numId w:val="6"/>
        </w:numPr>
        <w:spacing w:before="120" w:after="120"/>
        <w:ind w:left="0"/>
        <w:rPr>
          <w:rFonts w:ascii="宋体" w:hAnsi="宋体"/>
        </w:rPr>
      </w:pPr>
      <w:r>
        <w:rPr>
          <w:rFonts w:hint="eastAsia" w:ascii="宋体" w:hAnsi="宋体"/>
        </w:rPr>
        <w:t>监督与改进</w:t>
      </w:r>
    </w:p>
    <w:p w14:paraId="71BAE05F">
      <w:pPr>
        <w:pStyle w:val="121"/>
        <w:numPr>
          <w:ilvl w:val="2"/>
          <w:numId w:val="6"/>
        </w:numPr>
        <w:ind w:left="0"/>
        <w:rPr>
          <w:rFonts w:hAnsi="宋体"/>
        </w:rPr>
      </w:pPr>
      <w:r>
        <w:rPr>
          <w:rFonts w:hint="eastAsia" w:hAnsi="宋体"/>
        </w:rPr>
        <w:t>应建立内部审核控制程序，每年至少进行一次，覆盖所有要素和部门，及时采取纠正措施，并出具内部审核报告。</w:t>
      </w:r>
    </w:p>
    <w:p w14:paraId="228B35D0">
      <w:pPr>
        <w:pStyle w:val="121"/>
        <w:numPr>
          <w:ilvl w:val="2"/>
          <w:numId w:val="6"/>
        </w:numPr>
        <w:ind w:left="0"/>
        <w:rPr>
          <w:rFonts w:hAnsi="宋体"/>
        </w:rPr>
      </w:pPr>
      <w:r>
        <w:rPr>
          <w:rFonts w:hint="eastAsia" w:hAnsi="宋体"/>
        </w:rPr>
        <w:t>应建立不符合项控制程序，对不符合项的严重性进行评价，采取纠正措施，并验证纠正措施的有效性。</w:t>
      </w:r>
    </w:p>
    <w:p w14:paraId="078FE1BB">
      <w:pPr>
        <w:pStyle w:val="121"/>
        <w:numPr>
          <w:ilvl w:val="255"/>
          <w:numId w:val="0"/>
        </w:numPr>
        <w:ind w:left="4099" w:leftChars="1952"/>
        <w:jc w:val="left"/>
        <w:rPr>
          <w:rFonts w:hAnsi="宋体"/>
        </w:rPr>
      </w:pPr>
    </w:p>
    <w:p w14:paraId="66260F1C">
      <w:pPr>
        <w:pStyle w:val="121"/>
        <w:numPr>
          <w:ilvl w:val="255"/>
          <w:numId w:val="0"/>
        </w:numPr>
        <w:ind w:left="4110"/>
        <w:jc w:val="left"/>
        <w:rPr>
          <w:rFonts w:hAnsi="宋体"/>
        </w:rPr>
      </w:pPr>
    </w:p>
    <w:p w14:paraId="2B158266">
      <w:pPr>
        <w:ind w:left="181" w:leftChars="86"/>
        <w:rPr>
          <w:rFonts w:ascii="宋体" w:hAnsi="宋体"/>
          <w:szCs w:val="21"/>
        </w:rPr>
        <w:sectPr>
          <w:footerReference r:id="rId12" w:type="default"/>
          <w:footerReference r:id="rId13" w:type="even"/>
          <w:pgSz w:w="11906" w:h="16838"/>
          <w:pgMar w:top="1928" w:right="1134" w:bottom="1134" w:left="1134" w:header="1418" w:footer="1134" w:gutter="284"/>
          <w:pgNumType w:start="1"/>
          <w:cols w:space="425" w:num="1"/>
          <w:formProt w:val="0"/>
          <w:docGrid w:linePitch="312" w:charSpace="0"/>
        </w:sectPr>
      </w:pPr>
    </w:p>
    <w:p w14:paraId="4F067D8E">
      <w:pPr>
        <w:pStyle w:val="90"/>
        <w:tabs>
          <w:tab w:val="left" w:pos="6406"/>
        </w:tabs>
        <w:spacing w:after="120"/>
        <w:ind w:left="181" w:leftChars="86"/>
        <w:rPr>
          <w:rFonts w:ascii="宋体" w:hAnsi="宋体"/>
        </w:rPr>
      </w:pPr>
      <w:bookmarkStart w:id="124" w:name="_Toc3945"/>
      <w:bookmarkStart w:id="125" w:name="_Toc16119"/>
      <w:bookmarkStart w:id="126" w:name="_Toc23519"/>
      <w:r>
        <w:rPr>
          <w:rFonts w:ascii="宋体" w:hAnsi="宋体"/>
        </w:rPr>
        <w:br w:type="textWrapping"/>
      </w:r>
      <w:r>
        <w:rPr>
          <w:rFonts w:hint="eastAsia" w:ascii="宋体" w:hAnsi="宋体"/>
        </w:rPr>
        <w:t>（规范性）</w:t>
      </w:r>
      <w:r>
        <w:rPr>
          <w:rFonts w:ascii="宋体" w:hAnsi="宋体"/>
        </w:rPr>
        <w:br w:type="textWrapping"/>
      </w:r>
      <w:r>
        <w:rPr>
          <w:rFonts w:hint="eastAsia" w:ascii="宋体" w:hAnsi="宋体"/>
        </w:rPr>
        <w:t>海洋石油专业设备检测检验机构人员职业资格证书或能力认定证书取得要求</w:t>
      </w:r>
      <w:bookmarkEnd w:id="124"/>
      <w:bookmarkEnd w:id="125"/>
      <w:bookmarkEnd w:id="126"/>
    </w:p>
    <w:p w14:paraId="57C6DC3A">
      <w:pPr>
        <w:pStyle w:val="43"/>
        <w:ind w:left="181" w:leftChars="86" w:firstLine="420"/>
        <w:rPr>
          <w:rFonts w:hAnsi="宋体"/>
        </w:rPr>
      </w:pPr>
      <w:r>
        <w:rPr>
          <w:rFonts w:hint="eastAsia" w:hAnsi="宋体"/>
        </w:rPr>
        <w:t>专业设备检验人员和专业设备检测人员应取得相应职业资格证书或能力认定证书，其中专业设备检验人员取证应符合表D.1的要求，专业设备检测人员取证应符合表D.2的要求。</w:t>
      </w:r>
    </w:p>
    <w:p w14:paraId="61EA9617">
      <w:pPr>
        <w:pStyle w:val="108"/>
        <w:numPr>
          <w:ilvl w:val="1"/>
          <w:numId w:val="0"/>
        </w:numPr>
        <w:spacing w:before="120" w:after="120"/>
        <w:ind w:left="181" w:leftChars="86"/>
        <w:rPr>
          <w:rFonts w:ascii="宋体" w:hAnsi="宋体"/>
        </w:rPr>
      </w:pPr>
      <w:r>
        <w:rPr>
          <w:rFonts w:hint="eastAsia" w:ascii="宋体" w:hAnsi="宋体"/>
        </w:rPr>
        <w:t>表D.1专业设备检验人员取证要求</w:t>
      </w:r>
    </w:p>
    <w:tbl>
      <w:tblPr>
        <w:tblStyle w:val="26"/>
        <w:tblW w:w="5193" w:type="pct"/>
        <w:jc w:val="center"/>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Layout w:type="autofit"/>
        <w:tblCellMar>
          <w:top w:w="0" w:type="dxa"/>
          <w:left w:w="0" w:type="dxa"/>
          <w:bottom w:w="0" w:type="dxa"/>
          <w:right w:w="0" w:type="dxa"/>
        </w:tblCellMar>
      </w:tblPr>
      <w:tblGrid>
        <w:gridCol w:w="1315"/>
        <w:gridCol w:w="1537"/>
        <w:gridCol w:w="1910"/>
        <w:gridCol w:w="4772"/>
        <w:gridCol w:w="4795"/>
      </w:tblGrid>
      <w:tr w14:paraId="65CEF6FE">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334" w:hRule="atLeast"/>
          <w:tblHeader/>
          <w:jc w:val="center"/>
        </w:trPr>
        <w:tc>
          <w:tcPr>
            <w:tcW w:w="459" w:type="pct"/>
            <w:tcBorders>
              <w:bottom w:val="single" w:color="000000" w:sz="8" w:space="0"/>
              <w:tl2br w:val="nil"/>
              <w:tr2bl w:val="nil"/>
            </w:tcBorders>
            <w:vAlign w:val="center"/>
          </w:tcPr>
          <w:p w14:paraId="1FA4EF88">
            <w:pPr>
              <w:pStyle w:val="110"/>
              <w:widowControl w:val="0"/>
              <w:rPr>
                <w:rFonts w:hAnsi="宋体" w:cs="宋体"/>
                <w:szCs w:val="18"/>
              </w:rPr>
            </w:pPr>
            <w:r>
              <w:rPr>
                <w:rFonts w:hint="eastAsia" w:hAnsi="宋体" w:cs="宋体"/>
                <w:szCs w:val="18"/>
              </w:rPr>
              <w:t>大类专业设备</w:t>
            </w:r>
          </w:p>
        </w:tc>
        <w:tc>
          <w:tcPr>
            <w:tcW w:w="536" w:type="pct"/>
            <w:tcBorders>
              <w:bottom w:val="single" w:color="000000" w:sz="8" w:space="0"/>
              <w:tl2br w:val="nil"/>
              <w:tr2bl w:val="nil"/>
            </w:tcBorders>
            <w:vAlign w:val="center"/>
          </w:tcPr>
          <w:p w14:paraId="63F8E2C2">
            <w:pPr>
              <w:pStyle w:val="110"/>
              <w:widowControl w:val="0"/>
              <w:rPr>
                <w:rFonts w:hAnsi="宋体" w:cs="宋体"/>
                <w:szCs w:val="18"/>
              </w:rPr>
            </w:pPr>
            <w:r>
              <w:rPr>
                <w:rFonts w:hint="eastAsia" w:hAnsi="宋体" w:cs="宋体"/>
                <w:szCs w:val="18"/>
              </w:rPr>
              <w:t>中类专业设备</w:t>
            </w:r>
          </w:p>
        </w:tc>
        <w:tc>
          <w:tcPr>
            <w:tcW w:w="666" w:type="pct"/>
            <w:tcBorders>
              <w:bottom w:val="single" w:color="000000" w:sz="8" w:space="0"/>
              <w:tl2br w:val="nil"/>
              <w:tr2bl w:val="nil"/>
            </w:tcBorders>
            <w:vAlign w:val="center"/>
          </w:tcPr>
          <w:p w14:paraId="5054563C">
            <w:pPr>
              <w:pStyle w:val="110"/>
              <w:widowControl w:val="0"/>
              <w:rPr>
                <w:rFonts w:hAnsi="宋体" w:cs="宋体"/>
                <w:szCs w:val="18"/>
              </w:rPr>
            </w:pPr>
            <w:r>
              <w:rPr>
                <w:rFonts w:hint="eastAsia" w:hAnsi="宋体" w:cs="宋体"/>
                <w:szCs w:val="18"/>
              </w:rPr>
              <w:t>专业设备检验人员</w:t>
            </w:r>
          </w:p>
        </w:tc>
        <w:tc>
          <w:tcPr>
            <w:tcW w:w="1664" w:type="pct"/>
            <w:tcBorders>
              <w:bottom w:val="single" w:color="000000" w:sz="8" w:space="0"/>
              <w:tl2br w:val="nil"/>
              <w:tr2bl w:val="nil"/>
            </w:tcBorders>
            <w:vAlign w:val="center"/>
          </w:tcPr>
          <w:p w14:paraId="5A69AFFF">
            <w:pPr>
              <w:pStyle w:val="110"/>
              <w:widowControl w:val="0"/>
              <w:rPr>
                <w:rFonts w:hAnsi="宋体" w:cs="宋体"/>
                <w:szCs w:val="18"/>
              </w:rPr>
            </w:pPr>
            <w:r>
              <w:rPr>
                <w:rFonts w:hint="eastAsia" w:hAnsi="宋体" w:cs="宋体"/>
                <w:szCs w:val="18"/>
              </w:rPr>
              <w:t>相关行业检验人员职业资格证书</w:t>
            </w:r>
            <w:r>
              <w:rPr>
                <w:rFonts w:hint="eastAsia" w:hAnsi="宋体"/>
              </w:rPr>
              <w:t>或能力认定证书</w:t>
            </w:r>
          </w:p>
        </w:tc>
        <w:tc>
          <w:tcPr>
            <w:tcW w:w="1672" w:type="pct"/>
            <w:tcBorders>
              <w:bottom w:val="single" w:color="000000" w:sz="8" w:space="0"/>
              <w:tl2br w:val="nil"/>
              <w:tr2bl w:val="nil"/>
            </w:tcBorders>
            <w:vAlign w:val="center"/>
          </w:tcPr>
          <w:p w14:paraId="0F155665">
            <w:pPr>
              <w:pStyle w:val="110"/>
              <w:widowControl w:val="0"/>
              <w:rPr>
                <w:rFonts w:hAnsi="宋体" w:cs="宋体"/>
                <w:szCs w:val="18"/>
              </w:rPr>
            </w:pPr>
            <w:r>
              <w:rPr>
                <w:rFonts w:hint="eastAsia" w:hAnsi="宋体" w:cs="宋体"/>
                <w:szCs w:val="18"/>
              </w:rPr>
              <w:t>发证单位</w:t>
            </w:r>
          </w:p>
        </w:tc>
      </w:tr>
      <w:tr w14:paraId="0C55D780">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343" w:hRule="atLeast"/>
          <w:jc w:val="center"/>
        </w:trPr>
        <w:tc>
          <w:tcPr>
            <w:tcW w:w="459" w:type="pct"/>
            <w:vMerge w:val="restart"/>
            <w:tcBorders>
              <w:top w:val="single" w:color="000000" w:sz="8" w:space="0"/>
              <w:tl2br w:val="nil"/>
              <w:tr2bl w:val="nil"/>
            </w:tcBorders>
            <w:vAlign w:val="center"/>
          </w:tcPr>
          <w:p w14:paraId="4FAAD7D1">
            <w:pPr>
              <w:pStyle w:val="110"/>
              <w:widowControl w:val="0"/>
              <w:adjustRightInd w:val="0"/>
              <w:snapToGrid w:val="0"/>
              <w:rPr>
                <w:rFonts w:hAnsi="宋体" w:cs="宋体"/>
                <w:spacing w:val="-2"/>
                <w:szCs w:val="18"/>
              </w:rPr>
            </w:pPr>
            <w:r>
              <w:rPr>
                <w:rFonts w:hint="eastAsia" w:hAnsi="宋体" w:cs="宋体"/>
                <w:szCs w:val="18"/>
              </w:rPr>
              <w:t>海上结构</w:t>
            </w:r>
          </w:p>
        </w:tc>
        <w:tc>
          <w:tcPr>
            <w:tcW w:w="536" w:type="pct"/>
            <w:tcBorders>
              <w:top w:val="single" w:color="000000" w:sz="8" w:space="0"/>
              <w:tl2br w:val="nil"/>
              <w:tr2bl w:val="nil"/>
            </w:tcBorders>
            <w:vAlign w:val="center"/>
          </w:tcPr>
          <w:p w14:paraId="320CE589">
            <w:pPr>
              <w:pStyle w:val="110"/>
              <w:widowControl w:val="0"/>
              <w:adjustRightInd w:val="0"/>
              <w:snapToGrid w:val="0"/>
              <w:ind w:left="181" w:leftChars="86"/>
              <w:rPr>
                <w:rFonts w:hAnsi="宋体" w:cs="宋体"/>
                <w:szCs w:val="18"/>
              </w:rPr>
            </w:pPr>
            <w:r>
              <w:rPr>
                <w:rFonts w:hint="eastAsia" w:hAnsi="宋体" w:cs="宋体"/>
                <w:szCs w:val="18"/>
              </w:rPr>
              <w:t>海洋平台结构</w:t>
            </w:r>
          </w:p>
        </w:tc>
        <w:tc>
          <w:tcPr>
            <w:tcW w:w="666" w:type="pct"/>
            <w:tcBorders>
              <w:top w:val="single" w:color="000000" w:sz="8" w:space="0"/>
              <w:tl2br w:val="nil"/>
              <w:tr2bl w:val="nil"/>
            </w:tcBorders>
            <w:shd w:val="clear" w:color="auto" w:fill="auto"/>
            <w:vAlign w:val="center"/>
          </w:tcPr>
          <w:p w14:paraId="369EF034">
            <w:pPr>
              <w:pStyle w:val="110"/>
              <w:widowControl w:val="0"/>
              <w:adjustRightInd w:val="0"/>
              <w:snapToGrid w:val="0"/>
              <w:rPr>
                <w:rFonts w:hAnsi="宋体" w:cs="宋体"/>
                <w:szCs w:val="18"/>
              </w:rPr>
            </w:pPr>
            <w:r>
              <w:rPr>
                <w:rFonts w:hint="eastAsia" w:hAnsi="宋体" w:cs="宋体"/>
                <w:szCs w:val="18"/>
              </w:rPr>
              <w:t>海洋平台结构检验人员</w:t>
            </w:r>
          </w:p>
        </w:tc>
        <w:tc>
          <w:tcPr>
            <w:tcW w:w="1664" w:type="pct"/>
            <w:tcBorders>
              <w:top w:val="single" w:color="000000" w:sz="8" w:space="0"/>
              <w:tl2br w:val="nil"/>
              <w:tr2bl w:val="nil"/>
            </w:tcBorders>
            <w:shd w:val="clear" w:color="auto" w:fill="auto"/>
            <w:vAlign w:val="center"/>
          </w:tcPr>
          <w:p w14:paraId="75A72EEA">
            <w:pPr>
              <w:widowControl/>
              <w:autoSpaceDE w:val="0"/>
              <w:autoSpaceDN w:val="0"/>
              <w:adjustRightInd w:val="0"/>
              <w:snapToGrid w:val="0"/>
              <w:ind w:right="102"/>
              <w:jc w:val="center"/>
              <w:textAlignment w:val="baseline"/>
              <w:rPr>
                <w:rFonts w:ascii="宋体" w:hAnsi="宋体" w:eastAsia="宋体" w:cs="宋体"/>
                <w:kern w:val="0"/>
                <w:sz w:val="18"/>
                <w:szCs w:val="18"/>
              </w:rPr>
            </w:pPr>
            <w:r>
              <w:rPr>
                <w:rFonts w:hint="eastAsia" w:ascii="宋体" w:hAnsi="宋体" w:eastAsia="宋体" w:cs="宋体"/>
                <w:kern w:val="0"/>
                <w:sz w:val="18"/>
                <w:szCs w:val="18"/>
              </w:rPr>
              <w:t>/</w:t>
            </w:r>
          </w:p>
        </w:tc>
        <w:tc>
          <w:tcPr>
            <w:tcW w:w="1672" w:type="pct"/>
            <w:tcBorders>
              <w:top w:val="single" w:color="000000" w:sz="8" w:space="0"/>
              <w:tl2br w:val="nil"/>
              <w:tr2bl w:val="nil"/>
            </w:tcBorders>
            <w:shd w:val="clear" w:color="auto" w:fill="auto"/>
            <w:vAlign w:val="center"/>
          </w:tcPr>
          <w:p w14:paraId="57966B47">
            <w:pPr>
              <w:pStyle w:val="110"/>
              <w:widowControl w:val="0"/>
              <w:adjustRightInd w:val="0"/>
              <w:snapToGrid w:val="0"/>
              <w:rPr>
                <w:rFonts w:hAnsi="宋体" w:cs="宋体"/>
                <w:szCs w:val="18"/>
              </w:rPr>
            </w:pPr>
            <w:r>
              <w:rPr>
                <w:rFonts w:hint="eastAsia" w:hAnsi="宋体" w:cs="宋体"/>
                <w:szCs w:val="18"/>
              </w:rPr>
              <w:t>/</w:t>
            </w:r>
          </w:p>
        </w:tc>
      </w:tr>
      <w:tr w14:paraId="239D5A56">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332" w:hRule="atLeast"/>
          <w:jc w:val="center"/>
        </w:trPr>
        <w:tc>
          <w:tcPr>
            <w:tcW w:w="459" w:type="pct"/>
            <w:vMerge w:val="continue"/>
            <w:tcBorders>
              <w:tl2br w:val="nil"/>
              <w:tr2bl w:val="nil"/>
            </w:tcBorders>
            <w:vAlign w:val="center"/>
          </w:tcPr>
          <w:p w14:paraId="6848C477">
            <w:pPr>
              <w:pStyle w:val="110"/>
              <w:widowControl w:val="0"/>
              <w:adjustRightInd w:val="0"/>
              <w:snapToGrid w:val="0"/>
              <w:ind w:left="181" w:leftChars="86" w:firstLine="412"/>
              <w:rPr>
                <w:rFonts w:hAnsi="宋体" w:cs="宋体"/>
                <w:spacing w:val="-2"/>
                <w:szCs w:val="18"/>
              </w:rPr>
            </w:pPr>
          </w:p>
        </w:tc>
        <w:tc>
          <w:tcPr>
            <w:tcW w:w="536" w:type="pct"/>
            <w:tcBorders>
              <w:tl2br w:val="nil"/>
              <w:tr2bl w:val="nil"/>
            </w:tcBorders>
            <w:vAlign w:val="center"/>
          </w:tcPr>
          <w:p w14:paraId="5E9521BF">
            <w:pPr>
              <w:pStyle w:val="110"/>
              <w:widowControl w:val="0"/>
              <w:adjustRightInd w:val="0"/>
              <w:snapToGrid w:val="0"/>
              <w:ind w:left="181" w:leftChars="86"/>
              <w:rPr>
                <w:rFonts w:hAnsi="宋体" w:cs="宋体"/>
                <w:szCs w:val="18"/>
              </w:rPr>
            </w:pPr>
            <w:r>
              <w:rPr>
                <w:rFonts w:hint="eastAsia" w:hAnsi="宋体" w:cs="宋体"/>
                <w:szCs w:val="18"/>
              </w:rPr>
              <w:t>单点系泊结构</w:t>
            </w:r>
          </w:p>
        </w:tc>
        <w:tc>
          <w:tcPr>
            <w:tcW w:w="666" w:type="pct"/>
            <w:tcBorders>
              <w:tl2br w:val="nil"/>
              <w:tr2bl w:val="nil"/>
            </w:tcBorders>
            <w:shd w:val="clear" w:color="auto" w:fill="auto"/>
            <w:vAlign w:val="center"/>
          </w:tcPr>
          <w:p w14:paraId="6D1F8967">
            <w:pPr>
              <w:pStyle w:val="110"/>
              <w:widowControl w:val="0"/>
              <w:adjustRightInd w:val="0"/>
              <w:snapToGrid w:val="0"/>
              <w:rPr>
                <w:rFonts w:hAnsi="宋体" w:cs="宋体"/>
                <w:szCs w:val="18"/>
              </w:rPr>
            </w:pPr>
            <w:r>
              <w:rPr>
                <w:rFonts w:hint="eastAsia" w:hAnsi="宋体" w:cs="宋体"/>
                <w:szCs w:val="18"/>
              </w:rPr>
              <w:t>单点系泊结构检验人员</w:t>
            </w:r>
          </w:p>
        </w:tc>
        <w:tc>
          <w:tcPr>
            <w:tcW w:w="1664" w:type="pct"/>
            <w:tcBorders>
              <w:tl2br w:val="nil"/>
              <w:tr2bl w:val="nil"/>
            </w:tcBorders>
            <w:shd w:val="clear" w:color="auto" w:fill="auto"/>
            <w:vAlign w:val="center"/>
          </w:tcPr>
          <w:p w14:paraId="17C2003D">
            <w:pPr>
              <w:widowControl/>
              <w:autoSpaceDE w:val="0"/>
              <w:autoSpaceDN w:val="0"/>
              <w:adjustRightInd w:val="0"/>
              <w:snapToGrid w:val="0"/>
              <w:ind w:right="102"/>
              <w:jc w:val="center"/>
              <w:textAlignment w:val="baseline"/>
              <w:rPr>
                <w:rFonts w:ascii="宋体" w:hAnsi="宋体" w:eastAsia="宋体" w:cs="宋体"/>
                <w:kern w:val="0"/>
                <w:sz w:val="18"/>
                <w:szCs w:val="18"/>
              </w:rPr>
            </w:pPr>
            <w:r>
              <w:rPr>
                <w:rFonts w:hint="eastAsia" w:ascii="宋体" w:hAnsi="宋体" w:eastAsia="宋体" w:cs="宋体"/>
                <w:kern w:val="0"/>
                <w:sz w:val="18"/>
                <w:szCs w:val="18"/>
              </w:rPr>
              <w:t>/</w:t>
            </w:r>
          </w:p>
        </w:tc>
        <w:tc>
          <w:tcPr>
            <w:tcW w:w="1672" w:type="pct"/>
            <w:tcBorders>
              <w:tl2br w:val="nil"/>
              <w:tr2bl w:val="nil"/>
            </w:tcBorders>
            <w:shd w:val="clear" w:color="auto" w:fill="auto"/>
            <w:vAlign w:val="center"/>
          </w:tcPr>
          <w:p w14:paraId="2E77C7DC">
            <w:pPr>
              <w:pStyle w:val="110"/>
              <w:widowControl w:val="0"/>
              <w:adjustRightInd w:val="0"/>
              <w:snapToGrid w:val="0"/>
              <w:rPr>
                <w:rFonts w:hAnsi="宋体" w:cs="宋体"/>
                <w:szCs w:val="18"/>
              </w:rPr>
            </w:pPr>
            <w:r>
              <w:rPr>
                <w:rFonts w:hint="eastAsia" w:hAnsi="宋体" w:cs="宋体"/>
                <w:szCs w:val="18"/>
              </w:rPr>
              <w:t>/</w:t>
            </w:r>
          </w:p>
        </w:tc>
      </w:tr>
      <w:tr w14:paraId="33F9F901">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699" w:hRule="atLeast"/>
          <w:jc w:val="center"/>
        </w:trPr>
        <w:tc>
          <w:tcPr>
            <w:tcW w:w="459" w:type="pct"/>
            <w:tcBorders>
              <w:tl2br w:val="nil"/>
              <w:tr2bl w:val="nil"/>
            </w:tcBorders>
            <w:vAlign w:val="center"/>
          </w:tcPr>
          <w:p w14:paraId="6438DFB4">
            <w:pPr>
              <w:pStyle w:val="110"/>
              <w:widowControl w:val="0"/>
              <w:adjustRightInd w:val="0"/>
              <w:snapToGrid w:val="0"/>
              <w:rPr>
                <w:rFonts w:hAnsi="宋体" w:cs="宋体"/>
                <w:spacing w:val="-2"/>
                <w:szCs w:val="18"/>
              </w:rPr>
            </w:pPr>
            <w:r>
              <w:rPr>
                <w:rFonts w:hint="eastAsia" w:hAnsi="宋体" w:cs="宋体"/>
                <w:szCs w:val="18"/>
              </w:rPr>
              <w:t>采油设备</w:t>
            </w:r>
          </w:p>
        </w:tc>
        <w:tc>
          <w:tcPr>
            <w:tcW w:w="536" w:type="pct"/>
            <w:tcBorders>
              <w:tl2br w:val="nil"/>
              <w:tr2bl w:val="nil"/>
            </w:tcBorders>
            <w:vAlign w:val="center"/>
          </w:tcPr>
          <w:p w14:paraId="0F0D0F9E">
            <w:pPr>
              <w:pStyle w:val="110"/>
              <w:widowControl w:val="0"/>
              <w:adjustRightInd w:val="0"/>
              <w:snapToGrid w:val="0"/>
              <w:ind w:left="181" w:leftChars="86"/>
              <w:rPr>
                <w:rFonts w:hAnsi="宋体" w:cs="宋体"/>
                <w:szCs w:val="18"/>
              </w:rPr>
            </w:pPr>
            <w:r>
              <w:rPr>
                <w:rFonts w:hint="eastAsia" w:hAnsi="宋体" w:cs="宋体"/>
                <w:szCs w:val="18"/>
              </w:rPr>
              <w:t>采油（气）树</w:t>
            </w:r>
          </w:p>
        </w:tc>
        <w:tc>
          <w:tcPr>
            <w:tcW w:w="666" w:type="pct"/>
            <w:tcBorders>
              <w:tl2br w:val="nil"/>
              <w:tr2bl w:val="nil"/>
            </w:tcBorders>
            <w:vAlign w:val="center"/>
          </w:tcPr>
          <w:p w14:paraId="5E864B85">
            <w:pPr>
              <w:pStyle w:val="110"/>
              <w:widowControl w:val="0"/>
              <w:adjustRightInd w:val="0"/>
              <w:snapToGrid w:val="0"/>
              <w:ind w:left="181" w:leftChars="86"/>
              <w:rPr>
                <w:rFonts w:hAnsi="宋体" w:cs="宋体"/>
                <w:szCs w:val="18"/>
              </w:rPr>
            </w:pPr>
            <w:r>
              <w:rPr>
                <w:rFonts w:hint="eastAsia" w:hAnsi="宋体" w:cs="宋体"/>
                <w:szCs w:val="18"/>
              </w:rPr>
              <w:t>采油</w:t>
            </w:r>
            <w:r>
              <w:rPr>
                <w:rFonts w:hint="eastAsia" w:hAnsi="宋体"/>
                <w:szCs w:val="18"/>
              </w:rPr>
              <w:t>（气）</w:t>
            </w:r>
            <w:r>
              <w:rPr>
                <w:rFonts w:hint="eastAsia" w:hAnsi="宋体" w:cs="宋体"/>
                <w:szCs w:val="18"/>
              </w:rPr>
              <w:t>树检验人员</w:t>
            </w:r>
          </w:p>
        </w:tc>
        <w:tc>
          <w:tcPr>
            <w:tcW w:w="1664" w:type="pct"/>
            <w:tcBorders>
              <w:tl2br w:val="nil"/>
              <w:tr2bl w:val="nil"/>
            </w:tcBorders>
            <w:vAlign w:val="center"/>
          </w:tcPr>
          <w:p w14:paraId="0EA6C7BD">
            <w:pPr>
              <w:pStyle w:val="99"/>
              <w:widowControl/>
              <w:autoSpaceDE w:val="0"/>
              <w:autoSpaceDN w:val="0"/>
              <w:adjustRightInd w:val="0"/>
              <w:snapToGrid w:val="0"/>
              <w:ind w:right="103" w:rightChars="49" w:firstLine="0" w:firstLineChars="0"/>
              <w:jc w:val="left"/>
              <w:textAlignment w:val="baseline"/>
              <w:rPr>
                <w:rFonts w:eastAsia="宋体"/>
                <w:kern w:val="0"/>
                <w:sz w:val="18"/>
                <w:szCs w:val="18"/>
              </w:rPr>
            </w:pPr>
            <w:r>
              <w:rPr>
                <w:rFonts w:hint="eastAsia" w:eastAsia="宋体"/>
                <w:kern w:val="0"/>
                <w:sz w:val="18"/>
                <w:szCs w:val="18"/>
              </w:rPr>
              <w:t>特种设备检验检测人员证（检验人员）：压力管道检验员/压力管道检验师</w:t>
            </w:r>
          </w:p>
        </w:tc>
        <w:tc>
          <w:tcPr>
            <w:tcW w:w="1672" w:type="pct"/>
            <w:tcBorders>
              <w:tl2br w:val="nil"/>
              <w:tr2bl w:val="nil"/>
            </w:tcBorders>
            <w:vAlign w:val="center"/>
          </w:tcPr>
          <w:p w14:paraId="790C87E8">
            <w:pPr>
              <w:pStyle w:val="110"/>
              <w:widowControl w:val="0"/>
              <w:adjustRightInd w:val="0"/>
              <w:snapToGrid w:val="0"/>
              <w:jc w:val="left"/>
              <w:rPr>
                <w:rFonts w:hAnsi="宋体" w:cs="宋体"/>
                <w:szCs w:val="18"/>
              </w:rPr>
            </w:pPr>
            <w:r>
              <w:rPr>
                <w:rFonts w:hint="eastAsia" w:hAnsi="宋体" w:cs="宋体"/>
                <w:szCs w:val="18"/>
              </w:rPr>
              <w:t>压力管道检验员：省级特种设备安全监管部门</w:t>
            </w:r>
          </w:p>
          <w:p w14:paraId="7B56D13C">
            <w:pPr>
              <w:pStyle w:val="110"/>
              <w:widowControl w:val="0"/>
              <w:adjustRightInd w:val="0"/>
              <w:snapToGrid w:val="0"/>
              <w:jc w:val="left"/>
              <w:rPr>
                <w:rFonts w:hAnsi="宋体" w:cs="宋体"/>
                <w:szCs w:val="18"/>
              </w:rPr>
            </w:pPr>
            <w:r>
              <w:rPr>
                <w:rFonts w:hint="eastAsia" w:hAnsi="宋体" w:cs="宋体"/>
                <w:szCs w:val="18"/>
              </w:rPr>
              <w:t>压力管道检验师：国家市场监督管理总局</w:t>
            </w:r>
          </w:p>
        </w:tc>
      </w:tr>
      <w:tr w14:paraId="6D1F4EFF">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59" w:type="pct"/>
            <w:vMerge w:val="restart"/>
            <w:tcBorders>
              <w:tl2br w:val="nil"/>
              <w:tr2bl w:val="nil"/>
            </w:tcBorders>
            <w:vAlign w:val="center"/>
          </w:tcPr>
          <w:p w14:paraId="794FA7D8">
            <w:pPr>
              <w:pStyle w:val="110"/>
              <w:widowControl w:val="0"/>
              <w:adjustRightInd w:val="0"/>
              <w:snapToGrid w:val="0"/>
              <w:rPr>
                <w:rFonts w:hAnsi="宋体" w:cs="宋体"/>
                <w:spacing w:val="-2"/>
                <w:szCs w:val="18"/>
              </w:rPr>
            </w:pPr>
            <w:r>
              <w:rPr>
                <w:rFonts w:hint="eastAsia" w:hAnsi="宋体" w:cs="宋体"/>
                <w:spacing w:val="-2"/>
                <w:szCs w:val="18"/>
              </w:rPr>
              <w:t>海上锅炉和压力容器</w:t>
            </w:r>
          </w:p>
        </w:tc>
        <w:tc>
          <w:tcPr>
            <w:tcW w:w="536" w:type="pct"/>
            <w:tcBorders>
              <w:tl2br w:val="nil"/>
              <w:tr2bl w:val="nil"/>
            </w:tcBorders>
            <w:vAlign w:val="center"/>
          </w:tcPr>
          <w:p w14:paraId="22ED1986">
            <w:pPr>
              <w:pStyle w:val="110"/>
              <w:widowControl w:val="0"/>
              <w:adjustRightInd w:val="0"/>
              <w:snapToGrid w:val="0"/>
              <w:ind w:left="181" w:leftChars="86"/>
              <w:rPr>
                <w:rFonts w:hAnsi="宋体" w:cs="宋体"/>
                <w:szCs w:val="18"/>
              </w:rPr>
            </w:pPr>
            <w:r>
              <w:rPr>
                <w:rFonts w:hint="eastAsia" w:hAnsi="宋体" w:cs="宋体"/>
                <w:szCs w:val="18"/>
              </w:rPr>
              <w:t>海上锅炉</w:t>
            </w:r>
          </w:p>
        </w:tc>
        <w:tc>
          <w:tcPr>
            <w:tcW w:w="666" w:type="pct"/>
            <w:tcBorders>
              <w:tl2br w:val="nil"/>
              <w:tr2bl w:val="nil"/>
            </w:tcBorders>
            <w:vAlign w:val="center"/>
          </w:tcPr>
          <w:p w14:paraId="71728C53">
            <w:pPr>
              <w:pStyle w:val="110"/>
              <w:widowControl w:val="0"/>
              <w:adjustRightInd w:val="0"/>
              <w:snapToGrid w:val="0"/>
              <w:ind w:left="181" w:leftChars="86"/>
              <w:rPr>
                <w:rFonts w:hAnsi="宋体" w:cs="宋体"/>
                <w:szCs w:val="18"/>
              </w:rPr>
            </w:pPr>
            <w:r>
              <w:rPr>
                <w:rFonts w:hint="eastAsia" w:hAnsi="宋体" w:cs="宋体"/>
                <w:szCs w:val="18"/>
              </w:rPr>
              <w:t>海上锅炉检验人员</w:t>
            </w:r>
          </w:p>
        </w:tc>
        <w:tc>
          <w:tcPr>
            <w:tcW w:w="1664" w:type="pct"/>
            <w:tcBorders>
              <w:tl2br w:val="nil"/>
              <w:tr2bl w:val="nil"/>
            </w:tcBorders>
            <w:vAlign w:val="center"/>
          </w:tcPr>
          <w:p w14:paraId="1FFC7323">
            <w:pPr>
              <w:pStyle w:val="99"/>
              <w:widowControl/>
              <w:autoSpaceDE w:val="0"/>
              <w:autoSpaceDN w:val="0"/>
              <w:adjustRightInd w:val="0"/>
              <w:snapToGrid w:val="0"/>
              <w:ind w:right="103" w:rightChars="49" w:firstLine="0" w:firstLineChars="0"/>
              <w:jc w:val="left"/>
              <w:textAlignment w:val="baseline"/>
              <w:rPr>
                <w:rFonts w:eastAsia="宋体"/>
                <w:kern w:val="0"/>
                <w:sz w:val="18"/>
                <w:szCs w:val="18"/>
              </w:rPr>
            </w:pPr>
            <w:r>
              <w:rPr>
                <w:rFonts w:hint="eastAsia" w:eastAsia="宋体"/>
                <w:kern w:val="0"/>
                <w:sz w:val="18"/>
                <w:szCs w:val="18"/>
              </w:rPr>
              <w:t>特种设备检验检测人员证（检验人员）：锅炉检验员/锅炉检验师</w:t>
            </w:r>
          </w:p>
        </w:tc>
        <w:tc>
          <w:tcPr>
            <w:tcW w:w="1672" w:type="pct"/>
            <w:tcBorders>
              <w:tl2br w:val="nil"/>
              <w:tr2bl w:val="nil"/>
            </w:tcBorders>
            <w:vAlign w:val="center"/>
          </w:tcPr>
          <w:p w14:paraId="7BFEB69C">
            <w:pPr>
              <w:pStyle w:val="110"/>
              <w:widowControl w:val="0"/>
              <w:adjustRightInd w:val="0"/>
              <w:snapToGrid w:val="0"/>
              <w:jc w:val="left"/>
              <w:rPr>
                <w:rFonts w:hAnsi="宋体" w:cs="宋体"/>
                <w:szCs w:val="18"/>
              </w:rPr>
            </w:pPr>
            <w:r>
              <w:rPr>
                <w:rFonts w:hint="eastAsia" w:hAnsi="宋体" w:cs="宋体"/>
                <w:szCs w:val="18"/>
              </w:rPr>
              <w:t>锅炉检验员：省级特种设备安全监管部门</w:t>
            </w:r>
          </w:p>
          <w:p w14:paraId="1F7CA1CC">
            <w:pPr>
              <w:pStyle w:val="110"/>
              <w:widowControl w:val="0"/>
              <w:adjustRightInd w:val="0"/>
              <w:snapToGrid w:val="0"/>
              <w:jc w:val="left"/>
              <w:rPr>
                <w:rFonts w:hAnsi="宋体" w:cs="宋体"/>
                <w:szCs w:val="18"/>
              </w:rPr>
            </w:pPr>
            <w:r>
              <w:rPr>
                <w:rFonts w:hint="eastAsia" w:hAnsi="宋体" w:cs="宋体"/>
                <w:szCs w:val="18"/>
              </w:rPr>
              <w:t>锅炉检验师：国家市场监督管理总局</w:t>
            </w:r>
          </w:p>
        </w:tc>
      </w:tr>
      <w:tr w14:paraId="3CDF4845">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jc w:val="center"/>
        </w:trPr>
        <w:tc>
          <w:tcPr>
            <w:tcW w:w="459" w:type="pct"/>
            <w:vMerge w:val="continue"/>
            <w:tcBorders>
              <w:tl2br w:val="nil"/>
              <w:tr2bl w:val="nil"/>
            </w:tcBorders>
            <w:vAlign w:val="center"/>
          </w:tcPr>
          <w:p w14:paraId="6DE294CB">
            <w:pPr>
              <w:jc w:val="center"/>
              <w:rPr>
                <w:rFonts w:ascii="宋体" w:hAnsi="宋体" w:eastAsia="宋体" w:cs="宋体"/>
                <w:kern w:val="0"/>
                <w:sz w:val="18"/>
                <w:szCs w:val="18"/>
              </w:rPr>
            </w:pPr>
          </w:p>
        </w:tc>
        <w:tc>
          <w:tcPr>
            <w:tcW w:w="536" w:type="pct"/>
            <w:tcBorders>
              <w:tl2br w:val="nil"/>
              <w:tr2bl w:val="nil"/>
            </w:tcBorders>
            <w:vAlign w:val="center"/>
          </w:tcPr>
          <w:p w14:paraId="6AA24777">
            <w:pPr>
              <w:pStyle w:val="110"/>
              <w:widowControl w:val="0"/>
              <w:adjustRightInd w:val="0"/>
              <w:snapToGrid w:val="0"/>
              <w:rPr>
                <w:rFonts w:hAnsi="宋体" w:cs="宋体"/>
                <w:spacing w:val="-4"/>
                <w:szCs w:val="18"/>
              </w:rPr>
            </w:pPr>
            <w:r>
              <w:rPr>
                <w:rFonts w:hint="eastAsia" w:hAnsi="宋体" w:cs="宋体"/>
                <w:spacing w:val="-4"/>
                <w:szCs w:val="18"/>
              </w:rPr>
              <w:t>海上压力容器</w:t>
            </w:r>
          </w:p>
        </w:tc>
        <w:tc>
          <w:tcPr>
            <w:tcW w:w="666" w:type="pct"/>
            <w:tcBorders>
              <w:tl2br w:val="nil"/>
              <w:tr2bl w:val="nil"/>
            </w:tcBorders>
            <w:vAlign w:val="center"/>
          </w:tcPr>
          <w:p w14:paraId="1BB818F3">
            <w:pPr>
              <w:pStyle w:val="110"/>
              <w:widowControl w:val="0"/>
              <w:adjustRightInd w:val="0"/>
              <w:snapToGrid w:val="0"/>
              <w:rPr>
                <w:rFonts w:hAnsi="宋体" w:cs="宋体"/>
                <w:spacing w:val="-4"/>
                <w:szCs w:val="18"/>
              </w:rPr>
            </w:pPr>
            <w:r>
              <w:rPr>
                <w:rFonts w:hint="eastAsia" w:hAnsi="宋体" w:cs="宋体"/>
                <w:spacing w:val="-4"/>
                <w:szCs w:val="18"/>
              </w:rPr>
              <w:t>海上压力容器</w:t>
            </w:r>
            <w:r>
              <w:rPr>
                <w:rFonts w:hint="eastAsia" w:hAnsi="宋体" w:cs="宋体"/>
                <w:szCs w:val="18"/>
              </w:rPr>
              <w:t>检验人员</w:t>
            </w:r>
          </w:p>
        </w:tc>
        <w:tc>
          <w:tcPr>
            <w:tcW w:w="1664" w:type="pct"/>
            <w:tcBorders>
              <w:tl2br w:val="nil"/>
              <w:tr2bl w:val="nil"/>
            </w:tcBorders>
            <w:vAlign w:val="center"/>
          </w:tcPr>
          <w:p w14:paraId="61C8A110">
            <w:pPr>
              <w:widowControl/>
              <w:autoSpaceDE w:val="0"/>
              <w:autoSpaceDN w:val="0"/>
              <w:adjustRightInd w:val="0"/>
              <w:snapToGrid w:val="0"/>
              <w:ind w:right="103" w:rightChars="49"/>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特种设备检验检测人员证（检验人员）：压力容器检验员/压力容器检验师</w:t>
            </w:r>
          </w:p>
        </w:tc>
        <w:tc>
          <w:tcPr>
            <w:tcW w:w="1672" w:type="pct"/>
            <w:tcBorders>
              <w:tl2br w:val="nil"/>
              <w:tr2bl w:val="nil"/>
            </w:tcBorders>
            <w:vAlign w:val="center"/>
          </w:tcPr>
          <w:p w14:paraId="51B3A3A6">
            <w:pPr>
              <w:pStyle w:val="110"/>
              <w:widowControl w:val="0"/>
              <w:adjustRightInd w:val="0"/>
              <w:snapToGrid w:val="0"/>
              <w:jc w:val="left"/>
              <w:rPr>
                <w:rFonts w:hAnsi="宋体" w:cs="宋体"/>
                <w:szCs w:val="18"/>
              </w:rPr>
            </w:pPr>
            <w:r>
              <w:rPr>
                <w:rFonts w:hint="eastAsia" w:hAnsi="宋体" w:cs="宋体"/>
                <w:szCs w:val="18"/>
              </w:rPr>
              <w:t>压力容器检验员：省级特种设备安全监管部门</w:t>
            </w:r>
          </w:p>
          <w:p w14:paraId="45E21A08">
            <w:pPr>
              <w:pStyle w:val="110"/>
              <w:widowControl w:val="0"/>
              <w:adjustRightInd w:val="0"/>
              <w:snapToGrid w:val="0"/>
              <w:jc w:val="left"/>
              <w:rPr>
                <w:rFonts w:hAnsi="宋体" w:cs="宋体"/>
                <w:szCs w:val="18"/>
              </w:rPr>
            </w:pPr>
            <w:r>
              <w:rPr>
                <w:rFonts w:hint="eastAsia" w:hAnsi="宋体" w:cs="宋体"/>
                <w:szCs w:val="18"/>
              </w:rPr>
              <w:t>压力容器检验师：国家市场监督管理总局</w:t>
            </w:r>
          </w:p>
        </w:tc>
      </w:tr>
      <w:tr w14:paraId="2C13C2A1">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jc w:val="center"/>
        </w:trPr>
        <w:tc>
          <w:tcPr>
            <w:tcW w:w="459" w:type="pct"/>
            <w:vMerge w:val="continue"/>
            <w:tcBorders>
              <w:tl2br w:val="nil"/>
              <w:tr2bl w:val="nil"/>
            </w:tcBorders>
            <w:vAlign w:val="center"/>
          </w:tcPr>
          <w:p w14:paraId="735F5F07">
            <w:pPr>
              <w:jc w:val="center"/>
              <w:rPr>
                <w:rFonts w:ascii="宋体" w:hAnsi="宋体" w:eastAsia="宋体" w:cs="宋体"/>
                <w:kern w:val="0"/>
                <w:sz w:val="18"/>
                <w:szCs w:val="18"/>
              </w:rPr>
            </w:pPr>
          </w:p>
        </w:tc>
        <w:tc>
          <w:tcPr>
            <w:tcW w:w="536" w:type="pct"/>
            <w:tcBorders>
              <w:tl2br w:val="nil"/>
              <w:tr2bl w:val="nil"/>
            </w:tcBorders>
            <w:vAlign w:val="center"/>
          </w:tcPr>
          <w:p w14:paraId="6DCA3AF8">
            <w:pPr>
              <w:pStyle w:val="110"/>
              <w:widowControl w:val="0"/>
              <w:adjustRightInd w:val="0"/>
              <w:snapToGrid w:val="0"/>
              <w:ind w:left="181" w:leftChars="86"/>
              <w:rPr>
                <w:rFonts w:hAnsi="宋体" w:cs="宋体"/>
                <w:szCs w:val="18"/>
              </w:rPr>
            </w:pPr>
            <w:r>
              <w:rPr>
                <w:rFonts w:hint="eastAsia" w:hAnsi="宋体" w:cs="宋体"/>
                <w:szCs w:val="18"/>
              </w:rPr>
              <w:t>海上压力管道</w:t>
            </w:r>
          </w:p>
        </w:tc>
        <w:tc>
          <w:tcPr>
            <w:tcW w:w="666" w:type="pct"/>
            <w:tcBorders>
              <w:tl2br w:val="nil"/>
              <w:tr2bl w:val="nil"/>
            </w:tcBorders>
            <w:vAlign w:val="center"/>
          </w:tcPr>
          <w:p w14:paraId="26462656">
            <w:pPr>
              <w:pStyle w:val="110"/>
              <w:widowControl w:val="0"/>
              <w:adjustRightInd w:val="0"/>
              <w:snapToGrid w:val="0"/>
              <w:ind w:left="181" w:leftChars="86"/>
              <w:rPr>
                <w:rFonts w:hAnsi="宋体" w:cs="宋体"/>
                <w:szCs w:val="18"/>
              </w:rPr>
            </w:pPr>
            <w:r>
              <w:rPr>
                <w:rFonts w:hint="eastAsia" w:hAnsi="宋体" w:cs="宋体"/>
                <w:szCs w:val="18"/>
              </w:rPr>
              <w:t>海上压力管道检验</w:t>
            </w:r>
          </w:p>
          <w:p w14:paraId="545A3935">
            <w:pPr>
              <w:pStyle w:val="110"/>
              <w:widowControl w:val="0"/>
              <w:adjustRightInd w:val="0"/>
              <w:snapToGrid w:val="0"/>
              <w:ind w:left="181" w:leftChars="86"/>
              <w:rPr>
                <w:rFonts w:hAnsi="宋体" w:cs="宋体"/>
                <w:szCs w:val="18"/>
              </w:rPr>
            </w:pPr>
            <w:r>
              <w:rPr>
                <w:rFonts w:hint="eastAsia" w:hAnsi="宋体" w:cs="宋体"/>
                <w:szCs w:val="18"/>
              </w:rPr>
              <w:t>人员</w:t>
            </w:r>
          </w:p>
        </w:tc>
        <w:tc>
          <w:tcPr>
            <w:tcW w:w="1664" w:type="pct"/>
            <w:tcBorders>
              <w:tl2br w:val="nil"/>
              <w:tr2bl w:val="nil"/>
            </w:tcBorders>
            <w:vAlign w:val="center"/>
          </w:tcPr>
          <w:p w14:paraId="0EBE5998">
            <w:pPr>
              <w:widowControl/>
              <w:autoSpaceDE w:val="0"/>
              <w:autoSpaceDN w:val="0"/>
              <w:adjustRightInd w:val="0"/>
              <w:snapToGrid w:val="0"/>
              <w:ind w:right="103" w:rightChars="49"/>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特种设备检验检测人员证（检验人员）：压力管道检验员/压力管道检验师</w:t>
            </w:r>
          </w:p>
        </w:tc>
        <w:tc>
          <w:tcPr>
            <w:tcW w:w="1672" w:type="pct"/>
            <w:tcBorders>
              <w:tl2br w:val="nil"/>
              <w:tr2bl w:val="nil"/>
            </w:tcBorders>
            <w:vAlign w:val="center"/>
          </w:tcPr>
          <w:p w14:paraId="47550678">
            <w:pPr>
              <w:pStyle w:val="110"/>
              <w:widowControl w:val="0"/>
              <w:adjustRightInd w:val="0"/>
              <w:snapToGrid w:val="0"/>
              <w:jc w:val="left"/>
              <w:rPr>
                <w:rFonts w:hAnsi="宋体" w:cs="宋体"/>
                <w:szCs w:val="18"/>
              </w:rPr>
            </w:pPr>
            <w:r>
              <w:rPr>
                <w:rFonts w:hint="eastAsia" w:hAnsi="宋体" w:cs="宋体"/>
                <w:szCs w:val="18"/>
              </w:rPr>
              <w:t>压力管道检验员：省级特种设备安全监管部门</w:t>
            </w:r>
          </w:p>
          <w:p w14:paraId="3C26210B">
            <w:pPr>
              <w:pStyle w:val="110"/>
              <w:widowControl w:val="0"/>
              <w:adjustRightInd w:val="0"/>
              <w:snapToGrid w:val="0"/>
              <w:jc w:val="left"/>
              <w:rPr>
                <w:rFonts w:hAnsi="宋体" w:cs="宋体"/>
                <w:szCs w:val="18"/>
              </w:rPr>
            </w:pPr>
            <w:r>
              <w:rPr>
                <w:rFonts w:hint="eastAsia" w:hAnsi="宋体" w:cs="宋体"/>
                <w:szCs w:val="18"/>
              </w:rPr>
              <w:t>压力管道检验师：国家市场监督管理总局</w:t>
            </w:r>
          </w:p>
        </w:tc>
      </w:tr>
      <w:tr w14:paraId="5414DFA5">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jc w:val="center"/>
        </w:trPr>
        <w:tc>
          <w:tcPr>
            <w:tcW w:w="459" w:type="pct"/>
            <w:vMerge w:val="restart"/>
            <w:tcBorders>
              <w:tl2br w:val="nil"/>
              <w:tr2bl w:val="nil"/>
            </w:tcBorders>
            <w:vAlign w:val="center"/>
          </w:tcPr>
          <w:p w14:paraId="3E096B23">
            <w:pPr>
              <w:pStyle w:val="110"/>
              <w:widowControl w:val="0"/>
              <w:adjustRightInd w:val="0"/>
              <w:snapToGrid w:val="0"/>
              <w:rPr>
                <w:rFonts w:hAnsi="宋体" w:cs="宋体"/>
                <w:szCs w:val="18"/>
              </w:rPr>
            </w:pPr>
            <w:r>
              <w:rPr>
                <w:rFonts w:hint="eastAsia" w:hAnsi="宋体" w:cs="宋体"/>
                <w:szCs w:val="18"/>
              </w:rPr>
              <w:t>钻井和修井设备</w:t>
            </w:r>
          </w:p>
        </w:tc>
        <w:tc>
          <w:tcPr>
            <w:tcW w:w="536" w:type="pct"/>
            <w:tcBorders>
              <w:bottom w:val="single" w:color="auto" w:sz="4" w:space="0"/>
              <w:tl2br w:val="nil"/>
              <w:tr2bl w:val="nil"/>
            </w:tcBorders>
            <w:vAlign w:val="center"/>
          </w:tcPr>
          <w:p w14:paraId="4740D291">
            <w:pPr>
              <w:pStyle w:val="110"/>
              <w:widowControl w:val="0"/>
              <w:adjustRightInd w:val="0"/>
              <w:snapToGrid w:val="0"/>
              <w:ind w:left="181" w:leftChars="86"/>
              <w:rPr>
                <w:rFonts w:hAnsi="宋体" w:cs="宋体"/>
                <w:szCs w:val="18"/>
              </w:rPr>
            </w:pPr>
            <w:r>
              <w:rPr>
                <w:rFonts w:hint="eastAsia" w:hAnsi="宋体" w:cs="宋体"/>
                <w:szCs w:val="18"/>
              </w:rPr>
              <w:t>钻机</w:t>
            </w:r>
          </w:p>
        </w:tc>
        <w:tc>
          <w:tcPr>
            <w:tcW w:w="666" w:type="pct"/>
            <w:tcBorders>
              <w:tl2br w:val="nil"/>
              <w:tr2bl w:val="nil"/>
            </w:tcBorders>
            <w:vAlign w:val="center"/>
          </w:tcPr>
          <w:p w14:paraId="71C631DF">
            <w:pPr>
              <w:pStyle w:val="110"/>
              <w:widowControl w:val="0"/>
              <w:adjustRightInd w:val="0"/>
              <w:snapToGrid w:val="0"/>
              <w:ind w:left="181" w:leftChars="86"/>
              <w:rPr>
                <w:rFonts w:hAnsi="宋体" w:cs="宋体"/>
                <w:szCs w:val="18"/>
              </w:rPr>
            </w:pPr>
            <w:r>
              <w:rPr>
                <w:rFonts w:hint="eastAsia" w:hAnsi="宋体" w:cs="宋体"/>
                <w:szCs w:val="18"/>
              </w:rPr>
              <w:t>钻修井机检验人员</w:t>
            </w:r>
          </w:p>
        </w:tc>
        <w:tc>
          <w:tcPr>
            <w:tcW w:w="1664" w:type="pct"/>
            <w:tcBorders>
              <w:tl2br w:val="nil"/>
              <w:tr2bl w:val="nil"/>
            </w:tcBorders>
            <w:shd w:val="clear" w:color="auto" w:fill="auto"/>
            <w:vAlign w:val="center"/>
          </w:tcPr>
          <w:p w14:paraId="2944A423">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特种设备检验检测人员证（检验人员）：起重机械检验员/起重机械检验师</w:t>
            </w:r>
          </w:p>
        </w:tc>
        <w:tc>
          <w:tcPr>
            <w:tcW w:w="1672" w:type="pct"/>
            <w:tcBorders>
              <w:tl2br w:val="nil"/>
              <w:tr2bl w:val="nil"/>
            </w:tcBorders>
            <w:shd w:val="clear" w:color="auto" w:fill="auto"/>
            <w:vAlign w:val="center"/>
          </w:tcPr>
          <w:p w14:paraId="24E187BD">
            <w:pPr>
              <w:pStyle w:val="110"/>
              <w:widowControl w:val="0"/>
              <w:adjustRightInd w:val="0"/>
              <w:snapToGrid w:val="0"/>
              <w:jc w:val="left"/>
              <w:rPr>
                <w:rFonts w:hAnsi="宋体" w:cs="宋体"/>
                <w:szCs w:val="18"/>
              </w:rPr>
            </w:pPr>
            <w:r>
              <w:rPr>
                <w:rFonts w:hint="eastAsia" w:hAnsi="宋体" w:cs="宋体"/>
                <w:szCs w:val="18"/>
              </w:rPr>
              <w:t>起重机械检验员：省级特种设备安全监管部门</w:t>
            </w:r>
          </w:p>
          <w:p w14:paraId="5293DC94">
            <w:pPr>
              <w:pStyle w:val="110"/>
              <w:widowControl w:val="0"/>
              <w:adjustRightInd w:val="0"/>
              <w:snapToGrid w:val="0"/>
              <w:jc w:val="left"/>
              <w:rPr>
                <w:rFonts w:hAnsi="宋体" w:cs="宋体"/>
                <w:szCs w:val="18"/>
              </w:rPr>
            </w:pPr>
            <w:r>
              <w:rPr>
                <w:rFonts w:hint="eastAsia" w:hAnsi="宋体" w:cs="宋体"/>
                <w:szCs w:val="18"/>
              </w:rPr>
              <w:t>起重机械检验师：国家市场监督管理总局</w:t>
            </w:r>
          </w:p>
        </w:tc>
      </w:tr>
      <w:tr w14:paraId="23691279">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539" w:hRule="atLeast"/>
          <w:jc w:val="center"/>
        </w:trPr>
        <w:tc>
          <w:tcPr>
            <w:tcW w:w="459" w:type="pct"/>
            <w:vMerge w:val="continue"/>
            <w:tcBorders>
              <w:bottom w:val="single" w:color="auto" w:sz="8" w:space="0"/>
              <w:tl2br w:val="nil"/>
              <w:tr2bl w:val="nil"/>
            </w:tcBorders>
            <w:vAlign w:val="center"/>
          </w:tcPr>
          <w:p w14:paraId="5F5757D9">
            <w:pPr>
              <w:pStyle w:val="110"/>
              <w:widowControl w:val="0"/>
              <w:adjustRightInd w:val="0"/>
              <w:snapToGrid w:val="0"/>
              <w:rPr>
                <w:rFonts w:hAnsi="宋体" w:cs="宋体"/>
                <w:szCs w:val="18"/>
              </w:rPr>
            </w:pPr>
          </w:p>
        </w:tc>
        <w:tc>
          <w:tcPr>
            <w:tcW w:w="536" w:type="pct"/>
            <w:tcBorders>
              <w:tl2br w:val="nil"/>
              <w:tr2bl w:val="nil"/>
            </w:tcBorders>
            <w:shd w:val="clear" w:color="auto" w:fill="auto"/>
            <w:vAlign w:val="center"/>
          </w:tcPr>
          <w:p w14:paraId="54C728EC">
            <w:pPr>
              <w:pStyle w:val="110"/>
              <w:widowControl w:val="0"/>
              <w:adjustRightInd w:val="0"/>
              <w:snapToGrid w:val="0"/>
              <w:ind w:left="181" w:leftChars="86"/>
              <w:rPr>
                <w:rFonts w:hAnsi="宋体"/>
                <w:szCs w:val="18"/>
              </w:rPr>
            </w:pPr>
            <w:r>
              <w:rPr>
                <w:rFonts w:hint="eastAsia" w:hAnsi="宋体"/>
                <w:szCs w:val="18"/>
              </w:rPr>
              <w:t>修井机</w:t>
            </w:r>
          </w:p>
        </w:tc>
        <w:tc>
          <w:tcPr>
            <w:tcW w:w="666" w:type="pct"/>
            <w:tcBorders>
              <w:tl2br w:val="nil"/>
              <w:tr2bl w:val="nil"/>
            </w:tcBorders>
            <w:shd w:val="clear" w:color="auto" w:fill="auto"/>
            <w:vAlign w:val="center"/>
          </w:tcPr>
          <w:p w14:paraId="4AD23056">
            <w:pPr>
              <w:pStyle w:val="110"/>
              <w:widowControl w:val="0"/>
              <w:adjustRightInd w:val="0"/>
              <w:snapToGrid w:val="0"/>
              <w:ind w:left="181" w:leftChars="86"/>
              <w:rPr>
                <w:rFonts w:hAnsi="宋体"/>
                <w:szCs w:val="18"/>
              </w:rPr>
            </w:pPr>
            <w:r>
              <w:rPr>
                <w:rFonts w:hint="eastAsia" w:hAnsi="宋体"/>
                <w:szCs w:val="18"/>
              </w:rPr>
              <w:t>钻修井机检验人员</w:t>
            </w:r>
          </w:p>
        </w:tc>
        <w:tc>
          <w:tcPr>
            <w:tcW w:w="1664" w:type="pct"/>
            <w:tcBorders>
              <w:tl2br w:val="nil"/>
              <w:tr2bl w:val="nil"/>
            </w:tcBorders>
            <w:shd w:val="clear" w:color="auto" w:fill="auto"/>
            <w:vAlign w:val="center"/>
          </w:tcPr>
          <w:p w14:paraId="179BD7A7">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特种设备检验检测人员证（检验人员）：起重机械检验员/起重机械检验师</w:t>
            </w:r>
          </w:p>
        </w:tc>
        <w:tc>
          <w:tcPr>
            <w:tcW w:w="1672" w:type="pct"/>
            <w:tcBorders>
              <w:tl2br w:val="nil"/>
              <w:tr2bl w:val="nil"/>
            </w:tcBorders>
            <w:shd w:val="clear" w:color="auto" w:fill="auto"/>
            <w:vAlign w:val="center"/>
          </w:tcPr>
          <w:p w14:paraId="3E40E59A">
            <w:pPr>
              <w:pStyle w:val="110"/>
              <w:widowControl w:val="0"/>
              <w:adjustRightInd w:val="0"/>
              <w:snapToGrid w:val="0"/>
              <w:jc w:val="both"/>
              <w:rPr>
                <w:rFonts w:hAnsi="宋体" w:cs="宋体"/>
                <w:szCs w:val="18"/>
              </w:rPr>
            </w:pPr>
            <w:r>
              <w:rPr>
                <w:rFonts w:hint="eastAsia" w:hAnsi="宋体" w:cs="宋体"/>
                <w:szCs w:val="18"/>
              </w:rPr>
              <w:t>起重机械检验员：省级特种设备安全监管部门</w:t>
            </w:r>
          </w:p>
          <w:p w14:paraId="7042ED42">
            <w:pPr>
              <w:pStyle w:val="110"/>
              <w:widowControl w:val="0"/>
              <w:adjustRightInd w:val="0"/>
              <w:snapToGrid w:val="0"/>
              <w:jc w:val="both"/>
              <w:rPr>
                <w:rFonts w:hAnsi="宋体" w:cs="宋体"/>
                <w:szCs w:val="18"/>
              </w:rPr>
            </w:pPr>
            <w:r>
              <w:rPr>
                <w:rFonts w:hint="eastAsia" w:hAnsi="宋体" w:cs="宋体"/>
                <w:szCs w:val="18"/>
              </w:rPr>
              <w:t>起重机械检验师：国家市场监督管理总局</w:t>
            </w:r>
          </w:p>
        </w:tc>
      </w:tr>
      <w:tr w14:paraId="119602E0">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459" w:type="pct"/>
            <w:vMerge w:val="continue"/>
            <w:tcBorders>
              <w:bottom w:val="single" w:color="auto" w:sz="8" w:space="0"/>
              <w:tl2br w:val="nil"/>
              <w:tr2bl w:val="nil"/>
            </w:tcBorders>
            <w:vAlign w:val="center"/>
          </w:tcPr>
          <w:p w14:paraId="20676033">
            <w:pPr>
              <w:pStyle w:val="110"/>
              <w:widowControl w:val="0"/>
              <w:adjustRightInd w:val="0"/>
              <w:snapToGrid w:val="0"/>
              <w:rPr>
                <w:rFonts w:hAnsi="宋体" w:cs="宋体"/>
                <w:szCs w:val="18"/>
              </w:rPr>
            </w:pPr>
          </w:p>
        </w:tc>
        <w:tc>
          <w:tcPr>
            <w:tcW w:w="536" w:type="pct"/>
            <w:tcBorders>
              <w:tl2br w:val="nil"/>
              <w:tr2bl w:val="nil"/>
            </w:tcBorders>
            <w:shd w:val="clear" w:color="auto" w:fill="auto"/>
            <w:vAlign w:val="center"/>
          </w:tcPr>
          <w:p w14:paraId="4E16F271">
            <w:pPr>
              <w:pStyle w:val="110"/>
              <w:widowControl w:val="0"/>
              <w:adjustRightInd w:val="0"/>
              <w:snapToGrid w:val="0"/>
              <w:ind w:left="181" w:leftChars="86"/>
              <w:rPr>
                <w:rFonts w:hAnsi="宋体"/>
                <w:szCs w:val="18"/>
              </w:rPr>
            </w:pPr>
            <w:r>
              <w:rPr>
                <w:rFonts w:hint="eastAsia" w:hAnsi="宋体"/>
                <w:szCs w:val="18"/>
              </w:rPr>
              <w:t>井控系统</w:t>
            </w:r>
          </w:p>
        </w:tc>
        <w:tc>
          <w:tcPr>
            <w:tcW w:w="666" w:type="pct"/>
            <w:tcBorders>
              <w:tl2br w:val="nil"/>
              <w:tr2bl w:val="nil"/>
            </w:tcBorders>
            <w:shd w:val="clear" w:color="auto" w:fill="auto"/>
            <w:vAlign w:val="center"/>
          </w:tcPr>
          <w:p w14:paraId="763011CE">
            <w:pPr>
              <w:pStyle w:val="110"/>
              <w:widowControl w:val="0"/>
              <w:adjustRightInd w:val="0"/>
              <w:snapToGrid w:val="0"/>
              <w:rPr>
                <w:rFonts w:hAnsi="宋体"/>
                <w:szCs w:val="18"/>
              </w:rPr>
            </w:pPr>
            <w:r>
              <w:rPr>
                <w:rFonts w:hint="eastAsia" w:hAnsi="宋体"/>
                <w:szCs w:val="18"/>
              </w:rPr>
              <w:t>井控系统检验人员</w:t>
            </w:r>
          </w:p>
        </w:tc>
        <w:tc>
          <w:tcPr>
            <w:tcW w:w="1664" w:type="pct"/>
            <w:tcBorders>
              <w:tl2br w:val="nil"/>
              <w:tr2bl w:val="nil"/>
            </w:tcBorders>
            <w:shd w:val="clear" w:color="auto" w:fill="auto"/>
            <w:vAlign w:val="center"/>
          </w:tcPr>
          <w:p w14:paraId="38639FB0">
            <w:pPr>
              <w:widowControl/>
              <w:autoSpaceDE w:val="0"/>
              <w:autoSpaceDN w:val="0"/>
              <w:adjustRightInd w:val="0"/>
              <w:snapToGrid w:val="0"/>
              <w:ind w:right="103" w:rightChars="49"/>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特种设备检验检测人员证（检验人员）：压力容器检验员/压力容器检验师</w:t>
            </w:r>
          </w:p>
        </w:tc>
        <w:tc>
          <w:tcPr>
            <w:tcW w:w="1672" w:type="pct"/>
            <w:tcBorders>
              <w:tl2br w:val="nil"/>
              <w:tr2bl w:val="nil"/>
            </w:tcBorders>
            <w:shd w:val="clear" w:color="auto" w:fill="auto"/>
            <w:vAlign w:val="center"/>
          </w:tcPr>
          <w:p w14:paraId="56729FF8">
            <w:pPr>
              <w:pStyle w:val="110"/>
              <w:widowControl w:val="0"/>
              <w:adjustRightInd w:val="0"/>
              <w:snapToGrid w:val="0"/>
              <w:jc w:val="left"/>
              <w:rPr>
                <w:rFonts w:hAnsi="宋体" w:cs="宋体"/>
                <w:szCs w:val="18"/>
              </w:rPr>
            </w:pPr>
            <w:r>
              <w:rPr>
                <w:rFonts w:hint="eastAsia" w:hAnsi="宋体" w:cs="宋体"/>
                <w:szCs w:val="18"/>
              </w:rPr>
              <w:t>压力容器检验员：省级特种设备安全监管部门</w:t>
            </w:r>
          </w:p>
          <w:p w14:paraId="06082937">
            <w:pPr>
              <w:pStyle w:val="110"/>
              <w:widowControl w:val="0"/>
              <w:adjustRightInd w:val="0"/>
              <w:snapToGrid w:val="0"/>
              <w:jc w:val="left"/>
              <w:rPr>
                <w:rFonts w:hAnsi="宋体" w:cs="宋体"/>
                <w:szCs w:val="18"/>
              </w:rPr>
            </w:pPr>
            <w:r>
              <w:rPr>
                <w:rFonts w:hint="eastAsia" w:hAnsi="宋体" w:cs="宋体"/>
                <w:szCs w:val="18"/>
              </w:rPr>
              <w:t>压力容器检验师：国家市场监督管理总局</w:t>
            </w:r>
          </w:p>
        </w:tc>
      </w:tr>
    </w:tbl>
    <w:p w14:paraId="7BB8D677">
      <w:pPr>
        <w:pStyle w:val="108"/>
        <w:numPr>
          <w:ilvl w:val="1"/>
          <w:numId w:val="0"/>
        </w:numPr>
        <w:spacing w:before="120" w:after="120"/>
        <w:ind w:left="181" w:leftChars="86"/>
        <w:rPr>
          <w:rFonts w:ascii="宋体" w:hAnsi="宋体"/>
        </w:rPr>
      </w:pPr>
    </w:p>
    <w:p w14:paraId="5A026AFC">
      <w:pPr>
        <w:pStyle w:val="108"/>
        <w:numPr>
          <w:ilvl w:val="1"/>
          <w:numId w:val="0"/>
        </w:numPr>
        <w:spacing w:before="120" w:after="120"/>
        <w:ind w:left="181" w:leftChars="86"/>
        <w:rPr>
          <w:rFonts w:ascii="宋体" w:hAnsi="宋体"/>
        </w:rPr>
      </w:pPr>
    </w:p>
    <w:p w14:paraId="31CFA51A">
      <w:pPr>
        <w:pStyle w:val="108"/>
        <w:numPr>
          <w:ilvl w:val="1"/>
          <w:numId w:val="0"/>
        </w:numPr>
        <w:spacing w:before="120" w:after="120"/>
        <w:ind w:left="181" w:leftChars="86"/>
        <w:rPr>
          <w:rFonts w:ascii="宋体" w:hAnsi="宋体"/>
        </w:rPr>
      </w:pPr>
      <w:r>
        <w:rPr>
          <w:rFonts w:hint="eastAsia" w:ascii="宋体" w:hAnsi="宋体"/>
        </w:rPr>
        <w:t>表D.1专业设备检验人员取证要求</w:t>
      </w:r>
      <w:r>
        <w:rPr>
          <w:rFonts w:hint="eastAsia" w:ascii="宋体" w:hAnsi="宋体" w:eastAsia="宋体" w:cs="宋体"/>
        </w:rPr>
        <w:t>（续）</w:t>
      </w:r>
    </w:p>
    <w:tbl>
      <w:tblPr>
        <w:tblStyle w:val="26"/>
        <w:tblW w:w="5176" w:type="pct"/>
        <w:jc w:val="center"/>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Layout w:type="autofit"/>
        <w:tblCellMar>
          <w:top w:w="0" w:type="dxa"/>
          <w:left w:w="0" w:type="dxa"/>
          <w:bottom w:w="0" w:type="dxa"/>
          <w:right w:w="0" w:type="dxa"/>
        </w:tblCellMar>
      </w:tblPr>
      <w:tblGrid>
        <w:gridCol w:w="1279"/>
        <w:gridCol w:w="1540"/>
        <w:gridCol w:w="1913"/>
        <w:gridCol w:w="4808"/>
        <w:gridCol w:w="4742"/>
      </w:tblGrid>
      <w:tr w14:paraId="5EA7D651">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jc w:val="center"/>
        </w:trPr>
        <w:tc>
          <w:tcPr>
            <w:tcW w:w="1278" w:type="dxa"/>
            <w:tcBorders>
              <w:bottom w:val="single" w:color="000000" w:sz="8" w:space="0"/>
              <w:tl2br w:val="nil"/>
              <w:tr2bl w:val="nil"/>
            </w:tcBorders>
            <w:vAlign w:val="center"/>
          </w:tcPr>
          <w:p w14:paraId="1A69BBAE">
            <w:pPr>
              <w:pStyle w:val="110"/>
              <w:widowControl w:val="0"/>
              <w:rPr>
                <w:rFonts w:hAnsi="宋体" w:cs="宋体"/>
                <w:szCs w:val="18"/>
              </w:rPr>
            </w:pPr>
            <w:r>
              <w:rPr>
                <w:rFonts w:hint="eastAsia" w:hAnsi="宋体" w:cs="宋体"/>
                <w:szCs w:val="18"/>
              </w:rPr>
              <w:t>大类专业设备</w:t>
            </w:r>
          </w:p>
        </w:tc>
        <w:tc>
          <w:tcPr>
            <w:tcW w:w="1538" w:type="dxa"/>
            <w:tcBorders>
              <w:bottom w:val="single" w:color="000000" w:sz="8" w:space="0"/>
              <w:tl2br w:val="nil"/>
              <w:tr2bl w:val="nil"/>
            </w:tcBorders>
            <w:vAlign w:val="center"/>
          </w:tcPr>
          <w:p w14:paraId="6EDC2B9D">
            <w:pPr>
              <w:pStyle w:val="110"/>
              <w:widowControl w:val="0"/>
              <w:rPr>
                <w:rFonts w:hAnsi="宋体" w:cs="宋体"/>
                <w:szCs w:val="18"/>
              </w:rPr>
            </w:pPr>
            <w:r>
              <w:rPr>
                <w:rFonts w:hint="eastAsia" w:hAnsi="宋体" w:cs="宋体"/>
                <w:szCs w:val="18"/>
              </w:rPr>
              <w:t>中类专业设备</w:t>
            </w:r>
          </w:p>
        </w:tc>
        <w:tc>
          <w:tcPr>
            <w:tcW w:w="1910" w:type="dxa"/>
            <w:tcBorders>
              <w:bottom w:val="single" w:color="000000" w:sz="8" w:space="0"/>
              <w:tl2br w:val="nil"/>
              <w:tr2bl w:val="nil"/>
            </w:tcBorders>
            <w:vAlign w:val="center"/>
          </w:tcPr>
          <w:p w14:paraId="68B475D1">
            <w:pPr>
              <w:pStyle w:val="110"/>
              <w:widowControl w:val="0"/>
              <w:rPr>
                <w:rFonts w:hAnsi="宋体" w:cs="宋体"/>
                <w:szCs w:val="18"/>
              </w:rPr>
            </w:pPr>
            <w:r>
              <w:rPr>
                <w:rFonts w:hint="eastAsia" w:hAnsi="宋体" w:cs="宋体"/>
                <w:szCs w:val="18"/>
              </w:rPr>
              <w:t>专业设备检验人员</w:t>
            </w:r>
          </w:p>
        </w:tc>
        <w:tc>
          <w:tcPr>
            <w:tcW w:w="4801" w:type="dxa"/>
            <w:tcBorders>
              <w:bottom w:val="single" w:color="000000" w:sz="8" w:space="0"/>
              <w:tl2br w:val="nil"/>
              <w:tr2bl w:val="nil"/>
            </w:tcBorders>
            <w:shd w:val="clear" w:color="auto" w:fill="auto"/>
            <w:vAlign w:val="center"/>
          </w:tcPr>
          <w:p w14:paraId="25171998">
            <w:pPr>
              <w:pStyle w:val="110"/>
              <w:widowControl w:val="0"/>
              <w:rPr>
                <w:rFonts w:hAnsi="宋体" w:cs="宋体"/>
                <w:szCs w:val="18"/>
              </w:rPr>
            </w:pPr>
            <w:r>
              <w:rPr>
                <w:rFonts w:hint="eastAsia" w:hAnsi="宋体" w:cs="宋体"/>
                <w:szCs w:val="18"/>
              </w:rPr>
              <w:t>相关行业检验人员职业资格证书</w:t>
            </w:r>
            <w:r>
              <w:rPr>
                <w:rFonts w:hint="eastAsia" w:hAnsi="宋体"/>
              </w:rPr>
              <w:t>或能力认定证书</w:t>
            </w:r>
          </w:p>
        </w:tc>
        <w:tc>
          <w:tcPr>
            <w:tcW w:w="4735" w:type="dxa"/>
            <w:tcBorders>
              <w:bottom w:val="single" w:color="000000" w:sz="8" w:space="0"/>
              <w:tl2br w:val="nil"/>
              <w:tr2bl w:val="nil"/>
            </w:tcBorders>
            <w:shd w:val="clear" w:color="auto" w:fill="auto"/>
            <w:vAlign w:val="center"/>
          </w:tcPr>
          <w:p w14:paraId="30EF96A2">
            <w:pPr>
              <w:pStyle w:val="110"/>
              <w:widowControl w:val="0"/>
              <w:rPr>
                <w:rFonts w:hAnsi="宋体" w:cs="宋体"/>
                <w:szCs w:val="18"/>
              </w:rPr>
            </w:pPr>
            <w:r>
              <w:rPr>
                <w:rFonts w:hint="eastAsia" w:hAnsi="宋体" w:cs="宋体"/>
                <w:szCs w:val="18"/>
              </w:rPr>
              <w:t>发证单位</w:t>
            </w:r>
          </w:p>
        </w:tc>
      </w:tr>
      <w:tr w14:paraId="54ABEEDE">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490" w:hRule="atLeast"/>
          <w:jc w:val="center"/>
        </w:trPr>
        <w:tc>
          <w:tcPr>
            <w:tcW w:w="1278" w:type="dxa"/>
            <w:vMerge w:val="restart"/>
            <w:tcBorders>
              <w:tl2br w:val="nil"/>
              <w:tr2bl w:val="nil"/>
            </w:tcBorders>
            <w:vAlign w:val="center"/>
          </w:tcPr>
          <w:p w14:paraId="21B9F372">
            <w:pPr>
              <w:pStyle w:val="110"/>
              <w:widowControl w:val="0"/>
              <w:adjustRightInd w:val="0"/>
              <w:snapToGrid w:val="0"/>
              <w:rPr>
                <w:rFonts w:hAnsi="宋体" w:cs="宋体"/>
                <w:szCs w:val="18"/>
              </w:rPr>
            </w:pPr>
            <w:r>
              <w:rPr>
                <w:rFonts w:hint="eastAsia" w:hAnsi="宋体" w:cs="宋体"/>
                <w:szCs w:val="18"/>
              </w:rPr>
              <w:t>起重和升降设备</w:t>
            </w:r>
          </w:p>
        </w:tc>
        <w:tc>
          <w:tcPr>
            <w:tcW w:w="1538" w:type="dxa"/>
            <w:tcBorders>
              <w:tl2br w:val="nil"/>
              <w:tr2bl w:val="nil"/>
            </w:tcBorders>
            <w:shd w:val="clear" w:color="auto" w:fill="auto"/>
            <w:vAlign w:val="center"/>
          </w:tcPr>
          <w:p w14:paraId="4D9EE52C">
            <w:pPr>
              <w:pStyle w:val="110"/>
              <w:widowControl w:val="0"/>
              <w:adjustRightInd w:val="0"/>
              <w:snapToGrid w:val="0"/>
              <w:rPr>
                <w:rFonts w:hAnsi="宋体" w:cs="宋体"/>
                <w:szCs w:val="18"/>
              </w:rPr>
            </w:pPr>
            <w:r>
              <w:rPr>
                <w:rFonts w:hint="eastAsia" w:hAnsi="宋体" w:cs="宋体"/>
                <w:szCs w:val="18"/>
              </w:rPr>
              <w:t>起重机</w:t>
            </w:r>
          </w:p>
        </w:tc>
        <w:tc>
          <w:tcPr>
            <w:tcW w:w="1910" w:type="dxa"/>
            <w:tcBorders>
              <w:tl2br w:val="nil"/>
              <w:tr2bl w:val="nil"/>
            </w:tcBorders>
            <w:shd w:val="clear" w:color="auto" w:fill="auto"/>
            <w:vAlign w:val="center"/>
          </w:tcPr>
          <w:p w14:paraId="082E41AC">
            <w:pPr>
              <w:pStyle w:val="110"/>
              <w:widowControl w:val="0"/>
              <w:adjustRightInd w:val="0"/>
              <w:snapToGrid w:val="0"/>
              <w:rPr>
                <w:rFonts w:hAnsi="宋体" w:cs="宋体"/>
                <w:szCs w:val="18"/>
              </w:rPr>
            </w:pPr>
            <w:r>
              <w:rPr>
                <w:rFonts w:hint="eastAsia" w:hAnsi="宋体" w:cs="宋体"/>
                <w:szCs w:val="18"/>
              </w:rPr>
              <w:t>起重机检验人员</w:t>
            </w:r>
          </w:p>
        </w:tc>
        <w:tc>
          <w:tcPr>
            <w:tcW w:w="4801" w:type="dxa"/>
            <w:tcBorders>
              <w:tl2br w:val="nil"/>
              <w:tr2bl w:val="nil"/>
            </w:tcBorders>
            <w:shd w:val="clear" w:color="auto" w:fill="auto"/>
            <w:vAlign w:val="center"/>
          </w:tcPr>
          <w:p w14:paraId="181CE76B">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特种设备检验检测人员证（检验人员）：起重机械检验员/起重机械检验师</w:t>
            </w:r>
          </w:p>
        </w:tc>
        <w:tc>
          <w:tcPr>
            <w:tcW w:w="4735" w:type="dxa"/>
            <w:tcBorders>
              <w:tl2br w:val="nil"/>
              <w:tr2bl w:val="nil"/>
            </w:tcBorders>
            <w:shd w:val="clear" w:color="auto" w:fill="auto"/>
            <w:vAlign w:val="center"/>
          </w:tcPr>
          <w:p w14:paraId="22155D70">
            <w:pPr>
              <w:pStyle w:val="110"/>
              <w:widowControl w:val="0"/>
              <w:adjustRightInd w:val="0"/>
              <w:snapToGrid w:val="0"/>
              <w:jc w:val="left"/>
              <w:rPr>
                <w:rFonts w:hAnsi="宋体" w:cs="宋体"/>
                <w:szCs w:val="18"/>
              </w:rPr>
            </w:pPr>
            <w:r>
              <w:rPr>
                <w:rFonts w:hint="eastAsia" w:hAnsi="宋体" w:cs="宋体"/>
                <w:szCs w:val="18"/>
              </w:rPr>
              <w:t>起重机械检验员：省级特种设备安全监管部门</w:t>
            </w:r>
          </w:p>
          <w:p w14:paraId="5362B1F2">
            <w:pPr>
              <w:pStyle w:val="110"/>
              <w:widowControl w:val="0"/>
              <w:adjustRightInd w:val="0"/>
              <w:snapToGrid w:val="0"/>
              <w:jc w:val="left"/>
              <w:rPr>
                <w:rFonts w:hAnsi="宋体" w:cs="宋体"/>
                <w:szCs w:val="18"/>
              </w:rPr>
            </w:pPr>
            <w:r>
              <w:rPr>
                <w:rFonts w:hint="eastAsia" w:hAnsi="宋体" w:cs="宋体"/>
                <w:szCs w:val="18"/>
              </w:rPr>
              <w:t>起重机械检验师：国家市场监督管理总局</w:t>
            </w:r>
          </w:p>
        </w:tc>
      </w:tr>
      <w:tr w14:paraId="019060E5">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466" w:hRule="atLeast"/>
          <w:jc w:val="center"/>
        </w:trPr>
        <w:tc>
          <w:tcPr>
            <w:tcW w:w="1278" w:type="dxa"/>
            <w:vMerge w:val="continue"/>
            <w:tcBorders>
              <w:tl2br w:val="nil"/>
              <w:tr2bl w:val="nil"/>
            </w:tcBorders>
            <w:vAlign w:val="center"/>
          </w:tcPr>
          <w:p w14:paraId="62EE6705">
            <w:pPr>
              <w:pStyle w:val="110"/>
              <w:widowControl w:val="0"/>
              <w:adjustRightInd w:val="0"/>
              <w:snapToGrid w:val="0"/>
              <w:rPr>
                <w:rFonts w:hAnsi="宋体" w:cs="宋体"/>
                <w:szCs w:val="18"/>
              </w:rPr>
            </w:pPr>
          </w:p>
        </w:tc>
        <w:tc>
          <w:tcPr>
            <w:tcW w:w="1538" w:type="dxa"/>
            <w:tcBorders>
              <w:tl2br w:val="nil"/>
              <w:tr2bl w:val="nil"/>
            </w:tcBorders>
            <w:vAlign w:val="center"/>
          </w:tcPr>
          <w:p w14:paraId="76C60808">
            <w:pPr>
              <w:pStyle w:val="110"/>
              <w:widowControl w:val="0"/>
              <w:adjustRightInd w:val="0"/>
              <w:snapToGrid w:val="0"/>
              <w:rPr>
                <w:rFonts w:hAnsi="宋体" w:cs="宋体"/>
                <w:szCs w:val="18"/>
              </w:rPr>
            </w:pPr>
            <w:r>
              <w:rPr>
                <w:rFonts w:hint="eastAsia" w:hAnsi="宋体" w:cs="宋体"/>
                <w:szCs w:val="18"/>
              </w:rPr>
              <w:t>升降栈桥</w:t>
            </w:r>
          </w:p>
        </w:tc>
        <w:tc>
          <w:tcPr>
            <w:tcW w:w="1910" w:type="dxa"/>
            <w:tcBorders>
              <w:tl2br w:val="nil"/>
              <w:tr2bl w:val="nil"/>
            </w:tcBorders>
            <w:vAlign w:val="center"/>
          </w:tcPr>
          <w:p w14:paraId="64620412">
            <w:pPr>
              <w:adjustRightInd w:val="0"/>
              <w:snapToGrid w:val="0"/>
              <w:jc w:val="center"/>
              <w:rPr>
                <w:rFonts w:ascii="宋体" w:hAnsi="宋体" w:eastAsia="宋体" w:cs="宋体"/>
                <w:sz w:val="18"/>
                <w:szCs w:val="18"/>
              </w:rPr>
            </w:pPr>
            <w:r>
              <w:rPr>
                <w:rFonts w:hint="eastAsia" w:ascii="宋体" w:hAnsi="宋体" w:eastAsia="宋体" w:cs="宋体"/>
                <w:sz w:val="18"/>
                <w:szCs w:val="18"/>
              </w:rPr>
              <w:t>升降栈桥检验人员</w:t>
            </w:r>
          </w:p>
        </w:tc>
        <w:tc>
          <w:tcPr>
            <w:tcW w:w="4801" w:type="dxa"/>
            <w:tcBorders>
              <w:tl2br w:val="nil"/>
              <w:tr2bl w:val="nil"/>
            </w:tcBorders>
            <w:vAlign w:val="center"/>
          </w:tcPr>
          <w:p w14:paraId="7E5F685C">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特种设备检验检测人员证（检验人员）：起重机械检验员/起重机械检验师</w:t>
            </w:r>
          </w:p>
        </w:tc>
        <w:tc>
          <w:tcPr>
            <w:tcW w:w="4735" w:type="dxa"/>
            <w:tcBorders>
              <w:tl2br w:val="nil"/>
              <w:tr2bl w:val="nil"/>
            </w:tcBorders>
            <w:vAlign w:val="center"/>
          </w:tcPr>
          <w:p w14:paraId="514DCC23">
            <w:pPr>
              <w:pStyle w:val="110"/>
              <w:widowControl w:val="0"/>
              <w:adjustRightInd w:val="0"/>
              <w:snapToGrid w:val="0"/>
              <w:jc w:val="left"/>
              <w:rPr>
                <w:rFonts w:hAnsi="宋体" w:cs="宋体"/>
                <w:szCs w:val="18"/>
              </w:rPr>
            </w:pPr>
            <w:r>
              <w:rPr>
                <w:rFonts w:hint="eastAsia" w:hAnsi="宋体" w:cs="宋体"/>
                <w:szCs w:val="18"/>
              </w:rPr>
              <w:t>起重机械检验员：省级特种设备安全监管部门</w:t>
            </w:r>
          </w:p>
          <w:p w14:paraId="03D64227">
            <w:pPr>
              <w:pStyle w:val="110"/>
              <w:widowControl w:val="0"/>
              <w:adjustRightInd w:val="0"/>
              <w:snapToGrid w:val="0"/>
              <w:jc w:val="left"/>
              <w:rPr>
                <w:rFonts w:hAnsi="宋体" w:cs="宋体"/>
                <w:szCs w:val="18"/>
              </w:rPr>
            </w:pPr>
            <w:r>
              <w:rPr>
                <w:rFonts w:hint="eastAsia" w:hAnsi="宋体" w:cs="宋体"/>
                <w:szCs w:val="18"/>
              </w:rPr>
              <w:t>起重机械检验师：国家市场监督管理总局</w:t>
            </w:r>
          </w:p>
        </w:tc>
      </w:tr>
      <w:tr w14:paraId="4DB2E830">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276" w:hRule="atLeast"/>
          <w:jc w:val="center"/>
        </w:trPr>
        <w:tc>
          <w:tcPr>
            <w:tcW w:w="1278" w:type="dxa"/>
            <w:vMerge w:val="continue"/>
            <w:tcBorders>
              <w:tl2br w:val="nil"/>
              <w:tr2bl w:val="nil"/>
            </w:tcBorders>
            <w:vAlign w:val="center"/>
          </w:tcPr>
          <w:p w14:paraId="191DAD8B">
            <w:pPr>
              <w:ind w:firstLine="400"/>
              <w:rPr>
                <w:rFonts w:ascii="宋体" w:hAnsi="宋体" w:eastAsia="宋体" w:cs="宋体"/>
                <w:kern w:val="0"/>
                <w:sz w:val="18"/>
                <w:szCs w:val="18"/>
              </w:rPr>
            </w:pPr>
          </w:p>
        </w:tc>
        <w:tc>
          <w:tcPr>
            <w:tcW w:w="1538" w:type="dxa"/>
            <w:tcBorders>
              <w:tl2br w:val="nil"/>
              <w:tr2bl w:val="nil"/>
            </w:tcBorders>
            <w:vAlign w:val="center"/>
          </w:tcPr>
          <w:p w14:paraId="71AA6D48">
            <w:pPr>
              <w:pStyle w:val="110"/>
              <w:widowControl w:val="0"/>
              <w:adjustRightInd w:val="0"/>
              <w:snapToGrid w:val="0"/>
              <w:rPr>
                <w:rFonts w:hAnsi="宋体" w:cs="宋体"/>
                <w:szCs w:val="18"/>
              </w:rPr>
            </w:pPr>
            <w:r>
              <w:rPr>
                <w:rFonts w:hint="eastAsia" w:hAnsi="宋体" w:cs="宋体"/>
                <w:szCs w:val="18"/>
              </w:rPr>
              <w:t>升降机</w:t>
            </w:r>
          </w:p>
        </w:tc>
        <w:tc>
          <w:tcPr>
            <w:tcW w:w="1910" w:type="dxa"/>
            <w:tcBorders>
              <w:tl2br w:val="nil"/>
              <w:tr2bl w:val="nil"/>
            </w:tcBorders>
            <w:vAlign w:val="center"/>
          </w:tcPr>
          <w:p w14:paraId="4DCBC8D1">
            <w:pPr>
              <w:adjustRightInd w:val="0"/>
              <w:snapToGrid w:val="0"/>
              <w:jc w:val="center"/>
              <w:rPr>
                <w:rFonts w:ascii="宋体" w:hAnsi="宋体" w:eastAsia="宋体" w:cs="宋体"/>
                <w:sz w:val="18"/>
                <w:szCs w:val="18"/>
              </w:rPr>
            </w:pPr>
            <w:r>
              <w:rPr>
                <w:rFonts w:hint="eastAsia" w:ascii="宋体" w:hAnsi="宋体" w:eastAsia="宋体" w:cs="宋体"/>
                <w:sz w:val="18"/>
                <w:szCs w:val="18"/>
              </w:rPr>
              <w:t>升降机检验人员</w:t>
            </w:r>
          </w:p>
        </w:tc>
        <w:tc>
          <w:tcPr>
            <w:tcW w:w="4801" w:type="dxa"/>
            <w:tcBorders>
              <w:tl2br w:val="nil"/>
              <w:tr2bl w:val="nil"/>
            </w:tcBorders>
            <w:vAlign w:val="center"/>
          </w:tcPr>
          <w:p w14:paraId="09697E59">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特种设备检验检测人员证（检验人员）：起重机械检验员/起重机械检验师</w:t>
            </w:r>
          </w:p>
        </w:tc>
        <w:tc>
          <w:tcPr>
            <w:tcW w:w="4735" w:type="dxa"/>
            <w:tcBorders>
              <w:tl2br w:val="nil"/>
              <w:tr2bl w:val="nil"/>
            </w:tcBorders>
            <w:vAlign w:val="center"/>
          </w:tcPr>
          <w:p w14:paraId="36256D94">
            <w:pPr>
              <w:pStyle w:val="110"/>
              <w:widowControl w:val="0"/>
              <w:adjustRightInd w:val="0"/>
              <w:snapToGrid w:val="0"/>
              <w:jc w:val="left"/>
              <w:rPr>
                <w:rFonts w:hAnsi="宋体" w:cs="宋体"/>
                <w:szCs w:val="18"/>
              </w:rPr>
            </w:pPr>
            <w:r>
              <w:rPr>
                <w:rFonts w:hint="eastAsia" w:hAnsi="宋体" w:cs="宋体"/>
                <w:szCs w:val="18"/>
              </w:rPr>
              <w:t>起重机械检验员：省级特种设备安全监管部门</w:t>
            </w:r>
          </w:p>
          <w:p w14:paraId="20990533">
            <w:pPr>
              <w:pStyle w:val="110"/>
              <w:widowControl w:val="0"/>
              <w:adjustRightInd w:val="0"/>
              <w:snapToGrid w:val="0"/>
              <w:jc w:val="left"/>
              <w:rPr>
                <w:rFonts w:hAnsi="宋体" w:cs="宋体"/>
                <w:szCs w:val="18"/>
              </w:rPr>
            </w:pPr>
            <w:r>
              <w:rPr>
                <w:rFonts w:hint="eastAsia" w:hAnsi="宋体" w:cs="宋体"/>
                <w:szCs w:val="18"/>
              </w:rPr>
              <w:t>起重机械检验师：国家市场监督管理总局</w:t>
            </w:r>
          </w:p>
        </w:tc>
      </w:tr>
      <w:tr w14:paraId="6DE42EDB">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jc w:val="center"/>
        </w:trPr>
        <w:tc>
          <w:tcPr>
            <w:tcW w:w="1278" w:type="dxa"/>
            <w:vMerge w:val="continue"/>
            <w:tcBorders>
              <w:tl2br w:val="nil"/>
              <w:tr2bl w:val="nil"/>
            </w:tcBorders>
            <w:vAlign w:val="center"/>
          </w:tcPr>
          <w:p w14:paraId="068D9D06">
            <w:pPr>
              <w:rPr>
                <w:rFonts w:ascii="宋体" w:hAnsi="宋体" w:eastAsia="宋体" w:cs="宋体"/>
                <w:kern w:val="0"/>
                <w:sz w:val="18"/>
                <w:szCs w:val="18"/>
              </w:rPr>
            </w:pPr>
          </w:p>
        </w:tc>
        <w:tc>
          <w:tcPr>
            <w:tcW w:w="1538" w:type="dxa"/>
            <w:tcBorders>
              <w:tl2br w:val="nil"/>
              <w:tr2bl w:val="nil"/>
            </w:tcBorders>
            <w:vAlign w:val="center"/>
          </w:tcPr>
          <w:p w14:paraId="4BB2EB5D">
            <w:pPr>
              <w:pStyle w:val="110"/>
              <w:widowControl w:val="0"/>
              <w:adjustRightInd w:val="0"/>
              <w:snapToGrid w:val="0"/>
              <w:rPr>
                <w:rFonts w:hAnsi="宋体" w:cs="宋体"/>
                <w:szCs w:val="18"/>
              </w:rPr>
            </w:pPr>
            <w:r>
              <w:rPr>
                <w:rFonts w:hint="eastAsia" w:hAnsi="宋体" w:cs="宋体"/>
                <w:szCs w:val="18"/>
              </w:rPr>
              <w:t>电梯</w:t>
            </w:r>
          </w:p>
        </w:tc>
        <w:tc>
          <w:tcPr>
            <w:tcW w:w="1910" w:type="dxa"/>
            <w:tcBorders>
              <w:tl2br w:val="nil"/>
              <w:tr2bl w:val="nil"/>
            </w:tcBorders>
            <w:vAlign w:val="center"/>
          </w:tcPr>
          <w:p w14:paraId="76BB9FBF">
            <w:pPr>
              <w:pStyle w:val="110"/>
              <w:widowControl w:val="0"/>
              <w:adjustRightInd w:val="0"/>
              <w:snapToGrid w:val="0"/>
              <w:rPr>
                <w:rFonts w:hAnsi="宋体" w:cs="宋体"/>
                <w:szCs w:val="18"/>
              </w:rPr>
            </w:pPr>
            <w:r>
              <w:rPr>
                <w:rFonts w:hint="eastAsia" w:hAnsi="宋体" w:cs="宋体"/>
                <w:szCs w:val="18"/>
              </w:rPr>
              <w:t>电梯检验人员</w:t>
            </w:r>
          </w:p>
        </w:tc>
        <w:tc>
          <w:tcPr>
            <w:tcW w:w="4801" w:type="dxa"/>
            <w:tcBorders>
              <w:tl2br w:val="nil"/>
              <w:tr2bl w:val="nil"/>
            </w:tcBorders>
            <w:vAlign w:val="center"/>
          </w:tcPr>
          <w:p w14:paraId="1728F196">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特种设备检验检测人员证（检验人员）：电梯检验员/电梯检验师</w:t>
            </w:r>
          </w:p>
        </w:tc>
        <w:tc>
          <w:tcPr>
            <w:tcW w:w="4735" w:type="dxa"/>
            <w:tcBorders>
              <w:tl2br w:val="nil"/>
              <w:tr2bl w:val="nil"/>
            </w:tcBorders>
            <w:vAlign w:val="center"/>
          </w:tcPr>
          <w:p w14:paraId="1DB9C677">
            <w:pPr>
              <w:pStyle w:val="110"/>
              <w:widowControl w:val="0"/>
              <w:adjustRightInd w:val="0"/>
              <w:snapToGrid w:val="0"/>
              <w:jc w:val="left"/>
              <w:rPr>
                <w:rFonts w:hAnsi="宋体" w:cs="宋体"/>
                <w:szCs w:val="18"/>
              </w:rPr>
            </w:pPr>
            <w:r>
              <w:rPr>
                <w:rFonts w:hint="eastAsia" w:hAnsi="宋体" w:cs="宋体"/>
                <w:szCs w:val="18"/>
              </w:rPr>
              <w:t>电梯检验员：省级特种设备安全监管部门</w:t>
            </w:r>
          </w:p>
          <w:p w14:paraId="4025105D">
            <w:pPr>
              <w:pStyle w:val="110"/>
              <w:widowControl w:val="0"/>
              <w:adjustRightInd w:val="0"/>
              <w:snapToGrid w:val="0"/>
              <w:jc w:val="left"/>
              <w:rPr>
                <w:rFonts w:hAnsi="宋体" w:cs="宋体"/>
                <w:szCs w:val="18"/>
              </w:rPr>
            </w:pPr>
            <w:r>
              <w:rPr>
                <w:rFonts w:hint="eastAsia" w:hAnsi="宋体" w:cs="宋体"/>
                <w:szCs w:val="18"/>
              </w:rPr>
              <w:t>电梯检验师：国家市场监督管理总局</w:t>
            </w:r>
          </w:p>
        </w:tc>
      </w:tr>
      <w:tr w14:paraId="5AFABCB6">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jc w:val="center"/>
        </w:trPr>
        <w:tc>
          <w:tcPr>
            <w:tcW w:w="1278" w:type="dxa"/>
            <w:vMerge w:val="restart"/>
            <w:tcBorders>
              <w:tl2br w:val="nil"/>
              <w:tr2bl w:val="nil"/>
            </w:tcBorders>
            <w:vAlign w:val="center"/>
          </w:tcPr>
          <w:p w14:paraId="14A103BD">
            <w:pPr>
              <w:pStyle w:val="110"/>
              <w:widowControl w:val="0"/>
              <w:adjustRightInd w:val="0"/>
              <w:snapToGrid w:val="0"/>
              <w:rPr>
                <w:rFonts w:hAnsi="宋体" w:cs="宋体"/>
                <w:szCs w:val="18"/>
              </w:rPr>
            </w:pPr>
            <w:r>
              <w:rPr>
                <w:rFonts w:hint="eastAsia" w:hAnsi="宋体" w:cs="宋体"/>
                <w:szCs w:val="18"/>
              </w:rPr>
              <w:t>火灾和可燃气体探测报警及控制系统</w:t>
            </w:r>
          </w:p>
        </w:tc>
        <w:tc>
          <w:tcPr>
            <w:tcW w:w="1538" w:type="dxa"/>
            <w:tcBorders>
              <w:tl2br w:val="nil"/>
              <w:tr2bl w:val="nil"/>
            </w:tcBorders>
            <w:vAlign w:val="center"/>
          </w:tcPr>
          <w:p w14:paraId="74205EC3">
            <w:pPr>
              <w:pStyle w:val="110"/>
              <w:widowControl w:val="0"/>
              <w:adjustRightInd w:val="0"/>
              <w:snapToGrid w:val="0"/>
              <w:rPr>
                <w:rFonts w:hAnsi="宋体" w:cs="宋体"/>
                <w:szCs w:val="18"/>
              </w:rPr>
            </w:pPr>
            <w:r>
              <w:rPr>
                <w:rFonts w:hint="eastAsia" w:hAnsi="宋体" w:cs="宋体"/>
                <w:szCs w:val="18"/>
              </w:rPr>
              <w:t>可燃气体、有毒有害气体探测报警系统</w:t>
            </w:r>
          </w:p>
        </w:tc>
        <w:tc>
          <w:tcPr>
            <w:tcW w:w="1910" w:type="dxa"/>
            <w:tcBorders>
              <w:tl2br w:val="nil"/>
              <w:tr2bl w:val="nil"/>
            </w:tcBorders>
            <w:vAlign w:val="center"/>
          </w:tcPr>
          <w:p w14:paraId="3F2DB0DF">
            <w:pPr>
              <w:pStyle w:val="110"/>
              <w:widowControl w:val="0"/>
              <w:adjustRightInd w:val="0"/>
              <w:snapToGrid w:val="0"/>
              <w:rPr>
                <w:rFonts w:hAnsi="宋体" w:cs="宋体"/>
                <w:szCs w:val="18"/>
              </w:rPr>
            </w:pPr>
            <w:r>
              <w:rPr>
                <w:rFonts w:hint="eastAsia" w:hAnsi="宋体" w:cs="宋体"/>
                <w:szCs w:val="18"/>
              </w:rPr>
              <w:t>可燃气体、有毒有害气体探测报警系统检验人员</w:t>
            </w:r>
          </w:p>
        </w:tc>
        <w:tc>
          <w:tcPr>
            <w:tcW w:w="4801" w:type="dxa"/>
            <w:tcBorders>
              <w:tl2br w:val="nil"/>
              <w:tr2bl w:val="nil"/>
            </w:tcBorders>
            <w:vAlign w:val="center"/>
          </w:tcPr>
          <w:p w14:paraId="1B560BDF">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计量类证书或消防类证书，其中计量类证书为注册计量师或原计量检定员证或计量标准规程考核合格证明/证书；消防类证书为一级注册消防工程师或二级注册消防工程师</w:t>
            </w:r>
          </w:p>
        </w:tc>
        <w:tc>
          <w:tcPr>
            <w:tcW w:w="4735" w:type="dxa"/>
            <w:tcBorders>
              <w:tl2br w:val="nil"/>
              <w:tr2bl w:val="nil"/>
            </w:tcBorders>
            <w:vAlign w:val="center"/>
          </w:tcPr>
          <w:p w14:paraId="3EE98827">
            <w:pPr>
              <w:pStyle w:val="110"/>
              <w:widowControl w:val="0"/>
              <w:adjustRightInd w:val="0"/>
              <w:snapToGrid w:val="0"/>
              <w:jc w:val="left"/>
              <w:rPr>
                <w:rFonts w:hAnsi="宋体" w:cs="宋体"/>
                <w:szCs w:val="18"/>
              </w:rPr>
            </w:pPr>
            <w:r>
              <w:rPr>
                <w:rFonts w:hint="eastAsia" w:hAnsi="宋体" w:cs="宋体"/>
                <w:szCs w:val="18"/>
              </w:rPr>
              <w:t>注册计量师：省级市场监督管理部门</w:t>
            </w:r>
          </w:p>
          <w:p w14:paraId="3713B1BE">
            <w:pPr>
              <w:pStyle w:val="110"/>
              <w:widowControl w:val="0"/>
              <w:adjustRightInd w:val="0"/>
              <w:snapToGrid w:val="0"/>
              <w:jc w:val="left"/>
              <w:rPr>
                <w:rFonts w:hAnsi="宋体" w:cs="宋体"/>
                <w:szCs w:val="18"/>
              </w:rPr>
            </w:pPr>
            <w:r>
              <w:rPr>
                <w:rFonts w:hint="eastAsia" w:hAnsi="宋体" w:cs="宋体"/>
                <w:szCs w:val="18"/>
              </w:rPr>
              <w:t>原计量检定员证：县级以上市场监督管理部门</w:t>
            </w:r>
          </w:p>
          <w:p w14:paraId="32960893">
            <w:pPr>
              <w:pStyle w:val="110"/>
              <w:widowControl w:val="0"/>
              <w:adjustRightInd w:val="0"/>
              <w:snapToGrid w:val="0"/>
              <w:jc w:val="left"/>
              <w:rPr>
                <w:rFonts w:hAnsi="宋体" w:cs="宋体"/>
                <w:szCs w:val="18"/>
              </w:rPr>
            </w:pPr>
            <w:r>
              <w:rPr>
                <w:rFonts w:hint="eastAsia" w:hAnsi="宋体" w:cs="宋体"/>
                <w:szCs w:val="18"/>
              </w:rPr>
              <w:t>计量标准规程考核合格证明/证书：中国计量协会、省市级计量学会/协会</w:t>
            </w:r>
          </w:p>
          <w:p w14:paraId="5C609E66">
            <w:pPr>
              <w:pStyle w:val="110"/>
              <w:widowControl w:val="0"/>
              <w:adjustRightInd w:val="0"/>
              <w:snapToGrid w:val="0"/>
              <w:jc w:val="left"/>
              <w:rPr>
                <w:rFonts w:hAnsi="宋体" w:cs="宋体"/>
                <w:szCs w:val="18"/>
              </w:rPr>
            </w:pPr>
            <w:r>
              <w:rPr>
                <w:rFonts w:hint="eastAsia" w:hAnsi="宋体" w:cs="宋体"/>
                <w:szCs w:val="18"/>
              </w:rPr>
              <w:t>一级注册消防工程师：人力资源和社会保障部、应急管理部</w:t>
            </w:r>
          </w:p>
          <w:p w14:paraId="6404D2EB">
            <w:pPr>
              <w:pStyle w:val="110"/>
              <w:widowControl w:val="0"/>
              <w:adjustRightInd w:val="0"/>
              <w:snapToGrid w:val="0"/>
              <w:jc w:val="left"/>
              <w:rPr>
                <w:rFonts w:hAnsi="宋体" w:cs="宋体"/>
                <w:szCs w:val="18"/>
              </w:rPr>
            </w:pPr>
            <w:r>
              <w:rPr>
                <w:rFonts w:hint="eastAsia" w:hAnsi="宋体" w:cs="宋体"/>
                <w:szCs w:val="18"/>
              </w:rPr>
              <w:t>二级注册消防工程师：省级人力资源社会保障部门、省级消防救援机构</w:t>
            </w:r>
          </w:p>
        </w:tc>
      </w:tr>
      <w:tr w14:paraId="4BCF55FC">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jc w:val="center"/>
        </w:trPr>
        <w:tc>
          <w:tcPr>
            <w:tcW w:w="1278" w:type="dxa"/>
            <w:vMerge w:val="continue"/>
            <w:tcBorders>
              <w:tl2br w:val="nil"/>
              <w:tr2bl w:val="nil"/>
            </w:tcBorders>
            <w:vAlign w:val="center"/>
          </w:tcPr>
          <w:p w14:paraId="67C761BC">
            <w:pPr>
              <w:rPr>
                <w:rFonts w:ascii="宋体" w:hAnsi="宋体" w:eastAsia="宋体" w:cs="宋体"/>
                <w:kern w:val="0"/>
                <w:sz w:val="18"/>
                <w:szCs w:val="18"/>
              </w:rPr>
            </w:pPr>
          </w:p>
        </w:tc>
        <w:tc>
          <w:tcPr>
            <w:tcW w:w="1538" w:type="dxa"/>
            <w:tcBorders>
              <w:tl2br w:val="nil"/>
              <w:tr2bl w:val="nil"/>
            </w:tcBorders>
            <w:vAlign w:val="center"/>
          </w:tcPr>
          <w:p w14:paraId="05283907">
            <w:pPr>
              <w:pStyle w:val="110"/>
              <w:widowControl w:val="0"/>
              <w:adjustRightInd w:val="0"/>
              <w:snapToGrid w:val="0"/>
              <w:rPr>
                <w:rFonts w:hAnsi="宋体" w:cs="宋体"/>
                <w:szCs w:val="18"/>
              </w:rPr>
            </w:pPr>
            <w:r>
              <w:rPr>
                <w:rFonts w:hint="eastAsia" w:hAnsi="宋体" w:cs="宋体"/>
                <w:szCs w:val="18"/>
              </w:rPr>
              <w:t>火灾自动报警系统</w:t>
            </w:r>
          </w:p>
        </w:tc>
        <w:tc>
          <w:tcPr>
            <w:tcW w:w="1910" w:type="dxa"/>
            <w:tcBorders>
              <w:tl2br w:val="nil"/>
              <w:tr2bl w:val="nil"/>
            </w:tcBorders>
            <w:vAlign w:val="center"/>
          </w:tcPr>
          <w:p w14:paraId="5016D920">
            <w:pPr>
              <w:pStyle w:val="110"/>
              <w:widowControl w:val="0"/>
              <w:adjustRightInd w:val="0"/>
              <w:snapToGrid w:val="0"/>
              <w:rPr>
                <w:rFonts w:hAnsi="宋体" w:cs="宋体"/>
                <w:szCs w:val="18"/>
              </w:rPr>
            </w:pPr>
            <w:r>
              <w:rPr>
                <w:rFonts w:hint="eastAsia" w:hAnsi="宋体" w:cs="宋体"/>
                <w:szCs w:val="18"/>
              </w:rPr>
              <w:t>火灾自动报警系统检验人员</w:t>
            </w:r>
          </w:p>
        </w:tc>
        <w:tc>
          <w:tcPr>
            <w:tcW w:w="4801" w:type="dxa"/>
            <w:tcBorders>
              <w:tl2br w:val="nil"/>
              <w:tr2bl w:val="nil"/>
            </w:tcBorders>
            <w:shd w:val="clear" w:color="auto" w:fill="auto"/>
            <w:vAlign w:val="center"/>
          </w:tcPr>
          <w:p w14:paraId="089F24CC">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计量类证书或消防类证书，其中计量类证书为注册计量师或原计量检定员证或计量标准规程考核合格证明/证书；消防类证书为一级注册消防工程师或二级注册消防工程师</w:t>
            </w:r>
          </w:p>
        </w:tc>
        <w:tc>
          <w:tcPr>
            <w:tcW w:w="4735" w:type="dxa"/>
            <w:tcBorders>
              <w:tl2br w:val="nil"/>
              <w:tr2bl w:val="nil"/>
            </w:tcBorders>
            <w:shd w:val="clear" w:color="auto" w:fill="auto"/>
            <w:vAlign w:val="center"/>
          </w:tcPr>
          <w:p w14:paraId="17691C2B">
            <w:pPr>
              <w:pStyle w:val="110"/>
              <w:widowControl w:val="0"/>
              <w:adjustRightInd w:val="0"/>
              <w:snapToGrid w:val="0"/>
              <w:jc w:val="left"/>
              <w:rPr>
                <w:rFonts w:hAnsi="宋体" w:cs="宋体"/>
                <w:szCs w:val="18"/>
              </w:rPr>
            </w:pPr>
            <w:r>
              <w:rPr>
                <w:rFonts w:hint="eastAsia" w:hAnsi="宋体" w:cs="宋体"/>
                <w:szCs w:val="18"/>
              </w:rPr>
              <w:t>注册计量师：省级市场监督管理部门</w:t>
            </w:r>
          </w:p>
          <w:p w14:paraId="45445087">
            <w:pPr>
              <w:pStyle w:val="110"/>
              <w:widowControl w:val="0"/>
              <w:adjustRightInd w:val="0"/>
              <w:snapToGrid w:val="0"/>
              <w:jc w:val="left"/>
              <w:rPr>
                <w:rFonts w:hAnsi="宋体" w:cs="宋体"/>
                <w:szCs w:val="18"/>
              </w:rPr>
            </w:pPr>
            <w:r>
              <w:rPr>
                <w:rFonts w:hint="eastAsia" w:hAnsi="宋体" w:cs="宋体"/>
                <w:szCs w:val="18"/>
              </w:rPr>
              <w:t>原计量检定员证：县级以上市场监督管理部门</w:t>
            </w:r>
          </w:p>
          <w:p w14:paraId="4E2EB2F0">
            <w:pPr>
              <w:pStyle w:val="110"/>
              <w:widowControl w:val="0"/>
              <w:adjustRightInd w:val="0"/>
              <w:snapToGrid w:val="0"/>
              <w:jc w:val="left"/>
              <w:rPr>
                <w:rFonts w:hAnsi="宋体" w:cs="宋体"/>
                <w:szCs w:val="18"/>
              </w:rPr>
            </w:pPr>
            <w:r>
              <w:rPr>
                <w:rFonts w:hint="eastAsia" w:hAnsi="宋体" w:cs="宋体"/>
                <w:szCs w:val="18"/>
              </w:rPr>
              <w:t>计量标准规程考核合格证明/证书：中国计量协会、省市级计量学会/协会</w:t>
            </w:r>
          </w:p>
          <w:p w14:paraId="0BF029C5">
            <w:pPr>
              <w:pStyle w:val="110"/>
              <w:widowControl w:val="0"/>
              <w:adjustRightInd w:val="0"/>
              <w:snapToGrid w:val="0"/>
              <w:jc w:val="left"/>
              <w:rPr>
                <w:rFonts w:hAnsi="宋体" w:cs="宋体"/>
                <w:szCs w:val="18"/>
              </w:rPr>
            </w:pPr>
            <w:r>
              <w:rPr>
                <w:rFonts w:hint="eastAsia" w:hAnsi="宋体" w:cs="宋体"/>
                <w:szCs w:val="18"/>
              </w:rPr>
              <w:t>一级注册消防工程师：人力资源和社会保障部、应急管理部</w:t>
            </w:r>
          </w:p>
          <w:p w14:paraId="68F232DC">
            <w:pPr>
              <w:pStyle w:val="110"/>
              <w:widowControl w:val="0"/>
              <w:adjustRightInd w:val="0"/>
              <w:snapToGrid w:val="0"/>
              <w:jc w:val="left"/>
              <w:rPr>
                <w:rFonts w:hAnsi="宋体" w:cs="宋体"/>
                <w:szCs w:val="18"/>
              </w:rPr>
            </w:pPr>
            <w:r>
              <w:rPr>
                <w:rFonts w:hint="eastAsia" w:hAnsi="宋体" w:cs="宋体"/>
                <w:szCs w:val="18"/>
              </w:rPr>
              <w:t>二级注册消防工程师：省级人力资源社会保障部门、省级消防救援机构</w:t>
            </w:r>
          </w:p>
        </w:tc>
      </w:tr>
      <w:tr w14:paraId="2B795444">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jc w:val="center"/>
        </w:trPr>
        <w:tc>
          <w:tcPr>
            <w:tcW w:w="1278" w:type="dxa"/>
            <w:vMerge w:val="restart"/>
            <w:tcBorders>
              <w:tl2br w:val="nil"/>
              <w:tr2bl w:val="nil"/>
            </w:tcBorders>
            <w:vAlign w:val="center"/>
          </w:tcPr>
          <w:p w14:paraId="7995844E">
            <w:pPr>
              <w:pStyle w:val="110"/>
              <w:widowControl w:val="0"/>
              <w:adjustRightInd w:val="0"/>
              <w:snapToGrid w:val="0"/>
              <w:rPr>
                <w:rFonts w:hAnsi="宋体" w:cs="宋体"/>
                <w:szCs w:val="18"/>
              </w:rPr>
            </w:pPr>
            <w:r>
              <w:rPr>
                <w:rFonts w:hint="eastAsia" w:hAnsi="宋体" w:cs="宋体"/>
                <w:szCs w:val="18"/>
              </w:rPr>
              <w:t>安全阀</w:t>
            </w:r>
          </w:p>
        </w:tc>
        <w:tc>
          <w:tcPr>
            <w:tcW w:w="1538" w:type="dxa"/>
            <w:tcBorders>
              <w:tl2br w:val="nil"/>
              <w:tr2bl w:val="nil"/>
            </w:tcBorders>
            <w:vAlign w:val="center"/>
          </w:tcPr>
          <w:p w14:paraId="35630F06">
            <w:pPr>
              <w:pStyle w:val="110"/>
              <w:widowControl w:val="0"/>
              <w:adjustRightInd w:val="0"/>
              <w:snapToGrid w:val="0"/>
              <w:rPr>
                <w:rFonts w:hAnsi="宋体" w:cs="宋体"/>
                <w:szCs w:val="18"/>
              </w:rPr>
            </w:pPr>
            <w:r>
              <w:rPr>
                <w:rFonts w:hint="eastAsia" w:hAnsi="宋体" w:cs="宋体"/>
                <w:szCs w:val="18"/>
              </w:rPr>
              <w:t>安全阀</w:t>
            </w:r>
          </w:p>
        </w:tc>
        <w:tc>
          <w:tcPr>
            <w:tcW w:w="1910" w:type="dxa"/>
            <w:tcBorders>
              <w:tl2br w:val="nil"/>
              <w:tr2bl w:val="nil"/>
            </w:tcBorders>
            <w:vAlign w:val="center"/>
          </w:tcPr>
          <w:p w14:paraId="6079835D">
            <w:pPr>
              <w:pStyle w:val="110"/>
              <w:widowControl w:val="0"/>
              <w:adjustRightInd w:val="0"/>
              <w:snapToGrid w:val="0"/>
              <w:rPr>
                <w:rFonts w:hAnsi="宋体" w:cs="宋体"/>
                <w:szCs w:val="18"/>
              </w:rPr>
            </w:pPr>
            <w:r>
              <w:rPr>
                <w:rFonts w:hint="eastAsia" w:hAnsi="宋体" w:cs="宋体"/>
                <w:szCs w:val="18"/>
              </w:rPr>
              <w:t>安全阀检验人员</w:t>
            </w:r>
          </w:p>
        </w:tc>
        <w:tc>
          <w:tcPr>
            <w:tcW w:w="4801" w:type="dxa"/>
            <w:tcBorders>
              <w:tl2br w:val="nil"/>
              <w:tr2bl w:val="nil"/>
            </w:tcBorders>
            <w:vAlign w:val="center"/>
          </w:tcPr>
          <w:p w14:paraId="4EB4AA3B">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特种设备安全管理和作业人员证（安全阀校验）</w:t>
            </w:r>
          </w:p>
        </w:tc>
        <w:tc>
          <w:tcPr>
            <w:tcW w:w="4735" w:type="dxa"/>
            <w:tcBorders>
              <w:tl2br w:val="nil"/>
              <w:tr2bl w:val="nil"/>
            </w:tcBorders>
            <w:vAlign w:val="center"/>
          </w:tcPr>
          <w:p w14:paraId="56D9EC6F">
            <w:pPr>
              <w:pStyle w:val="110"/>
              <w:widowControl w:val="0"/>
              <w:adjustRightInd w:val="0"/>
              <w:snapToGrid w:val="0"/>
              <w:jc w:val="left"/>
              <w:rPr>
                <w:rFonts w:hAnsi="宋体" w:cs="宋体"/>
                <w:szCs w:val="18"/>
              </w:rPr>
            </w:pPr>
            <w:r>
              <w:rPr>
                <w:rFonts w:hint="eastAsia" w:hAnsi="宋体" w:cs="宋体"/>
                <w:szCs w:val="18"/>
              </w:rPr>
              <w:t>县级以上地方市场监督管理部门</w:t>
            </w:r>
          </w:p>
        </w:tc>
      </w:tr>
      <w:tr w14:paraId="5B8FA4CB">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161" w:hRule="atLeast"/>
          <w:jc w:val="center"/>
        </w:trPr>
        <w:tc>
          <w:tcPr>
            <w:tcW w:w="1278" w:type="dxa"/>
            <w:vMerge w:val="continue"/>
            <w:tcBorders>
              <w:tl2br w:val="nil"/>
              <w:tr2bl w:val="nil"/>
            </w:tcBorders>
            <w:vAlign w:val="center"/>
          </w:tcPr>
          <w:p w14:paraId="3138E7FF">
            <w:pPr>
              <w:pStyle w:val="110"/>
              <w:widowControl w:val="0"/>
              <w:adjustRightInd w:val="0"/>
              <w:snapToGrid w:val="0"/>
              <w:rPr>
                <w:rFonts w:hAnsi="宋体" w:cs="宋体"/>
                <w:szCs w:val="18"/>
              </w:rPr>
            </w:pPr>
          </w:p>
        </w:tc>
        <w:tc>
          <w:tcPr>
            <w:tcW w:w="1538" w:type="dxa"/>
            <w:tcBorders>
              <w:tl2br w:val="nil"/>
              <w:tr2bl w:val="nil"/>
            </w:tcBorders>
            <w:vAlign w:val="center"/>
          </w:tcPr>
          <w:p w14:paraId="51151CDB">
            <w:pPr>
              <w:pStyle w:val="110"/>
              <w:widowControl w:val="0"/>
              <w:adjustRightInd w:val="0"/>
              <w:snapToGrid w:val="0"/>
              <w:rPr>
                <w:rFonts w:hAnsi="宋体" w:cs="宋体"/>
                <w:szCs w:val="18"/>
              </w:rPr>
            </w:pPr>
            <w:r>
              <w:rPr>
                <w:rFonts w:hint="eastAsia" w:hAnsi="宋体" w:cs="宋体"/>
                <w:szCs w:val="18"/>
              </w:rPr>
              <w:t>呼吸阀</w:t>
            </w:r>
          </w:p>
        </w:tc>
        <w:tc>
          <w:tcPr>
            <w:tcW w:w="1910" w:type="dxa"/>
            <w:tcBorders>
              <w:tl2br w:val="nil"/>
              <w:tr2bl w:val="nil"/>
            </w:tcBorders>
            <w:vAlign w:val="center"/>
          </w:tcPr>
          <w:p w14:paraId="725BE13D">
            <w:pPr>
              <w:pStyle w:val="110"/>
              <w:widowControl w:val="0"/>
              <w:adjustRightInd w:val="0"/>
              <w:snapToGrid w:val="0"/>
              <w:rPr>
                <w:rFonts w:hAnsi="宋体" w:cs="宋体"/>
                <w:szCs w:val="18"/>
              </w:rPr>
            </w:pPr>
            <w:r>
              <w:rPr>
                <w:rFonts w:hint="eastAsia" w:hAnsi="宋体" w:cs="宋体"/>
                <w:szCs w:val="18"/>
              </w:rPr>
              <w:t>呼吸阀检验人员</w:t>
            </w:r>
          </w:p>
        </w:tc>
        <w:tc>
          <w:tcPr>
            <w:tcW w:w="4801" w:type="dxa"/>
            <w:tcBorders>
              <w:tl2br w:val="nil"/>
              <w:tr2bl w:val="nil"/>
            </w:tcBorders>
            <w:vAlign w:val="center"/>
          </w:tcPr>
          <w:p w14:paraId="6AA42AC0">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常压储罐安全附件检验员评价证书</w:t>
            </w:r>
          </w:p>
        </w:tc>
        <w:tc>
          <w:tcPr>
            <w:tcW w:w="4735" w:type="dxa"/>
            <w:tcBorders>
              <w:tl2br w:val="nil"/>
              <w:tr2bl w:val="nil"/>
            </w:tcBorders>
            <w:vAlign w:val="center"/>
          </w:tcPr>
          <w:p w14:paraId="0D6B3D30">
            <w:pPr>
              <w:pStyle w:val="110"/>
              <w:widowControl w:val="0"/>
              <w:adjustRightInd w:val="0"/>
              <w:snapToGrid w:val="0"/>
              <w:jc w:val="left"/>
              <w:rPr>
                <w:rFonts w:hAnsi="宋体" w:cs="宋体"/>
                <w:szCs w:val="18"/>
              </w:rPr>
            </w:pPr>
            <w:r>
              <w:rPr>
                <w:rFonts w:hint="eastAsia" w:hAnsi="宋体" w:cs="宋体"/>
                <w:szCs w:val="18"/>
              </w:rPr>
              <w:t>中国特种设备检验协会</w:t>
            </w:r>
          </w:p>
        </w:tc>
      </w:tr>
      <w:tr w14:paraId="33EB0C7A">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161" w:hRule="atLeast"/>
          <w:jc w:val="center"/>
        </w:trPr>
        <w:tc>
          <w:tcPr>
            <w:tcW w:w="1278" w:type="dxa"/>
            <w:vMerge w:val="restart"/>
            <w:tcBorders>
              <w:tl2br w:val="nil"/>
              <w:tr2bl w:val="nil"/>
            </w:tcBorders>
            <w:vAlign w:val="center"/>
          </w:tcPr>
          <w:p w14:paraId="2723580D">
            <w:pPr>
              <w:pStyle w:val="110"/>
              <w:widowControl w:val="0"/>
              <w:adjustRightInd w:val="0"/>
              <w:snapToGrid w:val="0"/>
              <w:rPr>
                <w:rFonts w:hAnsi="宋体" w:cs="宋体"/>
                <w:szCs w:val="18"/>
              </w:rPr>
            </w:pPr>
            <w:r>
              <w:rPr>
                <w:rFonts w:hint="eastAsia" w:hAnsi="宋体" w:cs="宋体"/>
                <w:szCs w:val="18"/>
              </w:rPr>
              <w:t>救生设备</w:t>
            </w:r>
          </w:p>
        </w:tc>
        <w:tc>
          <w:tcPr>
            <w:tcW w:w="1538" w:type="dxa"/>
            <w:tcBorders>
              <w:tl2br w:val="nil"/>
              <w:tr2bl w:val="nil"/>
            </w:tcBorders>
            <w:shd w:val="clear" w:color="auto" w:fill="auto"/>
            <w:vAlign w:val="center"/>
          </w:tcPr>
          <w:p w14:paraId="2A3E67F3">
            <w:pPr>
              <w:pStyle w:val="110"/>
              <w:widowControl w:val="0"/>
              <w:adjustRightInd w:val="0"/>
              <w:snapToGrid w:val="0"/>
              <w:rPr>
                <w:rFonts w:hAnsi="宋体" w:cs="宋体"/>
                <w:szCs w:val="18"/>
              </w:rPr>
            </w:pPr>
            <w:r>
              <w:rPr>
                <w:rFonts w:hint="eastAsia" w:hAnsi="宋体" w:cs="宋体"/>
                <w:szCs w:val="18"/>
              </w:rPr>
              <w:t>救生艇</w:t>
            </w:r>
          </w:p>
        </w:tc>
        <w:tc>
          <w:tcPr>
            <w:tcW w:w="1910" w:type="dxa"/>
            <w:tcBorders>
              <w:tl2br w:val="nil"/>
              <w:tr2bl w:val="nil"/>
            </w:tcBorders>
            <w:shd w:val="clear" w:color="auto" w:fill="auto"/>
            <w:vAlign w:val="center"/>
          </w:tcPr>
          <w:p w14:paraId="2F0E6A51">
            <w:pPr>
              <w:pStyle w:val="110"/>
              <w:widowControl w:val="0"/>
              <w:adjustRightInd w:val="0"/>
              <w:snapToGrid w:val="0"/>
              <w:rPr>
                <w:rFonts w:hAnsi="宋体" w:cs="宋体"/>
                <w:szCs w:val="18"/>
              </w:rPr>
            </w:pPr>
            <w:r>
              <w:rPr>
                <w:rFonts w:hint="eastAsia" w:hAnsi="宋体" w:cs="宋体"/>
                <w:szCs w:val="18"/>
              </w:rPr>
              <w:t>救生艇/救助艇检验人员</w:t>
            </w:r>
          </w:p>
        </w:tc>
        <w:tc>
          <w:tcPr>
            <w:tcW w:w="4801" w:type="dxa"/>
            <w:tcBorders>
              <w:tl2br w:val="nil"/>
              <w:tr2bl w:val="nil"/>
            </w:tcBorders>
            <w:shd w:val="clear" w:color="auto" w:fill="auto"/>
            <w:vAlign w:val="center"/>
          </w:tcPr>
          <w:p w14:paraId="7A0953B9">
            <w:pPr>
              <w:widowControl/>
              <w:autoSpaceDE w:val="0"/>
              <w:autoSpaceDN w:val="0"/>
              <w:adjustRightInd w:val="0"/>
              <w:snapToGrid w:val="0"/>
              <w:ind w:right="102"/>
              <w:jc w:val="center"/>
              <w:textAlignment w:val="baseline"/>
              <w:rPr>
                <w:rFonts w:ascii="宋体" w:hAnsi="宋体" w:eastAsia="宋体" w:cs="宋体"/>
                <w:kern w:val="0"/>
                <w:sz w:val="18"/>
                <w:szCs w:val="18"/>
              </w:rPr>
            </w:pPr>
            <w:r>
              <w:rPr>
                <w:rFonts w:hint="eastAsia" w:ascii="宋体" w:hAnsi="宋体" w:eastAsia="宋体" w:cs="宋体"/>
                <w:kern w:val="0"/>
                <w:sz w:val="18"/>
                <w:szCs w:val="18"/>
              </w:rPr>
              <w:t>/</w:t>
            </w:r>
          </w:p>
        </w:tc>
        <w:tc>
          <w:tcPr>
            <w:tcW w:w="4735" w:type="dxa"/>
            <w:tcBorders>
              <w:tl2br w:val="nil"/>
              <w:tr2bl w:val="nil"/>
            </w:tcBorders>
            <w:shd w:val="clear" w:color="auto" w:fill="auto"/>
            <w:vAlign w:val="center"/>
          </w:tcPr>
          <w:p w14:paraId="798B9A5F">
            <w:pPr>
              <w:pStyle w:val="110"/>
              <w:widowControl w:val="0"/>
              <w:adjustRightInd w:val="0"/>
              <w:snapToGrid w:val="0"/>
              <w:rPr>
                <w:rFonts w:hAnsi="宋体" w:cs="宋体"/>
                <w:szCs w:val="18"/>
              </w:rPr>
            </w:pPr>
            <w:r>
              <w:rPr>
                <w:rFonts w:hint="eastAsia" w:hAnsi="宋体" w:cs="宋体"/>
                <w:szCs w:val="18"/>
              </w:rPr>
              <w:t>/</w:t>
            </w:r>
          </w:p>
        </w:tc>
      </w:tr>
      <w:tr w14:paraId="3ED8CEDF">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161" w:hRule="atLeast"/>
          <w:jc w:val="center"/>
        </w:trPr>
        <w:tc>
          <w:tcPr>
            <w:tcW w:w="1278" w:type="dxa"/>
            <w:vMerge w:val="continue"/>
            <w:tcBorders>
              <w:tl2br w:val="nil"/>
              <w:tr2bl w:val="nil"/>
            </w:tcBorders>
            <w:vAlign w:val="center"/>
          </w:tcPr>
          <w:p w14:paraId="4DC01455">
            <w:pPr>
              <w:pStyle w:val="110"/>
              <w:widowControl w:val="0"/>
              <w:adjustRightInd w:val="0"/>
              <w:snapToGrid w:val="0"/>
              <w:rPr>
                <w:rFonts w:hAnsi="宋体" w:cs="宋体"/>
                <w:szCs w:val="18"/>
              </w:rPr>
            </w:pPr>
          </w:p>
        </w:tc>
        <w:tc>
          <w:tcPr>
            <w:tcW w:w="1538" w:type="dxa"/>
            <w:tcBorders>
              <w:tl2br w:val="nil"/>
              <w:tr2bl w:val="nil"/>
            </w:tcBorders>
            <w:shd w:val="clear" w:color="auto" w:fill="auto"/>
            <w:vAlign w:val="center"/>
          </w:tcPr>
          <w:p w14:paraId="59DDC3F2">
            <w:pPr>
              <w:pStyle w:val="110"/>
              <w:widowControl w:val="0"/>
              <w:adjustRightInd w:val="0"/>
              <w:snapToGrid w:val="0"/>
              <w:rPr>
                <w:rFonts w:hAnsi="宋体" w:cs="宋体"/>
                <w:szCs w:val="18"/>
              </w:rPr>
            </w:pPr>
            <w:r>
              <w:rPr>
                <w:rFonts w:hint="eastAsia" w:hAnsi="宋体" w:cs="宋体"/>
                <w:szCs w:val="18"/>
              </w:rPr>
              <w:t>救助艇</w:t>
            </w:r>
          </w:p>
        </w:tc>
        <w:tc>
          <w:tcPr>
            <w:tcW w:w="1910" w:type="dxa"/>
            <w:tcBorders>
              <w:tl2br w:val="nil"/>
              <w:tr2bl w:val="nil"/>
            </w:tcBorders>
            <w:shd w:val="clear" w:color="auto" w:fill="auto"/>
            <w:vAlign w:val="center"/>
          </w:tcPr>
          <w:p w14:paraId="6EC98FBB">
            <w:pPr>
              <w:pStyle w:val="110"/>
              <w:widowControl w:val="0"/>
              <w:adjustRightInd w:val="0"/>
              <w:snapToGrid w:val="0"/>
              <w:rPr>
                <w:rFonts w:hAnsi="宋体" w:cs="宋体"/>
                <w:szCs w:val="18"/>
              </w:rPr>
            </w:pPr>
            <w:r>
              <w:rPr>
                <w:rFonts w:hint="eastAsia" w:hAnsi="宋体" w:cs="宋体"/>
                <w:szCs w:val="18"/>
              </w:rPr>
              <w:t>救生艇/救助艇检验人员</w:t>
            </w:r>
          </w:p>
        </w:tc>
        <w:tc>
          <w:tcPr>
            <w:tcW w:w="4801" w:type="dxa"/>
            <w:tcBorders>
              <w:tl2br w:val="nil"/>
              <w:tr2bl w:val="nil"/>
            </w:tcBorders>
            <w:shd w:val="clear" w:color="auto" w:fill="auto"/>
            <w:vAlign w:val="center"/>
          </w:tcPr>
          <w:p w14:paraId="06B20438">
            <w:pPr>
              <w:widowControl/>
              <w:autoSpaceDE w:val="0"/>
              <w:autoSpaceDN w:val="0"/>
              <w:adjustRightInd w:val="0"/>
              <w:snapToGrid w:val="0"/>
              <w:ind w:right="102"/>
              <w:jc w:val="center"/>
              <w:textAlignment w:val="baseline"/>
              <w:rPr>
                <w:rFonts w:ascii="宋体" w:hAnsi="宋体" w:eastAsia="宋体" w:cs="宋体"/>
                <w:kern w:val="0"/>
                <w:sz w:val="18"/>
                <w:szCs w:val="18"/>
              </w:rPr>
            </w:pPr>
            <w:r>
              <w:rPr>
                <w:rFonts w:hint="eastAsia" w:ascii="宋体" w:hAnsi="宋体" w:eastAsia="宋体" w:cs="宋体"/>
                <w:kern w:val="0"/>
                <w:sz w:val="18"/>
                <w:szCs w:val="18"/>
              </w:rPr>
              <w:t>/</w:t>
            </w:r>
          </w:p>
        </w:tc>
        <w:tc>
          <w:tcPr>
            <w:tcW w:w="4735" w:type="dxa"/>
            <w:tcBorders>
              <w:tl2br w:val="nil"/>
              <w:tr2bl w:val="nil"/>
            </w:tcBorders>
            <w:shd w:val="clear" w:color="auto" w:fill="auto"/>
            <w:vAlign w:val="center"/>
          </w:tcPr>
          <w:p w14:paraId="59B44445">
            <w:pPr>
              <w:pStyle w:val="110"/>
              <w:widowControl w:val="0"/>
              <w:adjustRightInd w:val="0"/>
              <w:snapToGrid w:val="0"/>
              <w:rPr>
                <w:rFonts w:hAnsi="宋体" w:cs="宋体"/>
                <w:szCs w:val="18"/>
              </w:rPr>
            </w:pPr>
            <w:r>
              <w:rPr>
                <w:rFonts w:hint="eastAsia" w:hAnsi="宋体" w:cs="宋体"/>
                <w:szCs w:val="18"/>
              </w:rPr>
              <w:t>/</w:t>
            </w:r>
          </w:p>
        </w:tc>
      </w:tr>
      <w:tr w14:paraId="2EFCF3C8">
        <w:tblPrEx>
          <w:tblBorders>
            <w:top w:val="single" w:color="000000" w:sz="8" w:space="0"/>
            <w:left w:val="single" w:color="000000" w:sz="8" w:space="0"/>
            <w:bottom w:val="single" w:color="000000" w:sz="8" w:space="0"/>
            <w:right w:val="single" w:color="000000" w:sz="8" w:space="0"/>
            <w:insideH w:val="single" w:color="auto" w:sz="4" w:space="0"/>
            <w:insideV w:val="single" w:color="auto" w:sz="4" w:space="0"/>
          </w:tblBorders>
          <w:tblCellMar>
            <w:top w:w="0" w:type="dxa"/>
            <w:left w:w="0" w:type="dxa"/>
            <w:bottom w:w="0" w:type="dxa"/>
            <w:right w:w="0" w:type="dxa"/>
          </w:tblCellMar>
        </w:tblPrEx>
        <w:trPr>
          <w:trHeight w:val="161" w:hRule="atLeast"/>
          <w:jc w:val="center"/>
        </w:trPr>
        <w:tc>
          <w:tcPr>
            <w:tcW w:w="1278" w:type="dxa"/>
            <w:vMerge w:val="continue"/>
            <w:tcBorders>
              <w:tl2br w:val="nil"/>
              <w:tr2bl w:val="nil"/>
            </w:tcBorders>
            <w:vAlign w:val="center"/>
          </w:tcPr>
          <w:p w14:paraId="61D308D7">
            <w:pPr>
              <w:pStyle w:val="110"/>
              <w:widowControl w:val="0"/>
              <w:adjustRightInd w:val="0"/>
              <w:snapToGrid w:val="0"/>
              <w:rPr>
                <w:rFonts w:hAnsi="宋体" w:cs="宋体"/>
                <w:szCs w:val="18"/>
              </w:rPr>
            </w:pPr>
          </w:p>
        </w:tc>
        <w:tc>
          <w:tcPr>
            <w:tcW w:w="1538" w:type="dxa"/>
            <w:tcBorders>
              <w:tl2br w:val="nil"/>
              <w:tr2bl w:val="nil"/>
            </w:tcBorders>
            <w:shd w:val="clear" w:color="auto" w:fill="auto"/>
            <w:vAlign w:val="center"/>
          </w:tcPr>
          <w:p w14:paraId="287217C3">
            <w:pPr>
              <w:pStyle w:val="110"/>
              <w:widowControl w:val="0"/>
              <w:adjustRightInd w:val="0"/>
              <w:snapToGrid w:val="0"/>
              <w:rPr>
                <w:rFonts w:hAnsi="宋体" w:cs="宋体"/>
                <w:szCs w:val="18"/>
              </w:rPr>
            </w:pPr>
            <w:r>
              <w:rPr>
                <w:rFonts w:hint="eastAsia" w:hAnsi="宋体" w:cs="宋体"/>
                <w:szCs w:val="18"/>
              </w:rPr>
              <w:t>救生筏</w:t>
            </w:r>
          </w:p>
        </w:tc>
        <w:tc>
          <w:tcPr>
            <w:tcW w:w="1910" w:type="dxa"/>
            <w:tcBorders>
              <w:tl2br w:val="nil"/>
              <w:tr2bl w:val="nil"/>
            </w:tcBorders>
            <w:shd w:val="clear" w:color="auto" w:fill="auto"/>
            <w:vAlign w:val="center"/>
          </w:tcPr>
          <w:p w14:paraId="7F8493E5">
            <w:pPr>
              <w:pStyle w:val="110"/>
              <w:widowControl w:val="0"/>
              <w:adjustRightInd w:val="0"/>
              <w:snapToGrid w:val="0"/>
              <w:rPr>
                <w:rFonts w:hAnsi="宋体" w:cs="宋体"/>
                <w:szCs w:val="18"/>
              </w:rPr>
            </w:pPr>
            <w:r>
              <w:rPr>
                <w:rFonts w:hint="eastAsia" w:hAnsi="宋体" w:cs="宋体"/>
                <w:szCs w:val="18"/>
              </w:rPr>
              <w:t>救生筏检验人员</w:t>
            </w:r>
          </w:p>
        </w:tc>
        <w:tc>
          <w:tcPr>
            <w:tcW w:w="4801" w:type="dxa"/>
            <w:tcBorders>
              <w:tl2br w:val="nil"/>
              <w:tr2bl w:val="nil"/>
            </w:tcBorders>
            <w:shd w:val="clear" w:color="auto" w:fill="auto"/>
            <w:vAlign w:val="center"/>
          </w:tcPr>
          <w:p w14:paraId="04353102">
            <w:pPr>
              <w:widowControl/>
              <w:autoSpaceDE w:val="0"/>
              <w:autoSpaceDN w:val="0"/>
              <w:adjustRightInd w:val="0"/>
              <w:snapToGrid w:val="0"/>
              <w:ind w:right="102"/>
              <w:jc w:val="center"/>
              <w:textAlignment w:val="baseline"/>
              <w:rPr>
                <w:rFonts w:ascii="宋体" w:hAnsi="宋体" w:eastAsia="宋体" w:cs="宋体"/>
                <w:kern w:val="0"/>
                <w:sz w:val="18"/>
                <w:szCs w:val="18"/>
              </w:rPr>
            </w:pPr>
            <w:r>
              <w:rPr>
                <w:rFonts w:hint="eastAsia" w:ascii="宋体" w:hAnsi="宋体" w:eastAsia="宋体" w:cs="宋体"/>
                <w:kern w:val="0"/>
                <w:sz w:val="18"/>
                <w:szCs w:val="18"/>
              </w:rPr>
              <w:t>/</w:t>
            </w:r>
          </w:p>
        </w:tc>
        <w:tc>
          <w:tcPr>
            <w:tcW w:w="4735" w:type="dxa"/>
            <w:tcBorders>
              <w:tl2br w:val="nil"/>
              <w:tr2bl w:val="nil"/>
            </w:tcBorders>
            <w:shd w:val="clear" w:color="auto" w:fill="auto"/>
            <w:vAlign w:val="center"/>
          </w:tcPr>
          <w:p w14:paraId="2A0CB48A">
            <w:pPr>
              <w:pStyle w:val="110"/>
              <w:widowControl w:val="0"/>
              <w:adjustRightInd w:val="0"/>
              <w:snapToGrid w:val="0"/>
              <w:rPr>
                <w:rFonts w:hAnsi="宋体" w:cs="宋体"/>
                <w:szCs w:val="18"/>
              </w:rPr>
            </w:pPr>
            <w:r>
              <w:rPr>
                <w:rFonts w:hint="eastAsia" w:hAnsi="宋体" w:cs="宋体"/>
                <w:szCs w:val="18"/>
              </w:rPr>
              <w:t>/</w:t>
            </w:r>
          </w:p>
        </w:tc>
      </w:tr>
    </w:tbl>
    <w:p w14:paraId="1A405696">
      <w:pPr>
        <w:pStyle w:val="108"/>
        <w:numPr>
          <w:ilvl w:val="1"/>
          <w:numId w:val="0"/>
        </w:numPr>
        <w:spacing w:before="120" w:after="120"/>
        <w:ind w:left="181" w:leftChars="86"/>
        <w:rPr>
          <w:rFonts w:ascii="宋体" w:hAnsi="宋体"/>
        </w:rPr>
      </w:pPr>
    </w:p>
    <w:p w14:paraId="18418A0D">
      <w:pPr>
        <w:pStyle w:val="108"/>
        <w:numPr>
          <w:ilvl w:val="1"/>
          <w:numId w:val="0"/>
        </w:numPr>
        <w:spacing w:before="120" w:after="120"/>
        <w:ind w:left="181" w:leftChars="86"/>
        <w:rPr>
          <w:rFonts w:ascii="宋体" w:hAnsi="宋体"/>
        </w:rPr>
      </w:pPr>
    </w:p>
    <w:p w14:paraId="678B1D54">
      <w:pPr>
        <w:pStyle w:val="108"/>
        <w:numPr>
          <w:ilvl w:val="1"/>
          <w:numId w:val="0"/>
        </w:numPr>
        <w:spacing w:before="120" w:after="120"/>
        <w:ind w:left="181" w:leftChars="86"/>
        <w:rPr>
          <w:rFonts w:ascii="宋体" w:hAnsi="宋体"/>
        </w:rPr>
      </w:pPr>
    </w:p>
    <w:p w14:paraId="4BBB177E">
      <w:pPr>
        <w:pStyle w:val="108"/>
        <w:numPr>
          <w:ilvl w:val="1"/>
          <w:numId w:val="0"/>
        </w:numPr>
        <w:spacing w:before="120" w:after="120"/>
        <w:ind w:left="181" w:leftChars="86"/>
        <w:rPr>
          <w:rFonts w:ascii="宋体" w:hAnsi="宋体"/>
        </w:rPr>
      </w:pPr>
      <w:r>
        <w:rPr>
          <w:rFonts w:hint="eastAsia" w:ascii="宋体" w:hAnsi="宋体"/>
        </w:rPr>
        <w:t>表D</w:t>
      </w:r>
      <w:r>
        <w:rPr>
          <w:rFonts w:ascii="宋体" w:hAnsi="宋体"/>
        </w:rPr>
        <w:t>.1专业设备检验人员取证要求</w:t>
      </w:r>
      <w:r>
        <w:rPr>
          <w:rFonts w:hint="eastAsia" w:ascii="宋体" w:hAnsi="宋体" w:eastAsia="宋体" w:cs="宋体"/>
        </w:rPr>
        <w:t>（续）</w:t>
      </w:r>
    </w:p>
    <w:tbl>
      <w:tblPr>
        <w:tblStyle w:val="26"/>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0"/>
        <w:gridCol w:w="1566"/>
        <w:gridCol w:w="1905"/>
        <w:gridCol w:w="4816"/>
        <w:gridCol w:w="4688"/>
      </w:tblGrid>
      <w:tr w14:paraId="0F591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0" w:hRule="atLeast"/>
          <w:jc w:val="center"/>
        </w:trPr>
        <w:tc>
          <w:tcPr>
            <w:tcW w:w="1208" w:type="dxa"/>
            <w:tcBorders>
              <w:top w:val="single" w:color="000000" w:sz="8" w:space="0"/>
              <w:left w:val="single" w:color="000000" w:sz="8" w:space="0"/>
              <w:bottom w:val="single" w:color="000000" w:sz="8" w:space="0"/>
              <w:tl2br w:val="nil"/>
              <w:tr2bl w:val="nil"/>
            </w:tcBorders>
            <w:vAlign w:val="center"/>
          </w:tcPr>
          <w:p w14:paraId="27423F0F">
            <w:pPr>
              <w:pStyle w:val="110"/>
              <w:widowControl w:val="0"/>
              <w:rPr>
                <w:rFonts w:hAnsi="宋体" w:cs="宋体"/>
                <w:szCs w:val="18"/>
              </w:rPr>
            </w:pPr>
            <w:r>
              <w:rPr>
                <w:rFonts w:hint="eastAsia" w:hAnsi="宋体" w:cs="宋体"/>
                <w:szCs w:val="18"/>
              </w:rPr>
              <w:t>大类专业设备</w:t>
            </w:r>
          </w:p>
        </w:tc>
        <w:tc>
          <w:tcPr>
            <w:tcW w:w="1564" w:type="dxa"/>
            <w:tcBorders>
              <w:top w:val="single" w:color="000000" w:sz="8" w:space="0"/>
              <w:bottom w:val="single" w:color="000000" w:sz="8" w:space="0"/>
              <w:tl2br w:val="nil"/>
              <w:tr2bl w:val="nil"/>
            </w:tcBorders>
            <w:vAlign w:val="center"/>
          </w:tcPr>
          <w:p w14:paraId="2A0EBB7C">
            <w:pPr>
              <w:pStyle w:val="110"/>
              <w:widowControl w:val="0"/>
              <w:rPr>
                <w:rFonts w:hAnsi="宋体" w:cs="宋体"/>
                <w:szCs w:val="18"/>
              </w:rPr>
            </w:pPr>
            <w:r>
              <w:rPr>
                <w:rFonts w:hint="eastAsia" w:hAnsi="宋体" w:cs="宋体"/>
                <w:szCs w:val="18"/>
              </w:rPr>
              <w:t>中类专业设备</w:t>
            </w:r>
          </w:p>
        </w:tc>
        <w:tc>
          <w:tcPr>
            <w:tcW w:w="1902" w:type="dxa"/>
            <w:tcBorders>
              <w:top w:val="single" w:color="000000" w:sz="8" w:space="0"/>
              <w:bottom w:val="single" w:color="000000" w:sz="8" w:space="0"/>
              <w:tl2br w:val="nil"/>
              <w:tr2bl w:val="nil"/>
            </w:tcBorders>
            <w:vAlign w:val="center"/>
          </w:tcPr>
          <w:p w14:paraId="375CAE0E">
            <w:pPr>
              <w:pStyle w:val="110"/>
              <w:widowControl w:val="0"/>
              <w:rPr>
                <w:rFonts w:hAnsi="宋体" w:cs="宋体"/>
                <w:szCs w:val="18"/>
              </w:rPr>
            </w:pPr>
            <w:r>
              <w:rPr>
                <w:rFonts w:hint="eastAsia" w:hAnsi="宋体" w:cs="宋体"/>
                <w:szCs w:val="18"/>
              </w:rPr>
              <w:t>专业设备检验人员</w:t>
            </w:r>
          </w:p>
        </w:tc>
        <w:tc>
          <w:tcPr>
            <w:tcW w:w="4810" w:type="dxa"/>
            <w:tcBorders>
              <w:top w:val="single" w:color="000000" w:sz="8" w:space="0"/>
              <w:bottom w:val="single" w:color="000000" w:sz="8" w:space="0"/>
              <w:tl2br w:val="nil"/>
              <w:tr2bl w:val="nil"/>
            </w:tcBorders>
            <w:vAlign w:val="center"/>
          </w:tcPr>
          <w:p w14:paraId="1146C37F">
            <w:pPr>
              <w:pStyle w:val="110"/>
              <w:widowControl w:val="0"/>
              <w:rPr>
                <w:rFonts w:hAnsi="宋体" w:cs="宋体"/>
                <w:szCs w:val="18"/>
              </w:rPr>
            </w:pPr>
            <w:r>
              <w:rPr>
                <w:rFonts w:hint="eastAsia" w:hAnsi="宋体" w:cs="宋体"/>
                <w:szCs w:val="18"/>
              </w:rPr>
              <w:t>相关行业检验人员职业资格证书</w:t>
            </w:r>
            <w:r>
              <w:rPr>
                <w:rFonts w:hint="eastAsia" w:hAnsi="宋体"/>
              </w:rPr>
              <w:t>或能力认定证书</w:t>
            </w:r>
          </w:p>
        </w:tc>
        <w:tc>
          <w:tcPr>
            <w:tcW w:w="4682" w:type="dxa"/>
            <w:tcBorders>
              <w:top w:val="single" w:color="000000" w:sz="8" w:space="0"/>
              <w:bottom w:val="single" w:color="000000" w:sz="8" w:space="0"/>
              <w:right w:val="single" w:color="000000" w:sz="8" w:space="0"/>
              <w:tl2br w:val="nil"/>
              <w:tr2bl w:val="nil"/>
            </w:tcBorders>
            <w:vAlign w:val="center"/>
          </w:tcPr>
          <w:p w14:paraId="440F88C0">
            <w:pPr>
              <w:pStyle w:val="110"/>
              <w:widowControl w:val="0"/>
              <w:rPr>
                <w:rFonts w:hAnsi="宋体" w:cs="宋体"/>
                <w:szCs w:val="18"/>
              </w:rPr>
            </w:pPr>
            <w:r>
              <w:rPr>
                <w:rFonts w:hint="eastAsia" w:hAnsi="宋体" w:cs="宋体"/>
                <w:szCs w:val="18"/>
              </w:rPr>
              <w:t>发证单位</w:t>
            </w:r>
          </w:p>
        </w:tc>
      </w:tr>
      <w:tr w14:paraId="705A9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08" w:type="dxa"/>
            <w:tcBorders>
              <w:left w:val="single" w:color="000000" w:sz="8" w:space="0"/>
              <w:tl2br w:val="nil"/>
              <w:tr2bl w:val="nil"/>
            </w:tcBorders>
            <w:shd w:val="clear" w:color="auto" w:fill="auto"/>
            <w:vAlign w:val="center"/>
          </w:tcPr>
          <w:p w14:paraId="2AC692EE">
            <w:pPr>
              <w:pStyle w:val="110"/>
              <w:widowControl w:val="0"/>
              <w:adjustRightInd w:val="0"/>
              <w:snapToGrid w:val="0"/>
              <w:rPr>
                <w:rFonts w:hAnsi="宋体" w:cs="宋体"/>
                <w:szCs w:val="18"/>
              </w:rPr>
            </w:pPr>
            <w:r>
              <w:rPr>
                <w:rFonts w:hint="eastAsia" w:hAnsi="宋体" w:cs="宋体"/>
                <w:szCs w:val="18"/>
              </w:rPr>
              <w:t>消防器材</w:t>
            </w:r>
          </w:p>
        </w:tc>
        <w:tc>
          <w:tcPr>
            <w:tcW w:w="1564" w:type="dxa"/>
            <w:tcBorders>
              <w:tl2br w:val="nil"/>
              <w:tr2bl w:val="nil"/>
            </w:tcBorders>
            <w:shd w:val="clear" w:color="auto" w:fill="auto"/>
            <w:vAlign w:val="center"/>
          </w:tcPr>
          <w:p w14:paraId="260ABAC8">
            <w:pPr>
              <w:pStyle w:val="110"/>
              <w:widowControl w:val="0"/>
              <w:adjustRightInd w:val="0"/>
              <w:snapToGrid w:val="0"/>
              <w:rPr>
                <w:rFonts w:hAnsi="宋体" w:cs="宋体"/>
                <w:szCs w:val="18"/>
              </w:rPr>
            </w:pPr>
            <w:r>
              <w:rPr>
                <w:rFonts w:hint="eastAsia" w:hAnsi="宋体" w:cs="宋体"/>
                <w:szCs w:val="18"/>
              </w:rPr>
              <w:t>固定式灭火系统</w:t>
            </w:r>
          </w:p>
        </w:tc>
        <w:tc>
          <w:tcPr>
            <w:tcW w:w="1902" w:type="dxa"/>
            <w:tcBorders>
              <w:tl2br w:val="nil"/>
              <w:tr2bl w:val="nil"/>
            </w:tcBorders>
            <w:shd w:val="clear" w:color="auto" w:fill="auto"/>
            <w:vAlign w:val="center"/>
          </w:tcPr>
          <w:p w14:paraId="0AE04602">
            <w:pPr>
              <w:pStyle w:val="110"/>
              <w:widowControl w:val="0"/>
              <w:adjustRightInd w:val="0"/>
              <w:snapToGrid w:val="0"/>
              <w:rPr>
                <w:rFonts w:hAnsi="宋体" w:cs="宋体"/>
                <w:szCs w:val="18"/>
              </w:rPr>
            </w:pPr>
            <w:r>
              <w:rPr>
                <w:rFonts w:hint="eastAsia" w:hAnsi="宋体" w:cs="宋体"/>
                <w:szCs w:val="18"/>
              </w:rPr>
              <w:t>固定式灭火系统检验人员</w:t>
            </w:r>
          </w:p>
        </w:tc>
        <w:tc>
          <w:tcPr>
            <w:tcW w:w="4810" w:type="dxa"/>
            <w:tcBorders>
              <w:tl2br w:val="nil"/>
              <w:tr2bl w:val="nil"/>
            </w:tcBorders>
            <w:shd w:val="clear" w:color="auto" w:fill="auto"/>
            <w:vAlign w:val="center"/>
          </w:tcPr>
          <w:p w14:paraId="655EEC9B">
            <w:pPr>
              <w:pStyle w:val="110"/>
              <w:widowControl w:val="0"/>
              <w:adjustRightInd w:val="0"/>
              <w:snapToGrid w:val="0"/>
              <w:jc w:val="left"/>
              <w:rPr>
                <w:rFonts w:hAnsi="宋体" w:cs="宋体"/>
                <w:szCs w:val="18"/>
              </w:rPr>
            </w:pPr>
            <w:r>
              <w:rPr>
                <w:rFonts w:hint="eastAsia" w:hAnsi="宋体" w:cs="宋体"/>
                <w:szCs w:val="18"/>
              </w:rPr>
              <w:t>一级注册消防工程师或二级注册消防工程师</w:t>
            </w:r>
          </w:p>
        </w:tc>
        <w:tc>
          <w:tcPr>
            <w:tcW w:w="4682" w:type="dxa"/>
            <w:tcBorders>
              <w:right w:val="single" w:color="000000" w:sz="8" w:space="0"/>
              <w:tl2br w:val="nil"/>
              <w:tr2bl w:val="nil"/>
            </w:tcBorders>
            <w:shd w:val="clear" w:color="auto" w:fill="auto"/>
            <w:vAlign w:val="center"/>
          </w:tcPr>
          <w:p w14:paraId="10C83B71">
            <w:pPr>
              <w:pStyle w:val="110"/>
              <w:widowControl w:val="0"/>
              <w:adjustRightInd w:val="0"/>
              <w:snapToGrid w:val="0"/>
              <w:jc w:val="left"/>
              <w:rPr>
                <w:rFonts w:hAnsi="宋体" w:cs="宋体"/>
                <w:szCs w:val="18"/>
              </w:rPr>
            </w:pPr>
            <w:r>
              <w:rPr>
                <w:rFonts w:hint="eastAsia" w:hAnsi="宋体" w:cs="宋体"/>
                <w:szCs w:val="18"/>
              </w:rPr>
              <w:t>一级注册消防工程师：人力资源和社会保障部、应急管理部</w:t>
            </w:r>
          </w:p>
          <w:p w14:paraId="222D01B4">
            <w:pPr>
              <w:pStyle w:val="110"/>
              <w:widowControl w:val="0"/>
              <w:adjustRightInd w:val="0"/>
              <w:snapToGrid w:val="0"/>
              <w:jc w:val="left"/>
              <w:rPr>
                <w:rFonts w:hAnsi="宋体" w:cs="宋体"/>
                <w:szCs w:val="18"/>
              </w:rPr>
            </w:pPr>
            <w:r>
              <w:rPr>
                <w:rFonts w:hint="eastAsia" w:hAnsi="宋体" w:cs="宋体"/>
                <w:szCs w:val="18"/>
              </w:rPr>
              <w:t>二级注册消防工程师：省级人力资源社会保障部门、省级消防救援机构</w:t>
            </w:r>
          </w:p>
        </w:tc>
      </w:tr>
      <w:tr w14:paraId="463C8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08" w:type="dxa"/>
            <w:vMerge w:val="restart"/>
            <w:tcBorders>
              <w:left w:val="single" w:color="000000" w:sz="8" w:space="0"/>
              <w:tl2br w:val="nil"/>
              <w:tr2bl w:val="nil"/>
            </w:tcBorders>
            <w:vAlign w:val="center"/>
          </w:tcPr>
          <w:p w14:paraId="04DFBD45">
            <w:pPr>
              <w:pStyle w:val="110"/>
              <w:widowControl w:val="0"/>
              <w:adjustRightInd w:val="0"/>
              <w:snapToGrid w:val="0"/>
              <w:rPr>
                <w:rFonts w:hAnsi="宋体" w:cs="宋体"/>
                <w:szCs w:val="18"/>
              </w:rPr>
            </w:pPr>
            <w:r>
              <w:rPr>
                <w:rFonts w:hint="eastAsia" w:hAnsi="宋体" w:cs="宋体"/>
                <w:szCs w:val="18"/>
              </w:rPr>
              <w:t>钢丝绳等系物及被系物</w:t>
            </w:r>
          </w:p>
        </w:tc>
        <w:tc>
          <w:tcPr>
            <w:tcW w:w="1564" w:type="dxa"/>
            <w:tcBorders>
              <w:tl2br w:val="nil"/>
              <w:tr2bl w:val="nil"/>
            </w:tcBorders>
            <w:vAlign w:val="center"/>
          </w:tcPr>
          <w:p w14:paraId="531ABF4C">
            <w:pPr>
              <w:pStyle w:val="110"/>
              <w:widowControl w:val="0"/>
              <w:adjustRightInd w:val="0"/>
              <w:snapToGrid w:val="0"/>
              <w:rPr>
                <w:rFonts w:hAnsi="宋体" w:cs="宋体"/>
                <w:szCs w:val="18"/>
              </w:rPr>
            </w:pPr>
            <w:r>
              <w:rPr>
                <w:rFonts w:hint="eastAsia" w:hAnsi="宋体" w:cs="宋体"/>
                <w:szCs w:val="18"/>
              </w:rPr>
              <w:t>系物</w:t>
            </w:r>
          </w:p>
        </w:tc>
        <w:tc>
          <w:tcPr>
            <w:tcW w:w="1902" w:type="dxa"/>
            <w:tcBorders>
              <w:tl2br w:val="nil"/>
              <w:tr2bl w:val="nil"/>
            </w:tcBorders>
            <w:vAlign w:val="center"/>
          </w:tcPr>
          <w:p w14:paraId="2BC25CE5">
            <w:pPr>
              <w:pStyle w:val="110"/>
              <w:widowControl w:val="0"/>
              <w:adjustRightInd w:val="0"/>
              <w:snapToGrid w:val="0"/>
              <w:rPr>
                <w:rFonts w:hAnsi="宋体" w:cs="宋体"/>
                <w:szCs w:val="18"/>
              </w:rPr>
            </w:pPr>
            <w:r>
              <w:rPr>
                <w:rFonts w:hint="eastAsia" w:hAnsi="宋体" w:cs="宋体"/>
                <w:szCs w:val="18"/>
              </w:rPr>
              <w:t>系物/被系物检验人员</w:t>
            </w:r>
          </w:p>
        </w:tc>
        <w:tc>
          <w:tcPr>
            <w:tcW w:w="4810" w:type="dxa"/>
            <w:tcBorders>
              <w:tl2br w:val="nil"/>
              <w:tr2bl w:val="nil"/>
            </w:tcBorders>
            <w:shd w:val="clear" w:color="auto" w:fill="auto"/>
            <w:vAlign w:val="center"/>
          </w:tcPr>
          <w:p w14:paraId="74D8B8A6">
            <w:pPr>
              <w:widowControl/>
              <w:autoSpaceDE w:val="0"/>
              <w:autoSpaceDN w:val="0"/>
              <w:adjustRightInd w:val="0"/>
              <w:snapToGrid w:val="0"/>
              <w:ind w:right="102"/>
              <w:jc w:val="center"/>
              <w:textAlignment w:val="baseline"/>
              <w:rPr>
                <w:rFonts w:ascii="宋体" w:hAnsi="宋体" w:eastAsia="宋体" w:cs="宋体"/>
                <w:kern w:val="0"/>
                <w:sz w:val="18"/>
                <w:szCs w:val="18"/>
              </w:rPr>
            </w:pPr>
            <w:r>
              <w:rPr>
                <w:rFonts w:hint="eastAsia" w:ascii="宋体" w:hAnsi="宋体" w:eastAsia="宋体" w:cs="宋体"/>
                <w:kern w:val="0"/>
                <w:sz w:val="18"/>
                <w:szCs w:val="18"/>
              </w:rPr>
              <w:t>/</w:t>
            </w:r>
          </w:p>
        </w:tc>
        <w:tc>
          <w:tcPr>
            <w:tcW w:w="4682" w:type="dxa"/>
            <w:tcBorders>
              <w:right w:val="single" w:color="000000" w:sz="8" w:space="0"/>
              <w:tl2br w:val="nil"/>
              <w:tr2bl w:val="nil"/>
            </w:tcBorders>
            <w:shd w:val="clear" w:color="auto" w:fill="auto"/>
            <w:vAlign w:val="center"/>
          </w:tcPr>
          <w:p w14:paraId="764CF673">
            <w:pPr>
              <w:pStyle w:val="110"/>
              <w:widowControl w:val="0"/>
              <w:adjustRightInd w:val="0"/>
              <w:snapToGrid w:val="0"/>
              <w:rPr>
                <w:rFonts w:hAnsi="宋体" w:cs="宋体"/>
                <w:szCs w:val="18"/>
              </w:rPr>
            </w:pPr>
            <w:r>
              <w:rPr>
                <w:rFonts w:hint="eastAsia" w:hAnsi="宋体" w:cs="宋体"/>
                <w:szCs w:val="18"/>
              </w:rPr>
              <w:t>/</w:t>
            </w:r>
          </w:p>
        </w:tc>
      </w:tr>
      <w:tr w14:paraId="1D4E5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08" w:type="dxa"/>
            <w:vMerge w:val="continue"/>
            <w:tcBorders>
              <w:left w:val="single" w:color="000000" w:sz="8" w:space="0"/>
              <w:tl2br w:val="nil"/>
              <w:tr2bl w:val="nil"/>
            </w:tcBorders>
            <w:vAlign w:val="center"/>
          </w:tcPr>
          <w:p w14:paraId="6D74570F">
            <w:pPr>
              <w:rPr>
                <w:rFonts w:ascii="宋体" w:hAnsi="宋体" w:eastAsia="宋体" w:cs="宋体"/>
                <w:kern w:val="0"/>
                <w:sz w:val="18"/>
                <w:szCs w:val="18"/>
              </w:rPr>
            </w:pPr>
          </w:p>
        </w:tc>
        <w:tc>
          <w:tcPr>
            <w:tcW w:w="1564" w:type="dxa"/>
            <w:tcBorders>
              <w:tl2br w:val="nil"/>
              <w:tr2bl w:val="nil"/>
            </w:tcBorders>
            <w:vAlign w:val="center"/>
          </w:tcPr>
          <w:p w14:paraId="2BE8BF75">
            <w:pPr>
              <w:pStyle w:val="110"/>
              <w:widowControl w:val="0"/>
              <w:adjustRightInd w:val="0"/>
              <w:snapToGrid w:val="0"/>
              <w:rPr>
                <w:rFonts w:hAnsi="宋体" w:cs="宋体"/>
                <w:szCs w:val="18"/>
              </w:rPr>
            </w:pPr>
            <w:r>
              <w:rPr>
                <w:rFonts w:hint="eastAsia" w:hAnsi="宋体" w:cs="宋体"/>
                <w:szCs w:val="18"/>
              </w:rPr>
              <w:t>被系物</w:t>
            </w:r>
          </w:p>
        </w:tc>
        <w:tc>
          <w:tcPr>
            <w:tcW w:w="1902" w:type="dxa"/>
            <w:tcBorders>
              <w:tl2br w:val="nil"/>
              <w:tr2bl w:val="nil"/>
            </w:tcBorders>
            <w:vAlign w:val="center"/>
          </w:tcPr>
          <w:p w14:paraId="61B9165C">
            <w:pPr>
              <w:pStyle w:val="110"/>
              <w:widowControl w:val="0"/>
              <w:adjustRightInd w:val="0"/>
              <w:snapToGrid w:val="0"/>
              <w:rPr>
                <w:rFonts w:hAnsi="宋体" w:cs="宋体"/>
                <w:szCs w:val="18"/>
              </w:rPr>
            </w:pPr>
            <w:r>
              <w:rPr>
                <w:rFonts w:hint="eastAsia" w:hAnsi="宋体" w:cs="宋体"/>
                <w:szCs w:val="18"/>
              </w:rPr>
              <w:t>系物/被系物检验人员</w:t>
            </w:r>
          </w:p>
        </w:tc>
        <w:tc>
          <w:tcPr>
            <w:tcW w:w="4810" w:type="dxa"/>
            <w:tcBorders>
              <w:tl2br w:val="nil"/>
              <w:tr2bl w:val="nil"/>
            </w:tcBorders>
            <w:shd w:val="clear" w:color="auto" w:fill="auto"/>
            <w:vAlign w:val="center"/>
          </w:tcPr>
          <w:p w14:paraId="43646FA1">
            <w:pPr>
              <w:widowControl/>
              <w:autoSpaceDE w:val="0"/>
              <w:autoSpaceDN w:val="0"/>
              <w:adjustRightInd w:val="0"/>
              <w:snapToGrid w:val="0"/>
              <w:ind w:right="102"/>
              <w:jc w:val="center"/>
              <w:textAlignment w:val="baseline"/>
              <w:rPr>
                <w:rFonts w:ascii="宋体" w:hAnsi="宋体" w:eastAsia="宋体" w:cs="宋体"/>
                <w:kern w:val="0"/>
                <w:sz w:val="18"/>
                <w:szCs w:val="18"/>
              </w:rPr>
            </w:pPr>
            <w:r>
              <w:rPr>
                <w:rFonts w:hint="eastAsia" w:ascii="宋体" w:hAnsi="宋体" w:eastAsia="宋体" w:cs="宋体"/>
                <w:kern w:val="0"/>
                <w:sz w:val="18"/>
                <w:szCs w:val="18"/>
              </w:rPr>
              <w:t>/</w:t>
            </w:r>
          </w:p>
        </w:tc>
        <w:tc>
          <w:tcPr>
            <w:tcW w:w="4682" w:type="dxa"/>
            <w:tcBorders>
              <w:right w:val="single" w:color="000000" w:sz="8" w:space="0"/>
              <w:tl2br w:val="nil"/>
              <w:tr2bl w:val="nil"/>
            </w:tcBorders>
            <w:shd w:val="clear" w:color="auto" w:fill="auto"/>
            <w:vAlign w:val="center"/>
          </w:tcPr>
          <w:p w14:paraId="3B18B12D">
            <w:pPr>
              <w:pStyle w:val="110"/>
              <w:widowControl w:val="0"/>
              <w:adjustRightInd w:val="0"/>
              <w:snapToGrid w:val="0"/>
              <w:rPr>
                <w:rFonts w:hAnsi="宋体" w:cs="宋体"/>
                <w:szCs w:val="18"/>
              </w:rPr>
            </w:pPr>
            <w:r>
              <w:rPr>
                <w:rFonts w:hint="eastAsia" w:hAnsi="宋体" w:cs="宋体"/>
                <w:szCs w:val="18"/>
              </w:rPr>
              <w:t>/</w:t>
            </w:r>
          </w:p>
        </w:tc>
      </w:tr>
      <w:tr w14:paraId="53AAF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08" w:type="dxa"/>
            <w:vMerge w:val="continue"/>
            <w:tcBorders>
              <w:left w:val="single" w:color="000000" w:sz="8" w:space="0"/>
              <w:tl2br w:val="nil"/>
              <w:tr2bl w:val="nil"/>
            </w:tcBorders>
            <w:vAlign w:val="center"/>
          </w:tcPr>
          <w:p w14:paraId="553D329E">
            <w:pPr>
              <w:rPr>
                <w:rFonts w:ascii="宋体" w:hAnsi="宋体" w:eastAsia="宋体" w:cs="宋体"/>
                <w:kern w:val="0"/>
                <w:sz w:val="18"/>
                <w:szCs w:val="18"/>
              </w:rPr>
            </w:pPr>
          </w:p>
        </w:tc>
        <w:tc>
          <w:tcPr>
            <w:tcW w:w="1564" w:type="dxa"/>
            <w:tcBorders>
              <w:tl2br w:val="nil"/>
              <w:tr2bl w:val="nil"/>
            </w:tcBorders>
            <w:vAlign w:val="center"/>
          </w:tcPr>
          <w:p w14:paraId="74890FEC">
            <w:pPr>
              <w:pStyle w:val="110"/>
              <w:widowControl w:val="0"/>
              <w:adjustRightInd w:val="0"/>
              <w:snapToGrid w:val="0"/>
              <w:rPr>
                <w:rFonts w:hAnsi="宋体" w:cs="宋体"/>
                <w:szCs w:val="18"/>
              </w:rPr>
            </w:pPr>
            <w:r>
              <w:rPr>
                <w:rFonts w:hint="eastAsia" w:hAnsi="宋体" w:cs="宋体"/>
                <w:szCs w:val="18"/>
              </w:rPr>
              <w:t>载人吊篮</w:t>
            </w:r>
          </w:p>
        </w:tc>
        <w:tc>
          <w:tcPr>
            <w:tcW w:w="1902" w:type="dxa"/>
            <w:tcBorders>
              <w:tl2br w:val="nil"/>
              <w:tr2bl w:val="nil"/>
            </w:tcBorders>
            <w:vAlign w:val="center"/>
          </w:tcPr>
          <w:p w14:paraId="58293F8D">
            <w:pPr>
              <w:pStyle w:val="110"/>
              <w:widowControl w:val="0"/>
              <w:adjustRightInd w:val="0"/>
              <w:snapToGrid w:val="0"/>
              <w:rPr>
                <w:rFonts w:hAnsi="宋体" w:cs="宋体"/>
                <w:szCs w:val="18"/>
              </w:rPr>
            </w:pPr>
            <w:r>
              <w:rPr>
                <w:rFonts w:hint="eastAsia" w:hAnsi="宋体" w:cs="宋体"/>
                <w:szCs w:val="18"/>
              </w:rPr>
              <w:t>载人吊篮检验人员</w:t>
            </w:r>
          </w:p>
        </w:tc>
        <w:tc>
          <w:tcPr>
            <w:tcW w:w="4810" w:type="dxa"/>
            <w:tcBorders>
              <w:tl2br w:val="nil"/>
              <w:tr2bl w:val="nil"/>
            </w:tcBorders>
            <w:shd w:val="clear" w:color="auto" w:fill="auto"/>
            <w:vAlign w:val="center"/>
          </w:tcPr>
          <w:p w14:paraId="50246B75">
            <w:pPr>
              <w:widowControl/>
              <w:autoSpaceDE w:val="0"/>
              <w:autoSpaceDN w:val="0"/>
              <w:adjustRightInd w:val="0"/>
              <w:snapToGrid w:val="0"/>
              <w:ind w:right="102"/>
              <w:jc w:val="center"/>
              <w:textAlignment w:val="baseline"/>
              <w:rPr>
                <w:rFonts w:ascii="宋体" w:hAnsi="宋体" w:eastAsia="宋体" w:cs="宋体"/>
                <w:kern w:val="0"/>
                <w:sz w:val="18"/>
                <w:szCs w:val="18"/>
              </w:rPr>
            </w:pPr>
            <w:r>
              <w:rPr>
                <w:rFonts w:hint="eastAsia" w:ascii="宋体" w:hAnsi="宋体" w:eastAsia="宋体" w:cs="宋体"/>
                <w:kern w:val="0"/>
                <w:sz w:val="18"/>
                <w:szCs w:val="18"/>
              </w:rPr>
              <w:t>/</w:t>
            </w:r>
          </w:p>
        </w:tc>
        <w:tc>
          <w:tcPr>
            <w:tcW w:w="4682" w:type="dxa"/>
            <w:tcBorders>
              <w:right w:val="single" w:color="000000" w:sz="8" w:space="0"/>
              <w:tl2br w:val="nil"/>
              <w:tr2bl w:val="nil"/>
            </w:tcBorders>
            <w:shd w:val="clear" w:color="auto" w:fill="auto"/>
            <w:vAlign w:val="center"/>
          </w:tcPr>
          <w:p w14:paraId="3B0BD7F7">
            <w:pPr>
              <w:pStyle w:val="110"/>
              <w:widowControl w:val="0"/>
              <w:adjustRightInd w:val="0"/>
              <w:snapToGrid w:val="0"/>
              <w:rPr>
                <w:rFonts w:hAnsi="宋体" w:cs="宋体"/>
                <w:szCs w:val="18"/>
              </w:rPr>
            </w:pPr>
            <w:r>
              <w:rPr>
                <w:rFonts w:hint="eastAsia" w:hAnsi="宋体" w:cs="宋体"/>
                <w:szCs w:val="18"/>
              </w:rPr>
              <w:t>/</w:t>
            </w:r>
          </w:p>
        </w:tc>
      </w:tr>
      <w:tr w14:paraId="3332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 w:hRule="atLeast"/>
          <w:jc w:val="center"/>
        </w:trPr>
        <w:tc>
          <w:tcPr>
            <w:tcW w:w="1208" w:type="dxa"/>
            <w:vMerge w:val="restart"/>
            <w:tcBorders>
              <w:left w:val="single" w:color="000000" w:sz="8" w:space="0"/>
              <w:tl2br w:val="nil"/>
              <w:tr2bl w:val="nil"/>
            </w:tcBorders>
            <w:vAlign w:val="center"/>
          </w:tcPr>
          <w:p w14:paraId="59AB9756">
            <w:pPr>
              <w:pStyle w:val="110"/>
              <w:widowControl w:val="0"/>
              <w:adjustRightInd w:val="0"/>
              <w:snapToGrid w:val="0"/>
              <w:rPr>
                <w:rFonts w:hAnsi="宋体" w:cs="宋体"/>
                <w:szCs w:val="18"/>
              </w:rPr>
            </w:pPr>
            <w:r>
              <w:rPr>
                <w:rFonts w:hint="eastAsia" w:hAnsi="宋体" w:cs="宋体"/>
                <w:szCs w:val="18"/>
              </w:rPr>
              <w:t>电气仪表</w:t>
            </w:r>
          </w:p>
        </w:tc>
        <w:tc>
          <w:tcPr>
            <w:tcW w:w="1564" w:type="dxa"/>
            <w:tcBorders>
              <w:tl2br w:val="nil"/>
              <w:tr2bl w:val="nil"/>
            </w:tcBorders>
            <w:vAlign w:val="center"/>
          </w:tcPr>
          <w:p w14:paraId="4313941F">
            <w:pPr>
              <w:pStyle w:val="110"/>
              <w:widowControl w:val="0"/>
              <w:adjustRightInd w:val="0"/>
              <w:snapToGrid w:val="0"/>
              <w:rPr>
                <w:rFonts w:hAnsi="宋体" w:cs="宋体"/>
                <w:szCs w:val="18"/>
              </w:rPr>
            </w:pPr>
            <w:r>
              <w:rPr>
                <w:rFonts w:hint="eastAsia" w:hAnsi="宋体" w:cs="宋体"/>
                <w:szCs w:val="18"/>
              </w:rPr>
              <w:t>防爆电气设备</w:t>
            </w:r>
          </w:p>
        </w:tc>
        <w:tc>
          <w:tcPr>
            <w:tcW w:w="1902" w:type="dxa"/>
            <w:tcBorders>
              <w:tl2br w:val="nil"/>
              <w:tr2bl w:val="nil"/>
            </w:tcBorders>
            <w:vAlign w:val="center"/>
          </w:tcPr>
          <w:p w14:paraId="133F4361">
            <w:pPr>
              <w:pStyle w:val="110"/>
              <w:widowControl w:val="0"/>
              <w:adjustRightInd w:val="0"/>
              <w:snapToGrid w:val="0"/>
              <w:rPr>
                <w:rFonts w:hAnsi="宋体" w:cs="宋体"/>
                <w:szCs w:val="18"/>
              </w:rPr>
            </w:pPr>
            <w:r>
              <w:rPr>
                <w:rFonts w:hint="eastAsia" w:hAnsi="宋体" w:cs="宋体"/>
                <w:szCs w:val="18"/>
              </w:rPr>
              <w:t>防爆电气设备检验人员</w:t>
            </w:r>
          </w:p>
        </w:tc>
        <w:tc>
          <w:tcPr>
            <w:tcW w:w="4810" w:type="dxa"/>
            <w:tcBorders>
              <w:tl2br w:val="nil"/>
              <w:tr2bl w:val="nil"/>
            </w:tcBorders>
            <w:vAlign w:val="center"/>
          </w:tcPr>
          <w:p w14:paraId="675E79F3">
            <w:pPr>
              <w:widowControl/>
              <w:autoSpaceDE w:val="0"/>
              <w:autoSpaceDN w:val="0"/>
              <w:adjustRightInd w:val="0"/>
              <w:snapToGrid w:val="0"/>
              <w:ind w:right="102"/>
              <w:jc w:val="left"/>
              <w:textAlignment w:val="baseline"/>
              <w:rPr>
                <w:rFonts w:ascii="宋体" w:hAnsi="宋体" w:eastAsia="宋体" w:cs="宋体"/>
                <w:sz w:val="18"/>
                <w:szCs w:val="18"/>
              </w:rPr>
            </w:pPr>
            <w:r>
              <w:rPr>
                <w:rFonts w:hint="eastAsia" w:ascii="宋体" w:hAnsi="宋体" w:eastAsia="宋体" w:cs="宋体"/>
                <w:sz w:val="18"/>
                <w:szCs w:val="18"/>
              </w:rPr>
              <w:t>特种作业操作证：</w:t>
            </w:r>
            <w:r>
              <w:rPr>
                <w:rFonts w:hint="eastAsia" w:ascii="宋体" w:hAnsi="宋体" w:eastAsia="宋体" w:cs="宋体"/>
                <w:color w:val="191919"/>
                <w:sz w:val="19"/>
                <w:szCs w:val="19"/>
                <w:shd w:val="clear" w:color="auto" w:fill="FFFFFF"/>
              </w:rPr>
              <w:t>防爆电气作业</w:t>
            </w:r>
          </w:p>
        </w:tc>
        <w:tc>
          <w:tcPr>
            <w:tcW w:w="4682" w:type="dxa"/>
            <w:tcBorders>
              <w:right w:val="single" w:color="000000" w:sz="8" w:space="0"/>
              <w:tl2br w:val="nil"/>
              <w:tr2bl w:val="nil"/>
            </w:tcBorders>
            <w:vAlign w:val="center"/>
          </w:tcPr>
          <w:p w14:paraId="538EBA8A">
            <w:pPr>
              <w:pStyle w:val="110"/>
              <w:widowControl w:val="0"/>
              <w:adjustRightInd w:val="0"/>
              <w:snapToGrid w:val="0"/>
              <w:jc w:val="left"/>
              <w:rPr>
                <w:rFonts w:hAnsi="宋体" w:cs="宋体"/>
                <w:szCs w:val="18"/>
              </w:rPr>
            </w:pPr>
            <w:r>
              <w:rPr>
                <w:rFonts w:hint="eastAsia" w:hAnsi="宋体" w:cs="宋体"/>
                <w:szCs w:val="18"/>
              </w:rPr>
              <w:t>省级应急管理部门</w:t>
            </w:r>
          </w:p>
        </w:tc>
      </w:tr>
      <w:tr w14:paraId="07EF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atLeast"/>
          <w:jc w:val="center"/>
        </w:trPr>
        <w:tc>
          <w:tcPr>
            <w:tcW w:w="1208" w:type="dxa"/>
            <w:vMerge w:val="continue"/>
            <w:tcBorders>
              <w:left w:val="single" w:color="000000" w:sz="8" w:space="0"/>
              <w:tl2br w:val="nil"/>
              <w:tr2bl w:val="nil"/>
            </w:tcBorders>
            <w:vAlign w:val="center"/>
          </w:tcPr>
          <w:p w14:paraId="56FFA4C0">
            <w:pPr>
              <w:pStyle w:val="110"/>
              <w:widowControl w:val="0"/>
              <w:adjustRightInd w:val="0"/>
              <w:snapToGrid w:val="0"/>
              <w:rPr>
                <w:rFonts w:hAnsi="宋体" w:cs="宋体"/>
                <w:szCs w:val="18"/>
              </w:rPr>
            </w:pPr>
          </w:p>
        </w:tc>
        <w:tc>
          <w:tcPr>
            <w:tcW w:w="1564" w:type="dxa"/>
            <w:tcBorders>
              <w:tl2br w:val="nil"/>
              <w:tr2bl w:val="nil"/>
            </w:tcBorders>
            <w:vAlign w:val="center"/>
          </w:tcPr>
          <w:p w14:paraId="04471329">
            <w:pPr>
              <w:pStyle w:val="110"/>
              <w:widowControl w:val="0"/>
              <w:adjustRightInd w:val="0"/>
              <w:snapToGrid w:val="0"/>
              <w:rPr>
                <w:rFonts w:hAnsi="宋体" w:cs="宋体"/>
                <w:szCs w:val="18"/>
              </w:rPr>
            </w:pPr>
            <w:r>
              <w:rPr>
                <w:rFonts w:hint="eastAsia" w:hAnsi="宋体" w:cs="宋体"/>
                <w:szCs w:val="18"/>
              </w:rPr>
              <w:t>安全监测仪表</w:t>
            </w:r>
          </w:p>
        </w:tc>
        <w:tc>
          <w:tcPr>
            <w:tcW w:w="1902" w:type="dxa"/>
            <w:tcBorders>
              <w:tl2br w:val="nil"/>
              <w:tr2bl w:val="nil"/>
            </w:tcBorders>
            <w:vAlign w:val="center"/>
          </w:tcPr>
          <w:p w14:paraId="20174480">
            <w:pPr>
              <w:pStyle w:val="110"/>
              <w:widowControl w:val="0"/>
              <w:adjustRightInd w:val="0"/>
              <w:snapToGrid w:val="0"/>
              <w:rPr>
                <w:rFonts w:hAnsi="宋体" w:cs="宋体"/>
                <w:szCs w:val="18"/>
              </w:rPr>
            </w:pPr>
            <w:r>
              <w:rPr>
                <w:rFonts w:hint="eastAsia" w:hAnsi="宋体" w:cs="宋体"/>
                <w:szCs w:val="18"/>
              </w:rPr>
              <w:t>安全监测仪表检验人员</w:t>
            </w:r>
          </w:p>
        </w:tc>
        <w:tc>
          <w:tcPr>
            <w:tcW w:w="4810" w:type="dxa"/>
            <w:tcBorders>
              <w:tl2br w:val="nil"/>
              <w:tr2bl w:val="nil"/>
            </w:tcBorders>
            <w:vAlign w:val="center"/>
          </w:tcPr>
          <w:p w14:paraId="34F36D0D">
            <w:pPr>
              <w:widowControl/>
              <w:autoSpaceDE w:val="0"/>
              <w:autoSpaceDN w:val="0"/>
              <w:adjustRightInd w:val="0"/>
              <w:snapToGrid w:val="0"/>
              <w:ind w:right="102"/>
              <w:jc w:val="left"/>
              <w:textAlignment w:val="baseline"/>
              <w:rPr>
                <w:rFonts w:ascii="宋体" w:hAnsi="宋体" w:eastAsia="宋体" w:cs="宋体"/>
                <w:kern w:val="0"/>
                <w:sz w:val="18"/>
                <w:szCs w:val="18"/>
              </w:rPr>
            </w:pPr>
            <w:r>
              <w:rPr>
                <w:rFonts w:hint="eastAsia" w:ascii="宋体" w:hAnsi="宋体" w:eastAsia="宋体" w:cs="宋体"/>
                <w:kern w:val="0"/>
                <w:sz w:val="18"/>
                <w:szCs w:val="18"/>
              </w:rPr>
              <w:t>注册计量师或原计量检定员证或计量标准规程考核合格证明/证书</w:t>
            </w:r>
          </w:p>
        </w:tc>
        <w:tc>
          <w:tcPr>
            <w:tcW w:w="4682" w:type="dxa"/>
            <w:tcBorders>
              <w:right w:val="single" w:color="000000" w:sz="8" w:space="0"/>
              <w:tl2br w:val="nil"/>
              <w:tr2bl w:val="nil"/>
            </w:tcBorders>
            <w:vAlign w:val="center"/>
          </w:tcPr>
          <w:p w14:paraId="6DCA5593">
            <w:pPr>
              <w:pStyle w:val="110"/>
              <w:widowControl w:val="0"/>
              <w:adjustRightInd w:val="0"/>
              <w:snapToGrid w:val="0"/>
              <w:jc w:val="left"/>
              <w:rPr>
                <w:rFonts w:hAnsi="宋体" w:cs="宋体"/>
                <w:szCs w:val="18"/>
              </w:rPr>
            </w:pPr>
            <w:r>
              <w:rPr>
                <w:rFonts w:hint="eastAsia" w:hAnsi="宋体" w:cs="宋体"/>
                <w:szCs w:val="18"/>
              </w:rPr>
              <w:t>注册计量师：省级市场监督管理部门</w:t>
            </w:r>
          </w:p>
          <w:p w14:paraId="59615DF2">
            <w:pPr>
              <w:pStyle w:val="110"/>
              <w:widowControl w:val="0"/>
              <w:adjustRightInd w:val="0"/>
              <w:snapToGrid w:val="0"/>
              <w:jc w:val="left"/>
              <w:rPr>
                <w:rFonts w:hAnsi="宋体" w:cs="宋体"/>
                <w:szCs w:val="18"/>
              </w:rPr>
            </w:pPr>
            <w:r>
              <w:rPr>
                <w:rFonts w:hint="eastAsia" w:hAnsi="宋体" w:cs="宋体"/>
                <w:szCs w:val="18"/>
              </w:rPr>
              <w:t>原计量检定员证：县级以上市场监督管理部门</w:t>
            </w:r>
          </w:p>
          <w:p w14:paraId="0ACA04DE">
            <w:pPr>
              <w:pStyle w:val="110"/>
              <w:widowControl w:val="0"/>
              <w:adjustRightInd w:val="0"/>
              <w:snapToGrid w:val="0"/>
              <w:jc w:val="left"/>
              <w:rPr>
                <w:rFonts w:hAnsi="宋体" w:cs="宋体"/>
                <w:szCs w:val="18"/>
              </w:rPr>
            </w:pPr>
            <w:r>
              <w:rPr>
                <w:rFonts w:hint="eastAsia" w:hAnsi="宋体" w:cs="宋体"/>
                <w:szCs w:val="18"/>
              </w:rPr>
              <w:t>计量标准规程考核合格证明/证书：中国计量协会、省市级计量学会/协会</w:t>
            </w:r>
          </w:p>
        </w:tc>
      </w:tr>
      <w:tr w14:paraId="1B21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6" w:hRule="atLeast"/>
          <w:jc w:val="center"/>
        </w:trPr>
        <w:tc>
          <w:tcPr>
            <w:tcW w:w="14166" w:type="dxa"/>
            <w:gridSpan w:val="5"/>
            <w:tcBorders>
              <w:left w:val="single" w:color="000000" w:sz="8" w:space="0"/>
              <w:bottom w:val="single" w:color="000000" w:sz="8" w:space="0"/>
              <w:right w:val="single" w:color="000000" w:sz="8" w:space="0"/>
              <w:tl2br w:val="nil"/>
              <w:tr2bl w:val="nil"/>
            </w:tcBorders>
            <w:vAlign w:val="center"/>
          </w:tcPr>
          <w:p w14:paraId="4660C582">
            <w:pPr>
              <w:pStyle w:val="111"/>
              <w:ind w:left="817" w:hanging="454"/>
              <w:rPr>
                <w:rFonts w:hAnsi="宋体" w:cs="宋体"/>
              </w:rPr>
            </w:pPr>
            <w:r>
              <w:rPr>
                <w:rFonts w:hint="eastAsia" w:hAnsi="宋体" w:eastAsia="黑体"/>
              </w:rPr>
              <w:t>注：</w:t>
            </w:r>
            <w:r>
              <w:rPr>
                <w:rFonts w:hint="eastAsia" w:hAnsi="宋体"/>
              </w:rPr>
              <w:t>本表中的大类专业设备、中类专业设备依据AQ 2082-2025附录A的规定进行分类。</w:t>
            </w:r>
          </w:p>
        </w:tc>
      </w:tr>
    </w:tbl>
    <w:p w14:paraId="74AA4B87">
      <w:pPr>
        <w:pStyle w:val="43"/>
        <w:ind w:firstLine="420"/>
        <w:rPr>
          <w:rFonts w:hAnsi="宋体"/>
        </w:rPr>
      </w:pPr>
    </w:p>
    <w:p w14:paraId="3EE58B2A">
      <w:pPr>
        <w:pStyle w:val="43"/>
        <w:ind w:firstLine="420"/>
        <w:rPr>
          <w:rFonts w:hAnsi="宋体"/>
        </w:rPr>
      </w:pPr>
    </w:p>
    <w:p w14:paraId="64FF8AE7">
      <w:pPr>
        <w:pStyle w:val="43"/>
        <w:ind w:firstLine="420"/>
        <w:rPr>
          <w:rFonts w:hAnsi="宋体"/>
        </w:rPr>
        <w:sectPr>
          <w:footerReference r:id="rId14" w:type="default"/>
          <w:footerReference r:id="rId15" w:type="even"/>
          <w:pgSz w:w="16838" w:h="11906" w:orient="landscape"/>
          <w:pgMar w:top="1134" w:right="1928" w:bottom="1134" w:left="1134" w:header="1418" w:footer="1134" w:gutter="284"/>
          <w:pgNumType w:start="17"/>
          <w:cols w:space="425" w:num="1"/>
          <w:formProt w:val="0"/>
          <w:docGrid w:linePitch="312" w:charSpace="0"/>
        </w:sectPr>
      </w:pPr>
    </w:p>
    <w:p w14:paraId="45655DB2">
      <w:pPr>
        <w:pStyle w:val="108"/>
        <w:numPr>
          <w:ilvl w:val="1"/>
          <w:numId w:val="0"/>
        </w:numPr>
        <w:spacing w:before="156" w:after="156"/>
        <w:rPr>
          <w:rFonts w:ascii="宋体" w:hAnsi="宋体"/>
        </w:rPr>
      </w:pPr>
      <w:r>
        <w:rPr>
          <w:rFonts w:hint="eastAsia" w:ascii="宋体" w:hAnsi="宋体"/>
        </w:rPr>
        <w:t>表D.2专业设备检测人员取证要求</w:t>
      </w:r>
    </w:p>
    <w:tbl>
      <w:tblPr>
        <w:tblStyle w:val="25"/>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2873"/>
        <w:gridCol w:w="7361"/>
        <w:gridCol w:w="3449"/>
      </w:tblGrid>
      <w:tr w14:paraId="5BA711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050" w:type="pct"/>
            <w:tcBorders>
              <w:top w:val="single" w:color="auto" w:sz="8" w:space="0"/>
              <w:bottom w:val="single" w:color="auto" w:sz="8" w:space="0"/>
            </w:tcBorders>
            <w:vAlign w:val="center"/>
          </w:tcPr>
          <w:p w14:paraId="4C4FF140">
            <w:pPr>
              <w:pStyle w:val="110"/>
              <w:widowControl w:val="0"/>
              <w:rPr>
                <w:rFonts w:hAnsi="宋体"/>
              </w:rPr>
            </w:pPr>
            <w:r>
              <w:rPr>
                <w:rFonts w:hint="eastAsia" w:hAnsi="宋体"/>
                <w:szCs w:val="18"/>
              </w:rPr>
              <w:t>专业设备检测人员</w:t>
            </w:r>
          </w:p>
        </w:tc>
        <w:tc>
          <w:tcPr>
            <w:tcW w:w="2690" w:type="pct"/>
            <w:tcBorders>
              <w:top w:val="single" w:color="auto" w:sz="8" w:space="0"/>
              <w:bottom w:val="single" w:color="auto" w:sz="8" w:space="0"/>
            </w:tcBorders>
            <w:vAlign w:val="center"/>
          </w:tcPr>
          <w:p w14:paraId="01585AF1">
            <w:pPr>
              <w:pStyle w:val="110"/>
              <w:widowControl w:val="0"/>
              <w:rPr>
                <w:rFonts w:hAnsi="宋体"/>
              </w:rPr>
            </w:pPr>
            <w:r>
              <w:rPr>
                <w:rFonts w:hint="eastAsia" w:hAnsi="宋体"/>
              </w:rPr>
              <w:t>相关行业检测</w:t>
            </w:r>
            <w:r>
              <w:rPr>
                <w:rFonts w:hint="eastAsia" w:hAnsi="宋体"/>
                <w:szCs w:val="18"/>
              </w:rPr>
              <w:t>人员职业资格证书</w:t>
            </w:r>
            <w:r>
              <w:rPr>
                <w:rFonts w:hint="eastAsia" w:hAnsi="宋体"/>
              </w:rPr>
              <w:t>或能力认定证书</w:t>
            </w:r>
          </w:p>
        </w:tc>
        <w:tc>
          <w:tcPr>
            <w:tcW w:w="1260" w:type="pct"/>
            <w:tcBorders>
              <w:top w:val="single" w:color="auto" w:sz="8" w:space="0"/>
              <w:bottom w:val="single" w:color="auto" w:sz="8" w:space="0"/>
            </w:tcBorders>
            <w:vAlign w:val="center"/>
          </w:tcPr>
          <w:p w14:paraId="2F187B9A">
            <w:pPr>
              <w:pStyle w:val="110"/>
              <w:widowControl w:val="0"/>
              <w:rPr>
                <w:rFonts w:hAnsi="宋体"/>
              </w:rPr>
            </w:pPr>
            <w:r>
              <w:rPr>
                <w:rFonts w:hint="eastAsia" w:hAnsi="宋体"/>
                <w:szCs w:val="18"/>
              </w:rPr>
              <w:t>发证单位</w:t>
            </w:r>
          </w:p>
        </w:tc>
      </w:tr>
      <w:tr w14:paraId="13D280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050" w:type="pct"/>
            <w:tcBorders>
              <w:top w:val="single" w:color="auto" w:sz="8" w:space="0"/>
            </w:tcBorders>
            <w:vAlign w:val="center"/>
          </w:tcPr>
          <w:p w14:paraId="7AA8B3A0">
            <w:pPr>
              <w:pStyle w:val="110"/>
              <w:widowControl w:val="0"/>
              <w:adjustRightInd w:val="0"/>
              <w:snapToGrid w:val="0"/>
              <w:rPr>
                <w:rFonts w:hAnsi="宋体" w:cs="宋体"/>
                <w:spacing w:val="-2"/>
                <w:szCs w:val="18"/>
              </w:rPr>
            </w:pPr>
            <w:r>
              <w:rPr>
                <w:rFonts w:hint="eastAsia" w:hAnsi="宋体" w:cs="宋体"/>
                <w:spacing w:val="-2"/>
                <w:szCs w:val="18"/>
              </w:rPr>
              <w:t>射线检测人员</w:t>
            </w:r>
          </w:p>
        </w:tc>
        <w:tc>
          <w:tcPr>
            <w:tcW w:w="2690" w:type="pct"/>
            <w:tcBorders>
              <w:top w:val="single" w:color="auto" w:sz="8" w:space="0"/>
            </w:tcBorders>
            <w:vAlign w:val="center"/>
          </w:tcPr>
          <w:p w14:paraId="7A75CEA3">
            <w:pPr>
              <w:widowControl/>
              <w:autoSpaceDE w:val="0"/>
              <w:autoSpaceDN w:val="0"/>
              <w:adjustRightInd w:val="0"/>
              <w:snapToGrid w:val="0"/>
              <w:ind w:right="102"/>
              <w:jc w:val="left"/>
              <w:textAlignment w:val="baseline"/>
              <w:rPr>
                <w:rFonts w:ascii="宋体" w:hAnsi="宋体" w:eastAsia="宋体" w:cs="宋体"/>
                <w:sz w:val="18"/>
                <w:szCs w:val="18"/>
              </w:rPr>
            </w:pPr>
            <w:r>
              <w:rPr>
                <w:rFonts w:hint="eastAsia" w:ascii="宋体" w:hAnsi="宋体" w:eastAsia="宋体" w:cs="宋体"/>
                <w:sz w:val="18"/>
                <w:szCs w:val="18"/>
              </w:rPr>
              <w:t>特种设备检验检测人员证（无损检测人员）：射线检测人员</w:t>
            </w:r>
            <w:r>
              <w:rPr>
                <w:rFonts w:ascii="宋体" w:hAnsi="宋体" w:eastAsia="宋体" w:cs="宋体"/>
                <w:sz w:val="18"/>
                <w:szCs w:val="18"/>
              </w:rPr>
              <w:t>/</w:t>
            </w:r>
            <w:r>
              <w:rPr>
                <w:rFonts w:hint="eastAsia" w:ascii="宋体" w:hAnsi="宋体" w:eastAsia="宋体" w:cs="宋体"/>
                <w:sz w:val="18"/>
                <w:szCs w:val="18"/>
              </w:rPr>
              <w:t>中国机械工程学会无损检测学会证书：射线检测人员/中国船级社无损检测人员水平认证证书：射线检测人员</w:t>
            </w:r>
          </w:p>
        </w:tc>
        <w:tc>
          <w:tcPr>
            <w:tcW w:w="1260" w:type="pct"/>
            <w:tcBorders>
              <w:top w:val="single" w:color="auto" w:sz="8" w:space="0"/>
            </w:tcBorders>
            <w:vAlign w:val="center"/>
          </w:tcPr>
          <w:p w14:paraId="25D94472">
            <w:pPr>
              <w:pStyle w:val="110"/>
              <w:widowControl w:val="0"/>
              <w:adjustRightInd w:val="0"/>
              <w:snapToGrid w:val="0"/>
              <w:jc w:val="left"/>
              <w:rPr>
                <w:rFonts w:hAnsi="宋体" w:cs="宋体"/>
                <w:szCs w:val="18"/>
              </w:rPr>
            </w:pPr>
            <w:r>
              <w:rPr>
                <w:rFonts w:hint="eastAsia" w:hAnsi="宋体" w:cs="宋体"/>
                <w:szCs w:val="18"/>
              </w:rPr>
              <w:t>省级特种设备安全监管部门/国家市场监督管理总局/中国机械工程学会无损检测学会/中国船级社</w:t>
            </w:r>
          </w:p>
        </w:tc>
      </w:tr>
      <w:tr w14:paraId="143138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50" w:type="pct"/>
            <w:vAlign w:val="center"/>
          </w:tcPr>
          <w:p w14:paraId="130AA1CB">
            <w:pPr>
              <w:pStyle w:val="110"/>
              <w:widowControl w:val="0"/>
              <w:adjustRightInd w:val="0"/>
              <w:snapToGrid w:val="0"/>
              <w:rPr>
                <w:rFonts w:hAnsi="宋体" w:cs="宋体"/>
                <w:spacing w:val="-2"/>
                <w:szCs w:val="18"/>
              </w:rPr>
            </w:pPr>
            <w:r>
              <w:rPr>
                <w:rFonts w:hint="eastAsia" w:hAnsi="宋体" w:cs="宋体"/>
                <w:spacing w:val="-2"/>
                <w:szCs w:val="18"/>
              </w:rPr>
              <w:t>超声检测人员</w:t>
            </w:r>
          </w:p>
        </w:tc>
        <w:tc>
          <w:tcPr>
            <w:tcW w:w="2690" w:type="pct"/>
            <w:vAlign w:val="center"/>
          </w:tcPr>
          <w:p w14:paraId="4A5A40B4">
            <w:pPr>
              <w:pStyle w:val="110"/>
              <w:widowControl w:val="0"/>
              <w:adjustRightInd w:val="0"/>
              <w:snapToGrid w:val="0"/>
              <w:ind w:right="102"/>
              <w:jc w:val="left"/>
              <w:textAlignment w:val="baseline"/>
              <w:rPr>
                <w:rFonts w:hAnsi="宋体" w:cs="宋体"/>
                <w:spacing w:val="-2"/>
                <w:szCs w:val="18"/>
              </w:rPr>
            </w:pPr>
            <w:r>
              <w:rPr>
                <w:rFonts w:hint="eastAsia" w:hAnsi="宋体" w:cs="宋体"/>
                <w:spacing w:val="-2"/>
                <w:szCs w:val="18"/>
              </w:rPr>
              <w:t>特种设备检验检测人员证（无损检测人员）：超声检测人员/中国机械工程学会无损检测学会</w:t>
            </w:r>
            <w:r>
              <w:rPr>
                <w:rFonts w:hint="eastAsia" w:hAnsi="宋体" w:cs="宋体"/>
                <w:szCs w:val="18"/>
              </w:rPr>
              <w:t>证书</w:t>
            </w:r>
            <w:r>
              <w:rPr>
                <w:rFonts w:hint="eastAsia" w:hAnsi="宋体" w:cs="宋体"/>
                <w:spacing w:val="-2"/>
                <w:szCs w:val="18"/>
              </w:rPr>
              <w:t>：超声检测人员</w:t>
            </w:r>
            <w:r>
              <w:rPr>
                <w:rFonts w:hint="eastAsia" w:hAnsi="宋体" w:cs="宋体"/>
                <w:szCs w:val="18"/>
              </w:rPr>
              <w:t>/中国船级社无损检测人员水平认证证书：</w:t>
            </w:r>
            <w:r>
              <w:rPr>
                <w:rFonts w:hint="eastAsia" w:hAnsi="宋体" w:cs="宋体"/>
                <w:spacing w:val="-2"/>
                <w:szCs w:val="18"/>
              </w:rPr>
              <w:t>超声检测</w:t>
            </w:r>
            <w:r>
              <w:rPr>
                <w:rFonts w:hint="eastAsia" w:hAnsi="宋体" w:cs="宋体"/>
                <w:szCs w:val="18"/>
              </w:rPr>
              <w:t>人员</w:t>
            </w:r>
          </w:p>
        </w:tc>
        <w:tc>
          <w:tcPr>
            <w:tcW w:w="1260" w:type="pct"/>
            <w:vAlign w:val="center"/>
          </w:tcPr>
          <w:p w14:paraId="376E11E0">
            <w:pPr>
              <w:pStyle w:val="110"/>
              <w:widowControl w:val="0"/>
              <w:adjustRightInd w:val="0"/>
              <w:snapToGrid w:val="0"/>
              <w:jc w:val="left"/>
              <w:rPr>
                <w:rFonts w:hAnsi="宋体" w:cs="宋体"/>
                <w:spacing w:val="-2"/>
                <w:szCs w:val="18"/>
              </w:rPr>
            </w:pPr>
            <w:r>
              <w:rPr>
                <w:rFonts w:hint="eastAsia" w:hAnsi="宋体" w:cs="宋体"/>
                <w:szCs w:val="18"/>
              </w:rPr>
              <w:t>省级特种设备安全监管部门/国家市场监督管理总局</w:t>
            </w:r>
            <w:r>
              <w:rPr>
                <w:rFonts w:hint="eastAsia" w:hAnsi="宋体" w:cs="宋体"/>
                <w:spacing w:val="-2"/>
                <w:szCs w:val="18"/>
              </w:rPr>
              <w:t>/中国机械工程学会无损检测学会</w:t>
            </w:r>
            <w:r>
              <w:rPr>
                <w:rFonts w:hint="eastAsia" w:hAnsi="宋体" w:cs="宋体"/>
                <w:szCs w:val="18"/>
              </w:rPr>
              <w:t>/中国船级社</w:t>
            </w:r>
          </w:p>
        </w:tc>
      </w:tr>
      <w:tr w14:paraId="7CA84E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50" w:type="pct"/>
            <w:vAlign w:val="center"/>
          </w:tcPr>
          <w:p w14:paraId="2A0591C2">
            <w:pPr>
              <w:pStyle w:val="110"/>
              <w:widowControl w:val="0"/>
              <w:adjustRightInd w:val="0"/>
              <w:snapToGrid w:val="0"/>
              <w:rPr>
                <w:rFonts w:hAnsi="宋体" w:cs="宋体"/>
                <w:spacing w:val="-2"/>
                <w:szCs w:val="18"/>
              </w:rPr>
            </w:pPr>
            <w:r>
              <w:rPr>
                <w:rFonts w:hint="eastAsia" w:hAnsi="宋体" w:cs="宋体"/>
                <w:spacing w:val="-2"/>
                <w:szCs w:val="18"/>
              </w:rPr>
              <w:t>磁粉检测人员</w:t>
            </w:r>
          </w:p>
        </w:tc>
        <w:tc>
          <w:tcPr>
            <w:tcW w:w="2690" w:type="pct"/>
            <w:vAlign w:val="center"/>
          </w:tcPr>
          <w:p w14:paraId="75A90164">
            <w:pPr>
              <w:pStyle w:val="110"/>
              <w:widowControl w:val="0"/>
              <w:adjustRightInd w:val="0"/>
              <w:snapToGrid w:val="0"/>
              <w:ind w:right="102"/>
              <w:jc w:val="left"/>
              <w:textAlignment w:val="baseline"/>
              <w:rPr>
                <w:rFonts w:hAnsi="宋体" w:cs="宋体"/>
                <w:spacing w:val="-2"/>
                <w:szCs w:val="18"/>
              </w:rPr>
            </w:pPr>
            <w:r>
              <w:rPr>
                <w:rFonts w:hint="eastAsia" w:hAnsi="宋体" w:cs="宋体"/>
                <w:spacing w:val="-2"/>
                <w:szCs w:val="18"/>
              </w:rPr>
              <w:t>特种设备检验检测人员证（无损检测人员）：磁粉检测人员/中国机械工程学会无损检测学会</w:t>
            </w:r>
            <w:r>
              <w:rPr>
                <w:rFonts w:hint="eastAsia" w:hAnsi="宋体" w:cs="宋体"/>
                <w:szCs w:val="18"/>
              </w:rPr>
              <w:t>证书</w:t>
            </w:r>
            <w:r>
              <w:rPr>
                <w:rFonts w:hint="eastAsia" w:hAnsi="宋体" w:cs="宋体"/>
                <w:spacing w:val="-2"/>
                <w:szCs w:val="18"/>
              </w:rPr>
              <w:t>：磁粉检测人员</w:t>
            </w:r>
            <w:r>
              <w:rPr>
                <w:rFonts w:hint="eastAsia" w:hAnsi="宋体" w:cs="宋体"/>
                <w:szCs w:val="18"/>
              </w:rPr>
              <w:t>/中国船级社无损检测人员水平认证证书：</w:t>
            </w:r>
            <w:r>
              <w:rPr>
                <w:rFonts w:hint="eastAsia" w:hAnsi="宋体" w:cs="宋体"/>
                <w:spacing w:val="-2"/>
                <w:szCs w:val="18"/>
              </w:rPr>
              <w:t>磁粉检测</w:t>
            </w:r>
            <w:r>
              <w:rPr>
                <w:rFonts w:hint="eastAsia" w:hAnsi="宋体" w:cs="宋体"/>
                <w:szCs w:val="18"/>
              </w:rPr>
              <w:t>人员</w:t>
            </w:r>
          </w:p>
        </w:tc>
        <w:tc>
          <w:tcPr>
            <w:tcW w:w="1260" w:type="pct"/>
            <w:vAlign w:val="center"/>
          </w:tcPr>
          <w:p w14:paraId="3FF20641">
            <w:pPr>
              <w:pStyle w:val="110"/>
              <w:widowControl w:val="0"/>
              <w:adjustRightInd w:val="0"/>
              <w:snapToGrid w:val="0"/>
              <w:jc w:val="left"/>
              <w:rPr>
                <w:rFonts w:hAnsi="宋体" w:cs="宋体"/>
                <w:szCs w:val="18"/>
              </w:rPr>
            </w:pPr>
            <w:r>
              <w:rPr>
                <w:rFonts w:hint="eastAsia" w:hAnsi="宋体" w:cs="宋体"/>
                <w:szCs w:val="18"/>
              </w:rPr>
              <w:t>省级特种设备安全监管部门/国家市场监督管理总局</w:t>
            </w:r>
            <w:r>
              <w:rPr>
                <w:rFonts w:hint="eastAsia" w:hAnsi="宋体" w:cs="宋体"/>
                <w:spacing w:val="-2"/>
                <w:szCs w:val="18"/>
              </w:rPr>
              <w:t>/中国机械工程学会无损检测学会</w:t>
            </w:r>
            <w:r>
              <w:rPr>
                <w:rFonts w:hint="eastAsia" w:hAnsi="宋体" w:cs="宋体"/>
                <w:szCs w:val="18"/>
              </w:rPr>
              <w:t>/中国船级社</w:t>
            </w:r>
          </w:p>
        </w:tc>
      </w:tr>
      <w:tr w14:paraId="2C63BA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50" w:type="pct"/>
            <w:vAlign w:val="center"/>
          </w:tcPr>
          <w:p w14:paraId="1F1D1662">
            <w:pPr>
              <w:pStyle w:val="110"/>
              <w:widowControl w:val="0"/>
              <w:adjustRightInd w:val="0"/>
              <w:snapToGrid w:val="0"/>
              <w:rPr>
                <w:rFonts w:hAnsi="宋体" w:cs="宋体"/>
                <w:spacing w:val="-2"/>
                <w:szCs w:val="18"/>
              </w:rPr>
            </w:pPr>
            <w:r>
              <w:rPr>
                <w:rFonts w:hint="eastAsia" w:hAnsi="宋体" w:cs="宋体"/>
                <w:spacing w:val="-2"/>
                <w:szCs w:val="18"/>
              </w:rPr>
              <w:t>渗透检测人员</w:t>
            </w:r>
          </w:p>
        </w:tc>
        <w:tc>
          <w:tcPr>
            <w:tcW w:w="2690" w:type="pct"/>
            <w:vAlign w:val="center"/>
          </w:tcPr>
          <w:p w14:paraId="01A7158B">
            <w:pPr>
              <w:pStyle w:val="110"/>
              <w:widowControl w:val="0"/>
              <w:adjustRightInd w:val="0"/>
              <w:snapToGrid w:val="0"/>
              <w:ind w:right="102"/>
              <w:jc w:val="left"/>
              <w:textAlignment w:val="baseline"/>
              <w:rPr>
                <w:rFonts w:hAnsi="宋体" w:cs="宋体"/>
                <w:spacing w:val="-2"/>
                <w:szCs w:val="18"/>
              </w:rPr>
            </w:pPr>
            <w:r>
              <w:rPr>
                <w:rFonts w:hint="eastAsia" w:hAnsi="宋体" w:cs="宋体"/>
                <w:spacing w:val="-2"/>
                <w:szCs w:val="18"/>
              </w:rPr>
              <w:t>特种设备检验检测人员证（无损检测人员）：渗透检测人员/中国机械工程学会无损检测学会</w:t>
            </w:r>
            <w:r>
              <w:rPr>
                <w:rFonts w:hint="eastAsia" w:hAnsi="宋体" w:cs="宋体"/>
                <w:szCs w:val="18"/>
              </w:rPr>
              <w:t>证书</w:t>
            </w:r>
            <w:r>
              <w:rPr>
                <w:rFonts w:hint="eastAsia" w:hAnsi="宋体" w:cs="宋体"/>
                <w:spacing w:val="-2"/>
                <w:szCs w:val="18"/>
              </w:rPr>
              <w:t>：渗透检测人员</w:t>
            </w:r>
            <w:r>
              <w:rPr>
                <w:rFonts w:hint="eastAsia" w:hAnsi="宋体" w:cs="宋体"/>
                <w:szCs w:val="18"/>
              </w:rPr>
              <w:t>/中国船级社无损检测人员水平认证证书：</w:t>
            </w:r>
            <w:r>
              <w:rPr>
                <w:rFonts w:hint="eastAsia" w:hAnsi="宋体" w:cs="宋体"/>
                <w:spacing w:val="-2"/>
                <w:szCs w:val="18"/>
              </w:rPr>
              <w:t>渗透检测</w:t>
            </w:r>
            <w:r>
              <w:rPr>
                <w:rFonts w:hint="eastAsia" w:hAnsi="宋体" w:cs="宋体"/>
                <w:szCs w:val="18"/>
              </w:rPr>
              <w:t>人员</w:t>
            </w:r>
          </w:p>
        </w:tc>
        <w:tc>
          <w:tcPr>
            <w:tcW w:w="1260" w:type="pct"/>
            <w:vAlign w:val="center"/>
          </w:tcPr>
          <w:p w14:paraId="1AAB3D14">
            <w:pPr>
              <w:pStyle w:val="110"/>
              <w:widowControl w:val="0"/>
              <w:adjustRightInd w:val="0"/>
              <w:snapToGrid w:val="0"/>
              <w:jc w:val="left"/>
              <w:rPr>
                <w:rFonts w:hAnsi="宋体" w:cs="宋体"/>
                <w:szCs w:val="18"/>
              </w:rPr>
            </w:pPr>
            <w:r>
              <w:rPr>
                <w:rFonts w:hint="eastAsia" w:hAnsi="宋体" w:cs="宋体"/>
                <w:szCs w:val="18"/>
              </w:rPr>
              <w:t>省级特种设备安全监管部门/国家市场监督管理总局</w:t>
            </w:r>
            <w:r>
              <w:rPr>
                <w:rFonts w:hint="eastAsia" w:hAnsi="宋体" w:cs="宋体"/>
                <w:spacing w:val="-2"/>
                <w:szCs w:val="18"/>
              </w:rPr>
              <w:t>/中国机械工程学会无损检测学会</w:t>
            </w:r>
            <w:r>
              <w:rPr>
                <w:rFonts w:hint="eastAsia" w:hAnsi="宋体" w:cs="宋体"/>
                <w:szCs w:val="18"/>
              </w:rPr>
              <w:t>/中国船级社</w:t>
            </w:r>
          </w:p>
        </w:tc>
      </w:tr>
      <w:tr w14:paraId="40D9AE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50" w:type="pct"/>
            <w:vAlign w:val="center"/>
          </w:tcPr>
          <w:p w14:paraId="333F3CA8">
            <w:pPr>
              <w:pStyle w:val="110"/>
              <w:widowControl w:val="0"/>
              <w:adjustRightInd w:val="0"/>
              <w:snapToGrid w:val="0"/>
              <w:rPr>
                <w:rFonts w:hAnsi="宋体" w:cs="宋体"/>
                <w:spacing w:val="-2"/>
                <w:szCs w:val="18"/>
              </w:rPr>
            </w:pPr>
            <w:r>
              <w:rPr>
                <w:rFonts w:hint="eastAsia" w:hAnsi="宋体"/>
                <w:szCs w:val="18"/>
              </w:rPr>
              <w:t>交流电磁场检测人员</w:t>
            </w:r>
          </w:p>
        </w:tc>
        <w:tc>
          <w:tcPr>
            <w:tcW w:w="2690" w:type="pct"/>
            <w:vAlign w:val="center"/>
          </w:tcPr>
          <w:p w14:paraId="2D2DB13F">
            <w:pPr>
              <w:widowControl/>
              <w:autoSpaceDE w:val="0"/>
              <w:autoSpaceDN w:val="0"/>
              <w:adjustRightInd w:val="0"/>
              <w:snapToGrid w:val="0"/>
              <w:ind w:right="102"/>
              <w:jc w:val="center"/>
              <w:textAlignment w:val="baseline"/>
              <w:rPr>
                <w:rFonts w:ascii="宋体" w:hAnsi="宋体" w:eastAsia="宋体" w:cs="宋体"/>
                <w:szCs w:val="18"/>
              </w:rPr>
            </w:pPr>
            <w:r>
              <w:rPr>
                <w:rFonts w:hint="eastAsia" w:ascii="宋体" w:hAnsi="宋体" w:eastAsia="宋体" w:cs="宋体"/>
                <w:kern w:val="0"/>
                <w:sz w:val="18"/>
                <w:szCs w:val="18"/>
              </w:rPr>
              <w:t>/</w:t>
            </w:r>
          </w:p>
        </w:tc>
        <w:tc>
          <w:tcPr>
            <w:tcW w:w="1260" w:type="pct"/>
            <w:vAlign w:val="center"/>
          </w:tcPr>
          <w:p w14:paraId="5D3B40BF">
            <w:pPr>
              <w:pStyle w:val="110"/>
              <w:widowControl w:val="0"/>
              <w:adjustRightInd w:val="0"/>
              <w:snapToGrid w:val="0"/>
              <w:rPr>
                <w:rFonts w:hAnsi="宋体" w:cs="宋体"/>
                <w:szCs w:val="18"/>
              </w:rPr>
            </w:pPr>
            <w:r>
              <w:rPr>
                <w:rFonts w:hint="eastAsia" w:hAnsi="宋体" w:cs="宋体"/>
                <w:szCs w:val="18"/>
              </w:rPr>
              <w:t>/</w:t>
            </w:r>
          </w:p>
        </w:tc>
      </w:tr>
      <w:tr w14:paraId="6F9EBF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50" w:type="pct"/>
            <w:vAlign w:val="center"/>
          </w:tcPr>
          <w:p w14:paraId="2261BBCA">
            <w:pPr>
              <w:pStyle w:val="110"/>
              <w:widowControl w:val="0"/>
              <w:adjustRightInd w:val="0"/>
              <w:snapToGrid w:val="0"/>
              <w:rPr>
                <w:rFonts w:hAnsi="宋体" w:cs="宋体"/>
                <w:spacing w:val="-2"/>
                <w:szCs w:val="18"/>
              </w:rPr>
            </w:pPr>
            <w:r>
              <w:rPr>
                <w:rFonts w:hint="eastAsia" w:hAnsi="宋体" w:cs="宋体"/>
                <w:spacing w:val="-2"/>
                <w:szCs w:val="18"/>
              </w:rPr>
              <w:t>水下测厚人员</w:t>
            </w:r>
          </w:p>
        </w:tc>
        <w:tc>
          <w:tcPr>
            <w:tcW w:w="2690" w:type="pct"/>
            <w:vAlign w:val="center"/>
          </w:tcPr>
          <w:p w14:paraId="4E0EA1B6">
            <w:pPr>
              <w:pStyle w:val="110"/>
              <w:widowControl w:val="0"/>
              <w:adjustRightInd w:val="0"/>
              <w:snapToGrid w:val="0"/>
              <w:ind w:right="102"/>
              <w:jc w:val="left"/>
              <w:textAlignment w:val="baseline"/>
              <w:rPr>
                <w:rFonts w:hAnsi="宋体" w:cs="宋体"/>
                <w:spacing w:val="-2"/>
                <w:szCs w:val="18"/>
              </w:rPr>
            </w:pPr>
            <w:r>
              <w:rPr>
                <w:rFonts w:hint="eastAsia" w:hAnsi="宋体" w:cs="宋体"/>
                <w:szCs w:val="18"/>
              </w:rPr>
              <w:t>中国船级社</w:t>
            </w:r>
            <w:r>
              <w:rPr>
                <w:rFonts w:hint="eastAsia" w:hAnsi="宋体" w:cs="宋体"/>
                <w:spacing w:val="-2"/>
                <w:szCs w:val="18"/>
              </w:rPr>
              <w:t>水下测厚人员</w:t>
            </w:r>
            <w:r>
              <w:rPr>
                <w:rFonts w:hint="eastAsia" w:hAnsi="宋体" w:cs="宋体"/>
                <w:szCs w:val="18"/>
              </w:rPr>
              <w:t>水平认证证书：</w:t>
            </w:r>
            <w:r>
              <w:rPr>
                <w:rFonts w:hint="eastAsia" w:hAnsi="宋体" w:cs="宋体"/>
                <w:spacing w:val="-2"/>
                <w:szCs w:val="18"/>
              </w:rPr>
              <w:t>水下测厚人员</w:t>
            </w:r>
          </w:p>
        </w:tc>
        <w:tc>
          <w:tcPr>
            <w:tcW w:w="1260" w:type="pct"/>
            <w:vAlign w:val="center"/>
          </w:tcPr>
          <w:p w14:paraId="6FCA19BD">
            <w:pPr>
              <w:pStyle w:val="110"/>
              <w:widowControl w:val="0"/>
              <w:adjustRightInd w:val="0"/>
              <w:snapToGrid w:val="0"/>
              <w:rPr>
                <w:rFonts w:hAnsi="宋体" w:cs="宋体"/>
                <w:szCs w:val="18"/>
              </w:rPr>
            </w:pPr>
            <w:r>
              <w:rPr>
                <w:rFonts w:hint="eastAsia" w:hAnsi="宋体" w:cs="宋体"/>
                <w:szCs w:val="18"/>
              </w:rPr>
              <w:t>中国船级社</w:t>
            </w:r>
          </w:p>
        </w:tc>
      </w:tr>
      <w:tr w14:paraId="5119F4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50" w:type="pct"/>
            <w:vAlign w:val="center"/>
          </w:tcPr>
          <w:p w14:paraId="1FB529B3">
            <w:pPr>
              <w:pStyle w:val="110"/>
              <w:widowControl w:val="0"/>
              <w:adjustRightInd w:val="0"/>
              <w:snapToGrid w:val="0"/>
              <w:rPr>
                <w:rFonts w:hAnsi="宋体" w:cs="宋体"/>
                <w:spacing w:val="-2"/>
                <w:szCs w:val="18"/>
              </w:rPr>
            </w:pPr>
            <w:r>
              <w:rPr>
                <w:rFonts w:hint="eastAsia" w:hAnsi="宋体" w:cs="宋体"/>
                <w:spacing w:val="-2"/>
                <w:szCs w:val="18"/>
              </w:rPr>
              <w:t>水下磁粉检测人员</w:t>
            </w:r>
          </w:p>
        </w:tc>
        <w:tc>
          <w:tcPr>
            <w:tcW w:w="2690" w:type="pct"/>
            <w:vAlign w:val="center"/>
          </w:tcPr>
          <w:p w14:paraId="69D84565">
            <w:pPr>
              <w:pStyle w:val="110"/>
              <w:widowControl w:val="0"/>
              <w:adjustRightInd w:val="0"/>
              <w:snapToGrid w:val="0"/>
              <w:ind w:right="102"/>
              <w:jc w:val="left"/>
              <w:textAlignment w:val="baseline"/>
              <w:rPr>
                <w:rFonts w:hAnsi="宋体" w:cs="宋体"/>
                <w:spacing w:val="-2"/>
                <w:szCs w:val="18"/>
              </w:rPr>
            </w:pPr>
            <w:r>
              <w:rPr>
                <w:rFonts w:hint="eastAsia" w:hAnsi="宋体" w:cs="宋体"/>
                <w:szCs w:val="18"/>
              </w:rPr>
              <w:t>中国船级社无损检测人员水平认证证书：</w:t>
            </w:r>
            <w:r>
              <w:rPr>
                <w:rFonts w:hint="eastAsia" w:hAnsi="宋体" w:cs="宋体"/>
                <w:spacing w:val="-2"/>
                <w:szCs w:val="18"/>
              </w:rPr>
              <w:t>水下磁粉检测人员</w:t>
            </w:r>
          </w:p>
        </w:tc>
        <w:tc>
          <w:tcPr>
            <w:tcW w:w="1260" w:type="pct"/>
            <w:vAlign w:val="center"/>
          </w:tcPr>
          <w:p w14:paraId="687E05D4">
            <w:pPr>
              <w:pStyle w:val="110"/>
              <w:widowControl w:val="0"/>
              <w:adjustRightInd w:val="0"/>
              <w:snapToGrid w:val="0"/>
              <w:rPr>
                <w:rFonts w:hAnsi="宋体" w:cs="宋体"/>
                <w:spacing w:val="-2"/>
                <w:szCs w:val="18"/>
              </w:rPr>
            </w:pPr>
            <w:r>
              <w:rPr>
                <w:rFonts w:hint="eastAsia" w:hAnsi="宋体" w:cs="宋体"/>
                <w:szCs w:val="18"/>
              </w:rPr>
              <w:t>中国船级社</w:t>
            </w:r>
          </w:p>
        </w:tc>
      </w:tr>
      <w:tr w14:paraId="472AE3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50" w:type="pct"/>
            <w:vAlign w:val="center"/>
          </w:tcPr>
          <w:p w14:paraId="49A5F086">
            <w:pPr>
              <w:pStyle w:val="110"/>
              <w:widowControl w:val="0"/>
              <w:adjustRightInd w:val="0"/>
              <w:snapToGrid w:val="0"/>
              <w:rPr>
                <w:rFonts w:hAnsi="宋体" w:cs="宋体"/>
                <w:spacing w:val="-2"/>
                <w:szCs w:val="18"/>
              </w:rPr>
            </w:pPr>
            <w:r>
              <w:rPr>
                <w:rFonts w:hint="eastAsia" w:hAnsi="宋体" w:cs="宋体"/>
                <w:spacing w:val="-2"/>
                <w:szCs w:val="18"/>
              </w:rPr>
              <w:t>水下目视检测人员</w:t>
            </w:r>
          </w:p>
        </w:tc>
        <w:tc>
          <w:tcPr>
            <w:tcW w:w="2690" w:type="pct"/>
            <w:vAlign w:val="center"/>
          </w:tcPr>
          <w:p w14:paraId="26983CC4">
            <w:pPr>
              <w:pStyle w:val="110"/>
              <w:widowControl w:val="0"/>
              <w:adjustRightInd w:val="0"/>
              <w:snapToGrid w:val="0"/>
              <w:ind w:right="102"/>
              <w:jc w:val="left"/>
              <w:textAlignment w:val="baseline"/>
              <w:rPr>
                <w:rFonts w:hAnsi="宋体" w:cs="宋体"/>
                <w:spacing w:val="-2"/>
                <w:szCs w:val="18"/>
              </w:rPr>
            </w:pPr>
            <w:r>
              <w:rPr>
                <w:rFonts w:hint="eastAsia" w:hAnsi="宋体" w:cs="宋体"/>
                <w:szCs w:val="18"/>
              </w:rPr>
              <w:t>中国船级社无损检测人员水平认证证书：</w:t>
            </w:r>
            <w:r>
              <w:rPr>
                <w:rFonts w:hint="eastAsia" w:hAnsi="宋体" w:cs="宋体"/>
                <w:spacing w:val="-2"/>
                <w:szCs w:val="18"/>
              </w:rPr>
              <w:t>水下目视检测人员</w:t>
            </w:r>
          </w:p>
        </w:tc>
        <w:tc>
          <w:tcPr>
            <w:tcW w:w="1260" w:type="pct"/>
            <w:vAlign w:val="center"/>
          </w:tcPr>
          <w:p w14:paraId="40F8BD63">
            <w:pPr>
              <w:pStyle w:val="110"/>
              <w:widowControl w:val="0"/>
              <w:adjustRightInd w:val="0"/>
              <w:snapToGrid w:val="0"/>
              <w:rPr>
                <w:rFonts w:hAnsi="宋体" w:cs="宋体"/>
                <w:spacing w:val="-2"/>
                <w:szCs w:val="18"/>
              </w:rPr>
            </w:pPr>
            <w:r>
              <w:rPr>
                <w:rFonts w:hint="eastAsia" w:hAnsi="宋体" w:cs="宋体"/>
                <w:szCs w:val="18"/>
              </w:rPr>
              <w:t>中国船级社</w:t>
            </w:r>
          </w:p>
        </w:tc>
      </w:tr>
      <w:tr w14:paraId="3805F1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50" w:type="pct"/>
            <w:vAlign w:val="center"/>
          </w:tcPr>
          <w:p w14:paraId="41DDA8DF">
            <w:pPr>
              <w:pStyle w:val="110"/>
              <w:widowControl w:val="0"/>
              <w:adjustRightInd w:val="0"/>
              <w:snapToGrid w:val="0"/>
              <w:rPr>
                <w:rFonts w:hAnsi="宋体" w:cs="宋体"/>
                <w:spacing w:val="-2"/>
                <w:szCs w:val="18"/>
              </w:rPr>
            </w:pPr>
            <w:r>
              <w:rPr>
                <w:rFonts w:hint="eastAsia" w:hAnsi="宋体"/>
                <w:szCs w:val="18"/>
              </w:rPr>
              <w:t>固定式灭火系统检测人员</w:t>
            </w:r>
          </w:p>
        </w:tc>
        <w:tc>
          <w:tcPr>
            <w:tcW w:w="2690" w:type="pct"/>
            <w:vAlign w:val="center"/>
          </w:tcPr>
          <w:p w14:paraId="4CF94E43">
            <w:pPr>
              <w:pStyle w:val="110"/>
              <w:widowControl w:val="0"/>
              <w:adjustRightInd w:val="0"/>
              <w:snapToGrid w:val="0"/>
              <w:ind w:right="102"/>
              <w:jc w:val="left"/>
              <w:textAlignment w:val="baseline"/>
              <w:rPr>
                <w:rFonts w:hAnsi="宋体" w:cs="宋体"/>
                <w:spacing w:val="-2"/>
                <w:szCs w:val="18"/>
              </w:rPr>
            </w:pPr>
            <w:r>
              <w:rPr>
                <w:rFonts w:hint="eastAsia" w:hAnsi="宋体"/>
                <w:szCs w:val="18"/>
              </w:rPr>
              <w:t>消防设施操作员</w:t>
            </w:r>
          </w:p>
        </w:tc>
        <w:tc>
          <w:tcPr>
            <w:tcW w:w="1260" w:type="pct"/>
            <w:vAlign w:val="center"/>
          </w:tcPr>
          <w:p w14:paraId="6C34F766">
            <w:pPr>
              <w:pStyle w:val="110"/>
              <w:widowControl w:val="0"/>
              <w:adjustRightInd w:val="0"/>
              <w:snapToGrid w:val="0"/>
              <w:rPr>
                <w:rFonts w:hAnsi="宋体" w:cs="宋体"/>
                <w:szCs w:val="18"/>
              </w:rPr>
            </w:pPr>
            <w:r>
              <w:rPr>
                <w:rFonts w:hint="eastAsia" w:hAnsi="宋体"/>
                <w:szCs w:val="18"/>
              </w:rPr>
              <w:t>国家消防救援局</w:t>
            </w:r>
          </w:p>
        </w:tc>
      </w:tr>
    </w:tbl>
    <w:p w14:paraId="7DDA3AA7">
      <w:pPr>
        <w:pStyle w:val="108"/>
        <w:numPr>
          <w:ilvl w:val="1"/>
          <w:numId w:val="0"/>
        </w:numPr>
        <w:spacing w:before="156" w:after="156"/>
        <w:rPr>
          <w:rFonts w:ascii="宋体" w:hAnsi="宋体"/>
          <w:szCs w:val="21"/>
        </w:rPr>
        <w:sectPr>
          <w:footerReference r:id="rId16" w:type="default"/>
          <w:footerReference r:id="rId17" w:type="even"/>
          <w:pgSz w:w="16838" w:h="11906" w:orient="landscape"/>
          <w:pgMar w:top="1587" w:right="1701" w:bottom="1474" w:left="1474" w:header="851" w:footer="992" w:gutter="0"/>
          <w:cols w:space="425" w:num="1"/>
          <w:docGrid w:type="lines" w:linePitch="312" w:charSpace="0"/>
        </w:sectPr>
      </w:pPr>
    </w:p>
    <w:p w14:paraId="1384D44D">
      <w:pPr>
        <w:pStyle w:val="90"/>
        <w:tabs>
          <w:tab w:val="left" w:pos="6406"/>
        </w:tabs>
        <w:spacing w:after="156"/>
        <w:ind w:left="0"/>
        <w:rPr>
          <w:rFonts w:ascii="宋体" w:hAnsi="宋体"/>
        </w:rPr>
      </w:pPr>
      <w:bookmarkStart w:id="127" w:name="_Toc480"/>
      <w:bookmarkStart w:id="128" w:name="_Toc30684"/>
      <w:bookmarkStart w:id="129" w:name="_Toc1188"/>
      <w:r>
        <w:rPr>
          <w:rFonts w:ascii="宋体" w:hAnsi="宋体"/>
        </w:rPr>
        <w:br w:type="textWrapping"/>
      </w:r>
      <w:r>
        <w:rPr>
          <w:rFonts w:hint="eastAsia" w:ascii="宋体" w:hAnsi="宋体"/>
        </w:rPr>
        <w:t>（规范性）</w:t>
      </w:r>
      <w:r>
        <w:rPr>
          <w:rFonts w:ascii="宋体" w:hAnsi="宋体"/>
        </w:rPr>
        <w:br w:type="textWrapping"/>
      </w:r>
      <w:r>
        <w:rPr>
          <w:rFonts w:hint="eastAsia" w:ascii="宋体" w:hAnsi="宋体"/>
        </w:rPr>
        <w:t>海洋石油安全评价检测检验机构人员培训要求</w:t>
      </w:r>
      <w:bookmarkEnd w:id="127"/>
      <w:bookmarkEnd w:id="128"/>
      <w:bookmarkEnd w:id="129"/>
    </w:p>
    <w:p w14:paraId="12CBA319">
      <w:pPr>
        <w:pStyle w:val="43"/>
        <w:ind w:firstLine="420"/>
        <w:rPr>
          <w:rFonts w:hAnsi="宋体"/>
        </w:rPr>
      </w:pPr>
      <w:bookmarkStart w:id="130" w:name="_Hlk214637889"/>
      <w:bookmarkStart w:id="131" w:name="_Toc7935"/>
      <w:r>
        <w:rPr>
          <w:rFonts w:hint="eastAsia" w:hAnsi="宋体"/>
        </w:rPr>
        <w:t>海洋石油安全评价机构专职技术人员培训应符合表E.1的要求；海洋石油生产设施发证检验机构现场检验人员培训应符合表E.2的要求，设计审查人员培训应符合表E.3的要求；海洋石油专业设备检测检验机构专业设备检验人员培训应符合表E.4的要求，交流电磁场检测人员培训应符合表E.5。</w:t>
      </w:r>
    </w:p>
    <w:bookmarkEnd w:id="130"/>
    <w:p w14:paraId="3FCB56D9">
      <w:pPr>
        <w:pStyle w:val="113"/>
        <w:numPr>
          <w:ilvl w:val="0"/>
          <w:numId w:val="0"/>
        </w:numPr>
        <w:ind w:left="425" w:hanging="425"/>
        <w:rPr>
          <w:rFonts w:hAnsi="宋体"/>
        </w:rPr>
      </w:pPr>
      <w:r>
        <w:rPr>
          <w:rFonts w:hint="eastAsia" w:hAnsi="宋体"/>
        </w:rPr>
        <w:t>B</w:t>
      </w:r>
    </w:p>
    <w:p w14:paraId="3B6BFD99">
      <w:pPr>
        <w:pStyle w:val="108"/>
        <w:numPr>
          <w:ilvl w:val="1"/>
          <w:numId w:val="0"/>
        </w:numPr>
        <w:spacing w:before="156" w:after="156"/>
        <w:rPr>
          <w:rFonts w:ascii="宋体" w:hAnsi="宋体"/>
        </w:rPr>
      </w:pPr>
      <w:r>
        <w:rPr>
          <w:rFonts w:hint="eastAsia" w:ascii="宋体" w:hAnsi="宋体"/>
        </w:rPr>
        <w:t>表E.1专职技术人员培训要求</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02"/>
        <w:gridCol w:w="944"/>
        <w:gridCol w:w="5375"/>
        <w:gridCol w:w="811"/>
        <w:gridCol w:w="933"/>
      </w:tblGrid>
      <w:tr w14:paraId="2AE448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833" w:type="dxa"/>
            <w:gridSpan w:val="2"/>
            <w:tcBorders>
              <w:top w:val="single" w:color="auto" w:sz="8" w:space="0"/>
              <w:bottom w:val="single" w:color="auto" w:sz="8" w:space="0"/>
            </w:tcBorders>
            <w:vAlign w:val="center"/>
          </w:tcPr>
          <w:p w14:paraId="24B77D7F">
            <w:pPr>
              <w:pStyle w:val="110"/>
              <w:widowControl w:val="0"/>
              <w:rPr>
                <w:rFonts w:hAnsi="宋体"/>
              </w:rPr>
            </w:pPr>
            <w:r>
              <w:rPr>
                <w:rFonts w:hint="eastAsia" w:hAnsi="宋体"/>
                <w:spacing w:val="-7"/>
                <w:szCs w:val="18"/>
              </w:rPr>
              <w:t>培训类型</w:t>
            </w:r>
          </w:p>
        </w:tc>
        <w:tc>
          <w:tcPr>
            <w:tcW w:w="5670" w:type="dxa"/>
            <w:tcBorders>
              <w:top w:val="single" w:color="auto" w:sz="8" w:space="0"/>
              <w:bottom w:val="single" w:color="auto" w:sz="8" w:space="0"/>
            </w:tcBorders>
            <w:vAlign w:val="center"/>
          </w:tcPr>
          <w:p w14:paraId="57E2E413">
            <w:pPr>
              <w:pStyle w:val="110"/>
              <w:widowControl w:val="0"/>
              <w:rPr>
                <w:rFonts w:hAnsi="宋体"/>
              </w:rPr>
            </w:pPr>
            <w:r>
              <w:rPr>
                <w:rFonts w:hint="eastAsia" w:hAnsi="宋体"/>
                <w:spacing w:val="-7"/>
                <w:szCs w:val="18"/>
              </w:rPr>
              <w:t>培训内容</w:t>
            </w:r>
          </w:p>
        </w:tc>
        <w:tc>
          <w:tcPr>
            <w:tcW w:w="851" w:type="dxa"/>
            <w:tcBorders>
              <w:top w:val="single" w:color="auto" w:sz="8" w:space="0"/>
              <w:bottom w:val="single" w:color="auto" w:sz="8" w:space="0"/>
            </w:tcBorders>
            <w:vAlign w:val="center"/>
          </w:tcPr>
          <w:p w14:paraId="6E1E96F5">
            <w:pPr>
              <w:pStyle w:val="110"/>
              <w:widowControl w:val="0"/>
              <w:rPr>
                <w:rFonts w:hAnsi="宋体"/>
              </w:rPr>
            </w:pPr>
            <w:r>
              <w:rPr>
                <w:rFonts w:hint="eastAsia" w:hAnsi="宋体"/>
                <w:spacing w:val="-7"/>
                <w:szCs w:val="18"/>
              </w:rPr>
              <w:t>培训学时</w:t>
            </w:r>
          </w:p>
        </w:tc>
        <w:tc>
          <w:tcPr>
            <w:tcW w:w="980" w:type="dxa"/>
            <w:tcBorders>
              <w:top w:val="single" w:color="auto" w:sz="8" w:space="0"/>
              <w:bottom w:val="single" w:color="auto" w:sz="8" w:space="0"/>
            </w:tcBorders>
            <w:vAlign w:val="center"/>
          </w:tcPr>
          <w:p w14:paraId="3F284A57">
            <w:pPr>
              <w:pStyle w:val="110"/>
              <w:widowControl w:val="0"/>
              <w:rPr>
                <w:rFonts w:hAnsi="宋体"/>
              </w:rPr>
            </w:pPr>
            <w:r>
              <w:rPr>
                <w:rFonts w:hint="eastAsia" w:hAnsi="宋体"/>
                <w:spacing w:val="-7"/>
                <w:szCs w:val="18"/>
              </w:rPr>
              <w:t>考核方式</w:t>
            </w:r>
          </w:p>
        </w:tc>
      </w:tr>
      <w:tr w14:paraId="017D8A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833" w:type="dxa"/>
            <w:gridSpan w:val="2"/>
            <w:tcBorders>
              <w:top w:val="single" w:color="auto" w:sz="8" w:space="0"/>
            </w:tcBorders>
            <w:vAlign w:val="center"/>
          </w:tcPr>
          <w:p w14:paraId="3EDE5016">
            <w:pPr>
              <w:pStyle w:val="110"/>
              <w:widowControl w:val="0"/>
              <w:adjustRightInd w:val="0"/>
              <w:snapToGrid w:val="0"/>
              <w:rPr>
                <w:rFonts w:hAnsi="宋体"/>
                <w:szCs w:val="18"/>
              </w:rPr>
            </w:pPr>
            <w:r>
              <w:rPr>
                <w:rFonts w:hint="eastAsia" w:hAnsi="宋体"/>
                <w:szCs w:val="18"/>
              </w:rPr>
              <w:t>通用培训</w:t>
            </w:r>
          </w:p>
        </w:tc>
        <w:tc>
          <w:tcPr>
            <w:tcW w:w="5670" w:type="dxa"/>
            <w:tcBorders>
              <w:top w:val="single" w:color="auto" w:sz="8" w:space="0"/>
            </w:tcBorders>
            <w:vAlign w:val="center"/>
          </w:tcPr>
          <w:p w14:paraId="44CC7634">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1.安全评价理论知识</w:t>
            </w:r>
          </w:p>
          <w:p w14:paraId="52A914EE">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安全评价的基本概念、安全评价原理、安全评价方法、安全评价技术等。</w:t>
            </w:r>
          </w:p>
          <w:p w14:paraId="0F29B346">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2.安全评价法律法规</w:t>
            </w:r>
          </w:p>
          <w:p w14:paraId="7E52EC51">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安全评价法律法规、安全评价政策文件、安全评价标准规范等。</w:t>
            </w:r>
          </w:p>
          <w:p w14:paraId="4CC798E9">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3.安全评价实践</w:t>
            </w:r>
          </w:p>
          <w:p w14:paraId="3067D83B">
            <w:pPr>
              <w:pStyle w:val="99"/>
              <w:widowControl/>
              <w:autoSpaceDE w:val="0"/>
              <w:autoSpaceDN w:val="0"/>
              <w:adjustRightInd w:val="0"/>
              <w:snapToGrid w:val="0"/>
              <w:ind w:left="42" w:leftChars="20" w:right="102" w:firstLine="0" w:firstLineChars="0"/>
              <w:jc w:val="left"/>
              <w:textAlignment w:val="baseline"/>
            </w:pPr>
            <w:r>
              <w:rPr>
                <w:rFonts w:hint="eastAsia" w:cs="Times New Roman"/>
                <w:sz w:val="18"/>
                <w:szCs w:val="18"/>
              </w:rPr>
              <w:t>4.安全评价案例</w:t>
            </w:r>
          </w:p>
        </w:tc>
        <w:tc>
          <w:tcPr>
            <w:tcW w:w="851" w:type="dxa"/>
            <w:tcBorders>
              <w:top w:val="single" w:color="auto" w:sz="8" w:space="0"/>
            </w:tcBorders>
            <w:vAlign w:val="center"/>
          </w:tcPr>
          <w:p w14:paraId="1A8BD5CA">
            <w:pPr>
              <w:pStyle w:val="110"/>
              <w:widowControl w:val="0"/>
              <w:rPr>
                <w:rFonts w:hAnsi="宋体"/>
              </w:rPr>
            </w:pPr>
            <w:r>
              <w:rPr>
                <w:rFonts w:hint="eastAsia" w:hAnsi="宋体"/>
                <w:spacing w:val="-7"/>
                <w:szCs w:val="18"/>
              </w:rPr>
              <w:t>12学时</w:t>
            </w:r>
          </w:p>
        </w:tc>
        <w:tc>
          <w:tcPr>
            <w:tcW w:w="980" w:type="dxa"/>
            <w:vMerge w:val="restart"/>
            <w:tcBorders>
              <w:top w:val="single" w:color="auto" w:sz="8" w:space="0"/>
            </w:tcBorders>
            <w:vAlign w:val="center"/>
          </w:tcPr>
          <w:p w14:paraId="54C57FDE">
            <w:pPr>
              <w:pStyle w:val="110"/>
              <w:widowControl w:val="0"/>
              <w:adjustRightInd w:val="0"/>
              <w:snapToGrid w:val="0"/>
              <w:rPr>
                <w:rFonts w:hAnsi="宋体"/>
              </w:rPr>
            </w:pPr>
            <w:r>
              <w:rPr>
                <w:rFonts w:hint="eastAsia" w:hAnsi="宋体"/>
                <w:szCs w:val="18"/>
              </w:rPr>
              <w:t>理论考试</w:t>
            </w:r>
          </w:p>
        </w:tc>
      </w:tr>
      <w:tr w14:paraId="2A7571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restart"/>
            <w:vAlign w:val="center"/>
          </w:tcPr>
          <w:p w14:paraId="7AA66CED">
            <w:pPr>
              <w:pStyle w:val="110"/>
              <w:widowControl w:val="0"/>
              <w:adjustRightInd w:val="0"/>
              <w:snapToGrid w:val="0"/>
              <w:rPr>
                <w:rFonts w:hAnsi="宋体"/>
                <w:szCs w:val="18"/>
              </w:rPr>
            </w:pPr>
            <w:r>
              <w:rPr>
                <w:rFonts w:hint="eastAsia" w:hAnsi="宋体"/>
                <w:szCs w:val="18"/>
              </w:rPr>
              <w:t>专业能力培训</w:t>
            </w:r>
          </w:p>
        </w:tc>
        <w:tc>
          <w:tcPr>
            <w:tcW w:w="992" w:type="dxa"/>
            <w:vAlign w:val="center"/>
          </w:tcPr>
          <w:p w14:paraId="4BD51A78">
            <w:pPr>
              <w:pStyle w:val="110"/>
              <w:widowControl w:val="0"/>
              <w:adjustRightInd w:val="0"/>
              <w:snapToGrid w:val="0"/>
              <w:rPr>
                <w:rFonts w:hAnsi="宋体"/>
                <w:szCs w:val="18"/>
              </w:rPr>
            </w:pPr>
            <w:r>
              <w:rPr>
                <w:rFonts w:hint="eastAsia" w:hAnsi="宋体"/>
                <w:szCs w:val="18"/>
              </w:rPr>
              <w:t>钻井/采油</w:t>
            </w:r>
          </w:p>
        </w:tc>
        <w:tc>
          <w:tcPr>
            <w:tcW w:w="5670" w:type="dxa"/>
            <w:vAlign w:val="center"/>
          </w:tcPr>
          <w:p w14:paraId="4185BFE6">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1.法律法规标准</w:t>
            </w:r>
          </w:p>
          <w:p w14:paraId="4801A922">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3AB20404">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2.钻井</w:t>
            </w:r>
          </w:p>
          <w:p w14:paraId="37431DAE">
            <w:pPr>
              <w:pStyle w:val="99"/>
              <w:autoSpaceDE w:val="0"/>
              <w:autoSpaceDN w:val="0"/>
              <w:adjustRightInd w:val="0"/>
              <w:snapToGrid w:val="0"/>
              <w:ind w:left="42" w:leftChars="20" w:right="102" w:firstLine="360"/>
              <w:textAlignment w:val="baseline"/>
              <w:rPr>
                <w:rFonts w:cs="Times New Roman"/>
                <w:sz w:val="18"/>
                <w:szCs w:val="18"/>
              </w:rPr>
            </w:pPr>
            <w:r>
              <w:rPr>
                <w:rFonts w:hint="eastAsia" w:cs="Times New Roman"/>
                <w:sz w:val="18"/>
                <w:szCs w:val="18"/>
              </w:rPr>
              <w:t>地质溢油风险评估、风险井分类、井控方案设计等。</w:t>
            </w:r>
          </w:p>
          <w:p w14:paraId="3D4ACCF8">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3.完井/采油</w:t>
            </w:r>
          </w:p>
          <w:p w14:paraId="3A14E3DC">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井屏障图绘制、环空压力管理、在役井的完整性管理等。</w:t>
            </w:r>
          </w:p>
        </w:tc>
        <w:tc>
          <w:tcPr>
            <w:tcW w:w="851" w:type="dxa"/>
            <w:vMerge w:val="restart"/>
            <w:vAlign w:val="center"/>
          </w:tcPr>
          <w:p w14:paraId="0DAC7D08">
            <w:pPr>
              <w:pStyle w:val="110"/>
              <w:widowControl w:val="0"/>
              <w:rPr>
                <w:rFonts w:hAnsi="宋体"/>
              </w:rPr>
            </w:pPr>
            <w:r>
              <w:rPr>
                <w:rFonts w:hint="eastAsia" w:hAnsi="宋体"/>
                <w:spacing w:val="-7"/>
                <w:szCs w:val="18"/>
              </w:rPr>
              <w:t>28学时</w:t>
            </w:r>
          </w:p>
        </w:tc>
        <w:tc>
          <w:tcPr>
            <w:tcW w:w="980" w:type="dxa"/>
            <w:vMerge w:val="continue"/>
            <w:vAlign w:val="center"/>
          </w:tcPr>
          <w:p w14:paraId="4D3640B7">
            <w:pPr>
              <w:pStyle w:val="110"/>
              <w:widowControl w:val="0"/>
              <w:rPr>
                <w:rFonts w:hAnsi="宋体"/>
              </w:rPr>
            </w:pPr>
          </w:p>
        </w:tc>
      </w:tr>
      <w:tr w14:paraId="2E4B8F4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7A4087E2">
            <w:pPr>
              <w:pStyle w:val="110"/>
              <w:widowControl w:val="0"/>
              <w:adjustRightInd w:val="0"/>
              <w:snapToGrid w:val="0"/>
              <w:rPr>
                <w:rFonts w:hAnsi="宋体"/>
                <w:szCs w:val="18"/>
              </w:rPr>
            </w:pPr>
          </w:p>
        </w:tc>
        <w:tc>
          <w:tcPr>
            <w:tcW w:w="992" w:type="dxa"/>
            <w:vAlign w:val="center"/>
          </w:tcPr>
          <w:p w14:paraId="33D27D2E">
            <w:pPr>
              <w:pStyle w:val="110"/>
              <w:widowControl w:val="0"/>
              <w:adjustRightInd w:val="0"/>
              <w:snapToGrid w:val="0"/>
              <w:rPr>
                <w:rFonts w:hAnsi="宋体"/>
                <w:szCs w:val="18"/>
              </w:rPr>
            </w:pPr>
            <w:r>
              <w:rPr>
                <w:rFonts w:hint="eastAsia" w:hAnsi="宋体"/>
                <w:szCs w:val="18"/>
              </w:rPr>
              <w:t>结构/防腐</w:t>
            </w:r>
          </w:p>
        </w:tc>
        <w:tc>
          <w:tcPr>
            <w:tcW w:w="5670" w:type="dxa"/>
            <w:vAlign w:val="center"/>
          </w:tcPr>
          <w:p w14:paraId="77573A91">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1.法律法规标准</w:t>
            </w:r>
          </w:p>
          <w:p w14:paraId="41DB3040">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72DD7A28">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2.结构和防腐</w:t>
            </w:r>
          </w:p>
          <w:p w14:paraId="2C256614">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总体布置、平台结构强度、平台防腐、海上安装、拖航、直升机甲板及设施、耐火分隔及消防设备、起重设备等。</w:t>
            </w:r>
          </w:p>
          <w:p w14:paraId="5D03C6C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3.土建</w:t>
            </w:r>
          </w:p>
          <w:p w14:paraId="3C208452">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建筑结构荷载、砌体结构设计、混凝土结构设计、建筑地基基础设计、建筑抗震设计等。</w:t>
            </w:r>
          </w:p>
        </w:tc>
        <w:tc>
          <w:tcPr>
            <w:tcW w:w="851" w:type="dxa"/>
            <w:vMerge w:val="continue"/>
            <w:vAlign w:val="center"/>
          </w:tcPr>
          <w:p w14:paraId="1202FB52">
            <w:pPr>
              <w:pStyle w:val="110"/>
              <w:widowControl w:val="0"/>
              <w:rPr>
                <w:rFonts w:hAnsi="宋体"/>
              </w:rPr>
            </w:pPr>
          </w:p>
        </w:tc>
        <w:tc>
          <w:tcPr>
            <w:tcW w:w="980" w:type="dxa"/>
            <w:vMerge w:val="continue"/>
            <w:vAlign w:val="center"/>
          </w:tcPr>
          <w:p w14:paraId="5D09D62B">
            <w:pPr>
              <w:pStyle w:val="110"/>
              <w:widowControl w:val="0"/>
              <w:rPr>
                <w:rFonts w:hAnsi="宋体"/>
              </w:rPr>
            </w:pPr>
          </w:p>
        </w:tc>
      </w:tr>
      <w:tr w14:paraId="2FFE9B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50F85B79">
            <w:pPr>
              <w:pStyle w:val="110"/>
              <w:widowControl w:val="0"/>
              <w:adjustRightInd w:val="0"/>
              <w:snapToGrid w:val="0"/>
              <w:rPr>
                <w:rFonts w:hAnsi="宋体"/>
                <w:szCs w:val="18"/>
              </w:rPr>
            </w:pPr>
          </w:p>
        </w:tc>
        <w:tc>
          <w:tcPr>
            <w:tcW w:w="992" w:type="dxa"/>
            <w:vAlign w:val="center"/>
          </w:tcPr>
          <w:p w14:paraId="6F621878">
            <w:pPr>
              <w:pStyle w:val="110"/>
              <w:widowControl w:val="0"/>
              <w:adjustRightInd w:val="0"/>
              <w:snapToGrid w:val="0"/>
              <w:rPr>
                <w:rFonts w:hAnsi="宋体"/>
                <w:szCs w:val="18"/>
              </w:rPr>
            </w:pPr>
            <w:r>
              <w:rPr>
                <w:rFonts w:hint="eastAsia" w:hAnsi="宋体"/>
                <w:szCs w:val="18"/>
              </w:rPr>
              <w:t>油气工艺</w:t>
            </w:r>
          </w:p>
        </w:tc>
        <w:tc>
          <w:tcPr>
            <w:tcW w:w="5670" w:type="dxa"/>
          </w:tcPr>
          <w:p w14:paraId="08034992">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1.法律法规标准</w:t>
            </w:r>
          </w:p>
          <w:p w14:paraId="2BED3CAC">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7A11768E">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2.油气工艺</w:t>
            </w:r>
          </w:p>
          <w:p w14:paraId="2A6F4E36">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油气生产系统、油气集输系统、油气处理系统等。</w:t>
            </w:r>
          </w:p>
        </w:tc>
        <w:tc>
          <w:tcPr>
            <w:tcW w:w="851" w:type="dxa"/>
            <w:vMerge w:val="continue"/>
            <w:vAlign w:val="center"/>
          </w:tcPr>
          <w:p w14:paraId="7B73EFD9">
            <w:pPr>
              <w:pStyle w:val="110"/>
              <w:widowControl w:val="0"/>
              <w:rPr>
                <w:rFonts w:hAnsi="宋体"/>
              </w:rPr>
            </w:pPr>
          </w:p>
        </w:tc>
        <w:tc>
          <w:tcPr>
            <w:tcW w:w="980" w:type="dxa"/>
            <w:vMerge w:val="continue"/>
            <w:vAlign w:val="center"/>
          </w:tcPr>
          <w:p w14:paraId="611C7C0F">
            <w:pPr>
              <w:pStyle w:val="110"/>
              <w:widowControl w:val="0"/>
              <w:rPr>
                <w:rFonts w:hAnsi="宋体"/>
              </w:rPr>
            </w:pPr>
          </w:p>
        </w:tc>
      </w:tr>
      <w:tr w14:paraId="5ED1B1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6ED51A94">
            <w:pPr>
              <w:pStyle w:val="110"/>
              <w:widowControl w:val="0"/>
              <w:adjustRightInd w:val="0"/>
              <w:snapToGrid w:val="0"/>
              <w:rPr>
                <w:rFonts w:hAnsi="宋体"/>
                <w:szCs w:val="18"/>
              </w:rPr>
            </w:pPr>
          </w:p>
        </w:tc>
        <w:tc>
          <w:tcPr>
            <w:tcW w:w="992" w:type="dxa"/>
            <w:vAlign w:val="center"/>
          </w:tcPr>
          <w:p w14:paraId="1C305843">
            <w:pPr>
              <w:pStyle w:val="110"/>
              <w:widowControl w:val="0"/>
              <w:adjustRightInd w:val="0"/>
              <w:snapToGrid w:val="0"/>
              <w:rPr>
                <w:rFonts w:hAnsi="宋体"/>
                <w:szCs w:val="18"/>
              </w:rPr>
            </w:pPr>
            <w:r>
              <w:rPr>
                <w:rFonts w:hint="eastAsia" w:hAnsi="宋体"/>
                <w:szCs w:val="18"/>
              </w:rPr>
              <w:t>机械/设备</w:t>
            </w:r>
          </w:p>
        </w:tc>
        <w:tc>
          <w:tcPr>
            <w:tcW w:w="5670" w:type="dxa"/>
          </w:tcPr>
          <w:p w14:paraId="55147210">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1.法律法规标准</w:t>
            </w:r>
          </w:p>
          <w:p w14:paraId="75901E80">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47842458">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2.机械和设备</w:t>
            </w:r>
          </w:p>
          <w:p w14:paraId="759B987E">
            <w:pPr>
              <w:pStyle w:val="110"/>
              <w:widowControl w:val="0"/>
              <w:rPr>
                <w:rFonts w:hAnsi="宋体"/>
              </w:rPr>
            </w:pPr>
            <w:r>
              <w:rPr>
                <w:rFonts w:hint="eastAsia" w:hAnsi="宋体"/>
                <w:szCs w:val="18"/>
              </w:rPr>
              <w:t>生产工艺系统、机械设备及管系、固定灭火系统、通风系统等。</w:t>
            </w:r>
          </w:p>
        </w:tc>
        <w:tc>
          <w:tcPr>
            <w:tcW w:w="851" w:type="dxa"/>
            <w:vMerge w:val="continue"/>
            <w:vAlign w:val="center"/>
          </w:tcPr>
          <w:p w14:paraId="35817939">
            <w:pPr>
              <w:pStyle w:val="110"/>
              <w:widowControl w:val="0"/>
              <w:rPr>
                <w:rFonts w:hAnsi="宋体"/>
              </w:rPr>
            </w:pPr>
          </w:p>
        </w:tc>
        <w:tc>
          <w:tcPr>
            <w:tcW w:w="980" w:type="dxa"/>
            <w:vMerge w:val="continue"/>
            <w:vAlign w:val="center"/>
          </w:tcPr>
          <w:p w14:paraId="2E826463">
            <w:pPr>
              <w:pStyle w:val="110"/>
              <w:widowControl w:val="0"/>
              <w:rPr>
                <w:rFonts w:hAnsi="宋体"/>
              </w:rPr>
            </w:pPr>
          </w:p>
        </w:tc>
      </w:tr>
      <w:tr w14:paraId="434C23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538E8617">
            <w:pPr>
              <w:pStyle w:val="110"/>
              <w:widowControl w:val="0"/>
              <w:adjustRightInd w:val="0"/>
              <w:snapToGrid w:val="0"/>
              <w:rPr>
                <w:rFonts w:hAnsi="宋体"/>
                <w:szCs w:val="18"/>
              </w:rPr>
            </w:pPr>
          </w:p>
        </w:tc>
        <w:tc>
          <w:tcPr>
            <w:tcW w:w="992" w:type="dxa"/>
            <w:vAlign w:val="center"/>
          </w:tcPr>
          <w:p w14:paraId="6F9D6063">
            <w:pPr>
              <w:pStyle w:val="110"/>
              <w:widowControl w:val="0"/>
              <w:adjustRightInd w:val="0"/>
              <w:snapToGrid w:val="0"/>
              <w:rPr>
                <w:rFonts w:hAnsi="宋体"/>
                <w:szCs w:val="18"/>
              </w:rPr>
            </w:pPr>
            <w:r>
              <w:rPr>
                <w:rFonts w:hint="eastAsia" w:hAnsi="宋体"/>
                <w:szCs w:val="18"/>
              </w:rPr>
              <w:t>电气/仪表</w:t>
            </w:r>
          </w:p>
        </w:tc>
        <w:tc>
          <w:tcPr>
            <w:tcW w:w="5670" w:type="dxa"/>
            <w:vAlign w:val="center"/>
          </w:tcPr>
          <w:p w14:paraId="7E39CBCA">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1.法律法规标准</w:t>
            </w:r>
          </w:p>
          <w:p w14:paraId="5D1EFA52">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4AA0095D">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2.电气和仪表</w:t>
            </w:r>
          </w:p>
          <w:p w14:paraId="39320A43">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危险区域划分、电气设备、仪表控制系统等。</w:t>
            </w:r>
          </w:p>
        </w:tc>
        <w:tc>
          <w:tcPr>
            <w:tcW w:w="851" w:type="dxa"/>
            <w:vMerge w:val="continue"/>
            <w:vAlign w:val="center"/>
          </w:tcPr>
          <w:p w14:paraId="1EBA9B01">
            <w:pPr>
              <w:pStyle w:val="110"/>
              <w:widowControl w:val="0"/>
              <w:rPr>
                <w:rFonts w:hAnsi="宋体"/>
              </w:rPr>
            </w:pPr>
          </w:p>
        </w:tc>
        <w:tc>
          <w:tcPr>
            <w:tcW w:w="980" w:type="dxa"/>
            <w:vMerge w:val="continue"/>
            <w:vAlign w:val="center"/>
          </w:tcPr>
          <w:p w14:paraId="01C53ACC">
            <w:pPr>
              <w:pStyle w:val="110"/>
              <w:widowControl w:val="0"/>
              <w:rPr>
                <w:rFonts w:hAnsi="宋体"/>
              </w:rPr>
            </w:pPr>
          </w:p>
        </w:tc>
      </w:tr>
      <w:tr w14:paraId="74C482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41" w:type="dxa"/>
            <w:vMerge w:val="continue"/>
            <w:vAlign w:val="center"/>
          </w:tcPr>
          <w:p w14:paraId="427B361F">
            <w:pPr>
              <w:pStyle w:val="110"/>
              <w:widowControl w:val="0"/>
              <w:adjustRightInd w:val="0"/>
              <w:snapToGrid w:val="0"/>
              <w:rPr>
                <w:rFonts w:hAnsi="宋体"/>
                <w:szCs w:val="18"/>
              </w:rPr>
            </w:pPr>
          </w:p>
        </w:tc>
        <w:tc>
          <w:tcPr>
            <w:tcW w:w="992" w:type="dxa"/>
            <w:vAlign w:val="center"/>
          </w:tcPr>
          <w:p w14:paraId="0D6F8256">
            <w:pPr>
              <w:pStyle w:val="110"/>
              <w:widowControl w:val="0"/>
              <w:adjustRightInd w:val="0"/>
              <w:snapToGrid w:val="0"/>
              <w:rPr>
                <w:rFonts w:hAnsi="宋体"/>
                <w:szCs w:val="18"/>
              </w:rPr>
            </w:pPr>
            <w:r>
              <w:rPr>
                <w:rFonts w:hint="eastAsia" w:hAnsi="宋体"/>
                <w:szCs w:val="18"/>
              </w:rPr>
              <w:t>安全</w:t>
            </w:r>
          </w:p>
        </w:tc>
        <w:tc>
          <w:tcPr>
            <w:tcW w:w="5670" w:type="dxa"/>
            <w:vAlign w:val="center"/>
          </w:tcPr>
          <w:p w14:paraId="1FE81852">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1.法律法规标准</w:t>
            </w:r>
          </w:p>
          <w:p w14:paraId="64624CE9">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7DCCEDF8">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2.安全</w:t>
            </w:r>
          </w:p>
          <w:p w14:paraId="002A86A6">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安全仪表、逃救生、火灾与可燃气体探测报警、消防、通信等。</w:t>
            </w:r>
          </w:p>
        </w:tc>
        <w:tc>
          <w:tcPr>
            <w:tcW w:w="851" w:type="dxa"/>
            <w:vMerge w:val="continue"/>
            <w:vAlign w:val="center"/>
          </w:tcPr>
          <w:p w14:paraId="09AFBC36">
            <w:pPr>
              <w:pStyle w:val="110"/>
              <w:widowControl w:val="0"/>
              <w:rPr>
                <w:rFonts w:hAnsi="宋体"/>
              </w:rPr>
            </w:pPr>
          </w:p>
        </w:tc>
        <w:tc>
          <w:tcPr>
            <w:tcW w:w="980" w:type="dxa"/>
            <w:vMerge w:val="continue"/>
            <w:vAlign w:val="center"/>
          </w:tcPr>
          <w:p w14:paraId="14BBD2C5">
            <w:pPr>
              <w:pStyle w:val="110"/>
              <w:widowControl w:val="0"/>
              <w:rPr>
                <w:rFonts w:hAnsi="宋体"/>
              </w:rPr>
            </w:pPr>
          </w:p>
        </w:tc>
      </w:tr>
    </w:tbl>
    <w:p w14:paraId="5BFE19FF">
      <w:pPr>
        <w:pStyle w:val="43"/>
        <w:ind w:firstLine="420"/>
        <w:rPr>
          <w:rFonts w:hAnsi="宋体"/>
        </w:rPr>
      </w:pPr>
    </w:p>
    <w:p w14:paraId="2D779173">
      <w:pPr>
        <w:rPr>
          <w:rFonts w:ascii="宋体" w:hAnsi="宋体"/>
        </w:rPr>
      </w:pPr>
      <w:r>
        <w:rPr>
          <w:rFonts w:hint="eastAsia" w:ascii="宋体" w:hAnsi="宋体"/>
        </w:rPr>
        <w:br w:type="page"/>
      </w:r>
    </w:p>
    <w:bookmarkEnd w:id="131"/>
    <w:p w14:paraId="15516089">
      <w:pPr>
        <w:pStyle w:val="108"/>
        <w:numPr>
          <w:ilvl w:val="1"/>
          <w:numId w:val="0"/>
        </w:numPr>
        <w:spacing w:before="156" w:after="156"/>
        <w:rPr>
          <w:rFonts w:ascii="宋体" w:hAnsi="宋体"/>
        </w:rPr>
      </w:pPr>
      <w:r>
        <w:rPr>
          <w:rFonts w:hint="eastAsia" w:ascii="宋体" w:hAnsi="宋体"/>
        </w:rPr>
        <w:t>表E.2现场检验人员培训要求</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936"/>
        <w:gridCol w:w="6316"/>
        <w:gridCol w:w="679"/>
        <w:gridCol w:w="934"/>
      </w:tblGrid>
      <w:tr w14:paraId="3488C4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983" w:type="dxa"/>
            <w:tcBorders>
              <w:top w:val="single" w:color="auto" w:sz="8" w:space="0"/>
              <w:bottom w:val="single" w:color="auto" w:sz="8" w:space="0"/>
            </w:tcBorders>
            <w:vAlign w:val="center"/>
          </w:tcPr>
          <w:p w14:paraId="6D6A1FD8">
            <w:pPr>
              <w:pStyle w:val="110"/>
              <w:widowControl w:val="0"/>
              <w:rPr>
                <w:rFonts w:hAnsi="宋体"/>
              </w:rPr>
            </w:pPr>
            <w:r>
              <w:rPr>
                <w:rFonts w:hint="eastAsia" w:hAnsi="宋体"/>
                <w:spacing w:val="-7"/>
                <w:szCs w:val="18"/>
              </w:rPr>
              <w:t>专业方向</w:t>
            </w:r>
          </w:p>
        </w:tc>
        <w:tc>
          <w:tcPr>
            <w:tcW w:w="6662" w:type="dxa"/>
            <w:tcBorders>
              <w:top w:val="single" w:color="auto" w:sz="8" w:space="0"/>
              <w:bottom w:val="single" w:color="auto" w:sz="8" w:space="0"/>
            </w:tcBorders>
            <w:vAlign w:val="center"/>
          </w:tcPr>
          <w:p w14:paraId="4408D431">
            <w:pPr>
              <w:pStyle w:val="110"/>
              <w:widowControl w:val="0"/>
              <w:rPr>
                <w:rFonts w:hAnsi="宋体"/>
              </w:rPr>
            </w:pPr>
            <w:r>
              <w:rPr>
                <w:rFonts w:hint="eastAsia" w:hAnsi="宋体"/>
                <w:spacing w:val="-7"/>
                <w:szCs w:val="18"/>
              </w:rPr>
              <w:t>现场检验培训内容</w:t>
            </w:r>
          </w:p>
        </w:tc>
        <w:tc>
          <w:tcPr>
            <w:tcW w:w="709" w:type="dxa"/>
            <w:tcBorders>
              <w:top w:val="single" w:color="auto" w:sz="8" w:space="0"/>
              <w:bottom w:val="single" w:color="auto" w:sz="8" w:space="0"/>
            </w:tcBorders>
            <w:vAlign w:val="center"/>
          </w:tcPr>
          <w:p w14:paraId="4F411D55">
            <w:pPr>
              <w:pStyle w:val="110"/>
              <w:widowControl w:val="0"/>
              <w:rPr>
                <w:rFonts w:hAnsi="宋体"/>
              </w:rPr>
            </w:pPr>
            <w:r>
              <w:rPr>
                <w:rFonts w:hint="eastAsia" w:hAnsi="宋体"/>
                <w:spacing w:val="-7"/>
                <w:szCs w:val="18"/>
              </w:rPr>
              <w:t>培训学时</w:t>
            </w:r>
          </w:p>
        </w:tc>
        <w:tc>
          <w:tcPr>
            <w:tcW w:w="980" w:type="dxa"/>
            <w:tcBorders>
              <w:top w:val="single" w:color="auto" w:sz="8" w:space="0"/>
              <w:bottom w:val="single" w:color="auto" w:sz="8" w:space="0"/>
            </w:tcBorders>
            <w:vAlign w:val="center"/>
          </w:tcPr>
          <w:p w14:paraId="563A2741">
            <w:pPr>
              <w:pStyle w:val="110"/>
              <w:widowControl w:val="0"/>
              <w:rPr>
                <w:rFonts w:hAnsi="宋体"/>
              </w:rPr>
            </w:pPr>
            <w:r>
              <w:rPr>
                <w:rFonts w:hint="eastAsia" w:hAnsi="宋体"/>
                <w:spacing w:val="-7"/>
                <w:szCs w:val="18"/>
              </w:rPr>
              <w:t>考核方式</w:t>
            </w:r>
          </w:p>
        </w:tc>
      </w:tr>
      <w:tr w14:paraId="790AB0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83" w:type="dxa"/>
            <w:tcBorders>
              <w:top w:val="single" w:color="auto" w:sz="8" w:space="0"/>
            </w:tcBorders>
            <w:vAlign w:val="center"/>
          </w:tcPr>
          <w:p w14:paraId="04E931AA">
            <w:pPr>
              <w:pStyle w:val="110"/>
              <w:widowControl w:val="0"/>
              <w:adjustRightInd w:val="0"/>
              <w:snapToGrid w:val="0"/>
              <w:rPr>
                <w:rFonts w:hAnsi="宋体"/>
                <w:szCs w:val="18"/>
              </w:rPr>
            </w:pPr>
            <w:r>
              <w:rPr>
                <w:rFonts w:hint="eastAsia" w:hAnsi="宋体"/>
                <w:szCs w:val="18"/>
              </w:rPr>
              <w:t>结构与防腐</w:t>
            </w:r>
          </w:p>
        </w:tc>
        <w:tc>
          <w:tcPr>
            <w:tcW w:w="6662" w:type="dxa"/>
            <w:tcBorders>
              <w:top w:val="single" w:color="auto" w:sz="8" w:space="0"/>
            </w:tcBorders>
            <w:vAlign w:val="center"/>
          </w:tcPr>
          <w:p w14:paraId="31676E51">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1.检验原则要求</w:t>
            </w:r>
          </w:p>
          <w:p w14:paraId="46712654">
            <w:pPr>
              <w:pStyle w:val="99"/>
              <w:widowControl/>
              <w:autoSpaceDE w:val="0"/>
              <w:autoSpaceDN w:val="0"/>
              <w:adjustRightInd w:val="0"/>
              <w:snapToGrid w:val="0"/>
              <w:ind w:right="102" w:firstLine="360"/>
              <w:jc w:val="left"/>
              <w:textAlignment w:val="baseline"/>
              <w:rPr>
                <w:rFonts w:cs="Times New Roman"/>
                <w:sz w:val="18"/>
                <w:szCs w:val="18"/>
              </w:rPr>
            </w:pPr>
            <w:r>
              <w:rPr>
                <w:rFonts w:hint="eastAsia" w:cs="Times New Roman"/>
                <w:sz w:val="18"/>
                <w:szCs w:val="18"/>
              </w:rPr>
              <w:t>法律法规、标准、规范、程序、证书、报告和记录填写要求等内容。</w:t>
            </w:r>
          </w:p>
          <w:p w14:paraId="71E26527">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2.结构和防腐检验</w:t>
            </w:r>
          </w:p>
          <w:p w14:paraId="314B2EF8">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资料文件审查、材料验收、装配、焊接、无损检测、油漆、牺牲阳极等防腐检验、防火分隔和舾装检验等内容。</w:t>
            </w:r>
          </w:p>
          <w:p w14:paraId="58D646FC">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3.土建/水工检验</w:t>
            </w:r>
          </w:p>
          <w:p w14:paraId="660D822A">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资料文件审查、材料验收及材料追踪、地基与桩基工程的检验、设备基础及构筑物的检验、钢筋、模板工程的检验、混凝土工程的检验、尺寸、位置和标高的复核、填充墙及内外抹灰粉刷的检验、防腐工程的检验、防水和漏水试验、防火间距的确认等。</w:t>
            </w:r>
          </w:p>
        </w:tc>
        <w:tc>
          <w:tcPr>
            <w:tcW w:w="709" w:type="dxa"/>
            <w:tcBorders>
              <w:top w:val="single" w:color="auto" w:sz="8" w:space="0"/>
            </w:tcBorders>
            <w:vAlign w:val="center"/>
          </w:tcPr>
          <w:p w14:paraId="6F5199DA">
            <w:pPr>
              <w:pStyle w:val="110"/>
              <w:widowControl w:val="0"/>
              <w:rPr>
                <w:rFonts w:hAnsi="宋体"/>
              </w:rPr>
            </w:pPr>
            <w:r>
              <w:rPr>
                <w:rFonts w:hint="eastAsia" w:hAnsi="宋体"/>
                <w:szCs w:val="18"/>
              </w:rPr>
              <w:t>32学时</w:t>
            </w:r>
          </w:p>
        </w:tc>
        <w:tc>
          <w:tcPr>
            <w:tcW w:w="980" w:type="dxa"/>
            <w:tcBorders>
              <w:top w:val="single" w:color="auto" w:sz="8" w:space="0"/>
            </w:tcBorders>
            <w:vAlign w:val="center"/>
          </w:tcPr>
          <w:p w14:paraId="3DB83D08">
            <w:pPr>
              <w:pStyle w:val="110"/>
              <w:widowControl w:val="0"/>
              <w:adjustRightInd w:val="0"/>
              <w:snapToGrid w:val="0"/>
              <w:rPr>
                <w:rFonts w:hAnsi="宋体"/>
              </w:rPr>
            </w:pPr>
            <w:r>
              <w:rPr>
                <w:rFonts w:hint="eastAsia" w:hAnsi="宋体"/>
                <w:szCs w:val="18"/>
              </w:rPr>
              <w:t>理论考试</w:t>
            </w:r>
          </w:p>
        </w:tc>
      </w:tr>
      <w:tr w14:paraId="3C9501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83" w:type="dxa"/>
            <w:vAlign w:val="center"/>
          </w:tcPr>
          <w:p w14:paraId="3AB6764B">
            <w:pPr>
              <w:pStyle w:val="110"/>
              <w:widowControl w:val="0"/>
              <w:adjustRightInd w:val="0"/>
              <w:snapToGrid w:val="0"/>
              <w:rPr>
                <w:rFonts w:hAnsi="宋体"/>
                <w:szCs w:val="18"/>
              </w:rPr>
            </w:pPr>
            <w:r>
              <w:rPr>
                <w:rFonts w:hint="eastAsia" w:hAnsi="宋体"/>
                <w:szCs w:val="18"/>
              </w:rPr>
              <w:t>机械与工艺</w:t>
            </w:r>
          </w:p>
        </w:tc>
        <w:tc>
          <w:tcPr>
            <w:tcW w:w="6662" w:type="dxa"/>
          </w:tcPr>
          <w:p w14:paraId="6D94A8A6">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1.检验原则要求</w:t>
            </w:r>
          </w:p>
          <w:p w14:paraId="2D27A18D">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法律法规、标准、规范、程序、证书、报告和记录填写要求等内容。</w:t>
            </w:r>
          </w:p>
          <w:p w14:paraId="240D7DD5">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2.机械和设备检验</w:t>
            </w:r>
          </w:p>
          <w:p w14:paraId="2009CF1F">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资料文件审查、材料验收、焊接检验、管线装配、焊接、无损检测、试压，设备验收、安装检验、调试检验等。</w:t>
            </w:r>
          </w:p>
          <w:p w14:paraId="4DE2BBB8">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3.工艺</w:t>
            </w:r>
          </w:p>
          <w:p w14:paraId="518E9344">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油气生产系统、油气集输系统、油气处理系统、生产水处理系统、公用系统等。</w:t>
            </w:r>
          </w:p>
        </w:tc>
        <w:tc>
          <w:tcPr>
            <w:tcW w:w="709" w:type="dxa"/>
            <w:vAlign w:val="center"/>
          </w:tcPr>
          <w:p w14:paraId="1EB50FC0">
            <w:pPr>
              <w:pStyle w:val="110"/>
              <w:widowControl w:val="0"/>
              <w:rPr>
                <w:rFonts w:hAnsi="宋体"/>
              </w:rPr>
            </w:pPr>
            <w:r>
              <w:rPr>
                <w:rFonts w:hint="eastAsia" w:hAnsi="宋体"/>
                <w:szCs w:val="18"/>
              </w:rPr>
              <w:t>32学时</w:t>
            </w:r>
          </w:p>
        </w:tc>
        <w:tc>
          <w:tcPr>
            <w:tcW w:w="980" w:type="dxa"/>
            <w:vAlign w:val="center"/>
          </w:tcPr>
          <w:p w14:paraId="17B410F9">
            <w:pPr>
              <w:pStyle w:val="110"/>
              <w:widowControl w:val="0"/>
              <w:adjustRightInd w:val="0"/>
              <w:snapToGrid w:val="0"/>
              <w:rPr>
                <w:rFonts w:hAnsi="宋体"/>
                <w:szCs w:val="18"/>
              </w:rPr>
            </w:pPr>
            <w:r>
              <w:rPr>
                <w:rFonts w:hint="eastAsia" w:hAnsi="宋体"/>
                <w:szCs w:val="18"/>
              </w:rPr>
              <w:t>理论考试</w:t>
            </w:r>
          </w:p>
        </w:tc>
      </w:tr>
      <w:tr w14:paraId="5ED15B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83" w:type="dxa"/>
            <w:vAlign w:val="center"/>
          </w:tcPr>
          <w:p w14:paraId="610816EA">
            <w:pPr>
              <w:pStyle w:val="110"/>
              <w:widowControl w:val="0"/>
              <w:adjustRightInd w:val="0"/>
              <w:snapToGrid w:val="0"/>
              <w:rPr>
                <w:rFonts w:hAnsi="宋体"/>
                <w:szCs w:val="18"/>
              </w:rPr>
            </w:pPr>
            <w:r>
              <w:rPr>
                <w:rFonts w:hint="eastAsia" w:hAnsi="宋体"/>
                <w:szCs w:val="18"/>
              </w:rPr>
              <w:t>电气与仪表</w:t>
            </w:r>
          </w:p>
        </w:tc>
        <w:tc>
          <w:tcPr>
            <w:tcW w:w="6662" w:type="dxa"/>
            <w:vAlign w:val="center"/>
          </w:tcPr>
          <w:p w14:paraId="07A65304">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1.检验原则要求</w:t>
            </w:r>
          </w:p>
          <w:p w14:paraId="3F9B15C6">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法律法规、标准、规范、程序、证书、报告和记录填写要求等内容。</w:t>
            </w:r>
          </w:p>
          <w:p w14:paraId="16807668">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2.电气和仪表检验</w:t>
            </w:r>
          </w:p>
          <w:p w14:paraId="235386A2">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资料文件审查、电气/仪表/通信设备安装调试检验、危险区域划分、防爆电气、照明、接地、井口控制系统的检验等内容。</w:t>
            </w:r>
          </w:p>
        </w:tc>
        <w:tc>
          <w:tcPr>
            <w:tcW w:w="709" w:type="dxa"/>
            <w:vAlign w:val="center"/>
          </w:tcPr>
          <w:p w14:paraId="46D31482">
            <w:pPr>
              <w:pStyle w:val="110"/>
              <w:widowControl w:val="0"/>
              <w:rPr>
                <w:rFonts w:hAnsi="宋体"/>
              </w:rPr>
            </w:pPr>
            <w:r>
              <w:rPr>
                <w:rFonts w:hint="eastAsia" w:hAnsi="宋体"/>
                <w:szCs w:val="18"/>
              </w:rPr>
              <w:t>32学时</w:t>
            </w:r>
          </w:p>
        </w:tc>
        <w:tc>
          <w:tcPr>
            <w:tcW w:w="980" w:type="dxa"/>
            <w:vAlign w:val="center"/>
          </w:tcPr>
          <w:p w14:paraId="0058262C">
            <w:pPr>
              <w:pStyle w:val="110"/>
              <w:widowControl w:val="0"/>
              <w:adjustRightInd w:val="0"/>
              <w:snapToGrid w:val="0"/>
              <w:rPr>
                <w:rFonts w:hAnsi="宋体"/>
                <w:szCs w:val="18"/>
              </w:rPr>
            </w:pPr>
            <w:r>
              <w:rPr>
                <w:rFonts w:hint="eastAsia" w:hAnsi="宋体"/>
                <w:szCs w:val="18"/>
              </w:rPr>
              <w:t>理论考试</w:t>
            </w:r>
          </w:p>
        </w:tc>
      </w:tr>
    </w:tbl>
    <w:p w14:paraId="374EBB7F">
      <w:pPr>
        <w:pStyle w:val="108"/>
        <w:numPr>
          <w:ilvl w:val="1"/>
          <w:numId w:val="0"/>
        </w:numPr>
        <w:spacing w:before="156" w:after="156"/>
        <w:rPr>
          <w:rFonts w:ascii="宋体" w:hAnsi="宋体"/>
        </w:rPr>
      </w:pPr>
      <w:bookmarkStart w:id="132" w:name="_Hlk214695727"/>
      <w:r>
        <w:rPr>
          <w:rFonts w:hint="eastAsia" w:ascii="宋体" w:hAnsi="宋体"/>
        </w:rPr>
        <w:t>表E.3设计审查人员培训要求</w:t>
      </w:r>
      <w:bookmarkEnd w:id="132"/>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936"/>
        <w:gridCol w:w="6316"/>
        <w:gridCol w:w="679"/>
        <w:gridCol w:w="934"/>
      </w:tblGrid>
      <w:tr w14:paraId="56F078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983" w:type="dxa"/>
            <w:tcBorders>
              <w:top w:val="single" w:color="auto" w:sz="8" w:space="0"/>
              <w:bottom w:val="single" w:color="auto" w:sz="8" w:space="0"/>
            </w:tcBorders>
            <w:vAlign w:val="center"/>
          </w:tcPr>
          <w:p w14:paraId="24A6B763">
            <w:pPr>
              <w:pStyle w:val="110"/>
              <w:widowControl w:val="0"/>
              <w:rPr>
                <w:rFonts w:hAnsi="宋体"/>
                <w:szCs w:val="18"/>
              </w:rPr>
            </w:pPr>
            <w:r>
              <w:rPr>
                <w:rFonts w:hint="eastAsia" w:hAnsi="宋体"/>
                <w:spacing w:val="-7"/>
                <w:szCs w:val="18"/>
              </w:rPr>
              <w:t>专业方向</w:t>
            </w:r>
          </w:p>
        </w:tc>
        <w:tc>
          <w:tcPr>
            <w:tcW w:w="6662" w:type="dxa"/>
            <w:tcBorders>
              <w:top w:val="single" w:color="auto" w:sz="8" w:space="0"/>
              <w:bottom w:val="single" w:color="auto" w:sz="8" w:space="0"/>
            </w:tcBorders>
            <w:vAlign w:val="center"/>
          </w:tcPr>
          <w:p w14:paraId="38042E8C">
            <w:pPr>
              <w:pStyle w:val="99"/>
              <w:widowControl/>
              <w:kinsoku w:val="0"/>
              <w:autoSpaceDE w:val="0"/>
              <w:autoSpaceDN w:val="0"/>
              <w:adjustRightInd w:val="0"/>
              <w:snapToGrid w:val="0"/>
              <w:ind w:right="102" w:firstLine="0" w:firstLineChars="0"/>
              <w:jc w:val="center"/>
              <w:textAlignment w:val="baseline"/>
              <w:rPr>
                <w:sz w:val="18"/>
                <w:szCs w:val="18"/>
              </w:rPr>
            </w:pPr>
            <w:r>
              <w:rPr>
                <w:rFonts w:hint="eastAsia"/>
                <w:spacing w:val="-7"/>
                <w:sz w:val="18"/>
                <w:szCs w:val="18"/>
              </w:rPr>
              <w:t>设计审查培训内容</w:t>
            </w:r>
          </w:p>
        </w:tc>
        <w:tc>
          <w:tcPr>
            <w:tcW w:w="709" w:type="dxa"/>
            <w:tcBorders>
              <w:top w:val="single" w:color="auto" w:sz="8" w:space="0"/>
              <w:bottom w:val="single" w:color="auto" w:sz="8" w:space="0"/>
            </w:tcBorders>
            <w:vAlign w:val="center"/>
          </w:tcPr>
          <w:p w14:paraId="22BE0AA1">
            <w:pPr>
              <w:pStyle w:val="110"/>
              <w:widowControl w:val="0"/>
              <w:rPr>
                <w:rFonts w:hAnsi="宋体"/>
                <w:szCs w:val="18"/>
              </w:rPr>
            </w:pPr>
            <w:r>
              <w:rPr>
                <w:rFonts w:hint="eastAsia" w:hAnsi="宋体"/>
                <w:spacing w:val="-7"/>
                <w:szCs w:val="18"/>
              </w:rPr>
              <w:t>培训学时</w:t>
            </w:r>
          </w:p>
        </w:tc>
        <w:tc>
          <w:tcPr>
            <w:tcW w:w="980" w:type="dxa"/>
            <w:tcBorders>
              <w:top w:val="single" w:color="auto" w:sz="8" w:space="0"/>
              <w:bottom w:val="single" w:color="auto" w:sz="8" w:space="0"/>
            </w:tcBorders>
            <w:vAlign w:val="center"/>
          </w:tcPr>
          <w:p w14:paraId="3BE88E55">
            <w:pPr>
              <w:pStyle w:val="110"/>
              <w:widowControl w:val="0"/>
              <w:adjustRightInd w:val="0"/>
              <w:snapToGrid w:val="0"/>
              <w:rPr>
                <w:rFonts w:hAnsi="宋体"/>
                <w:szCs w:val="18"/>
              </w:rPr>
            </w:pPr>
            <w:r>
              <w:rPr>
                <w:rFonts w:hint="eastAsia" w:hAnsi="宋体"/>
                <w:spacing w:val="-7"/>
                <w:szCs w:val="18"/>
              </w:rPr>
              <w:t>考核方式</w:t>
            </w:r>
          </w:p>
        </w:tc>
      </w:tr>
      <w:tr w14:paraId="2D3329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83" w:type="dxa"/>
            <w:tcBorders>
              <w:top w:val="single" w:color="auto" w:sz="8" w:space="0"/>
            </w:tcBorders>
            <w:vAlign w:val="center"/>
          </w:tcPr>
          <w:p w14:paraId="52330FE5">
            <w:pPr>
              <w:pStyle w:val="110"/>
              <w:widowControl w:val="0"/>
              <w:adjustRightInd w:val="0"/>
              <w:snapToGrid w:val="0"/>
              <w:rPr>
                <w:rFonts w:hAnsi="宋体"/>
                <w:szCs w:val="18"/>
              </w:rPr>
            </w:pPr>
            <w:r>
              <w:rPr>
                <w:rFonts w:hint="eastAsia" w:hAnsi="宋体"/>
                <w:szCs w:val="18"/>
              </w:rPr>
              <w:t>结构与防腐</w:t>
            </w:r>
          </w:p>
        </w:tc>
        <w:tc>
          <w:tcPr>
            <w:tcW w:w="6662" w:type="dxa"/>
            <w:tcBorders>
              <w:top w:val="single" w:color="auto" w:sz="8" w:space="0"/>
            </w:tcBorders>
            <w:vAlign w:val="center"/>
          </w:tcPr>
          <w:p w14:paraId="00BD5C3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1.法律法规标准</w:t>
            </w:r>
          </w:p>
          <w:p w14:paraId="0AE6BE35">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3F31E6E8">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2.结构和防腐</w:t>
            </w:r>
          </w:p>
          <w:p w14:paraId="593C420C">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总体布置、设施结构强度、浮体、舾装、平台防腐、海上安装、直升机甲板及设施、耐火分隔及消防设备等。</w:t>
            </w:r>
          </w:p>
          <w:p w14:paraId="52DF0BA7">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3.土建</w:t>
            </w:r>
          </w:p>
          <w:p w14:paraId="4AE52413">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建筑结构荷载、砌体结构设计、混凝土结构设计、建筑地基基础设计、建筑抗震设计等。</w:t>
            </w:r>
          </w:p>
        </w:tc>
        <w:tc>
          <w:tcPr>
            <w:tcW w:w="709" w:type="dxa"/>
            <w:tcBorders>
              <w:top w:val="single" w:color="auto" w:sz="8" w:space="0"/>
            </w:tcBorders>
            <w:vAlign w:val="center"/>
          </w:tcPr>
          <w:p w14:paraId="3F628462">
            <w:pPr>
              <w:pStyle w:val="110"/>
              <w:widowControl w:val="0"/>
              <w:rPr>
                <w:rFonts w:hAnsi="宋体"/>
              </w:rPr>
            </w:pPr>
            <w:r>
              <w:rPr>
                <w:rFonts w:hint="eastAsia" w:hAnsi="宋体"/>
                <w:szCs w:val="18"/>
              </w:rPr>
              <w:t>32学时</w:t>
            </w:r>
          </w:p>
        </w:tc>
        <w:tc>
          <w:tcPr>
            <w:tcW w:w="980" w:type="dxa"/>
            <w:tcBorders>
              <w:top w:val="single" w:color="auto" w:sz="8" w:space="0"/>
            </w:tcBorders>
            <w:vAlign w:val="center"/>
          </w:tcPr>
          <w:p w14:paraId="271B7434">
            <w:pPr>
              <w:pStyle w:val="110"/>
              <w:widowControl w:val="0"/>
              <w:adjustRightInd w:val="0"/>
              <w:snapToGrid w:val="0"/>
              <w:rPr>
                <w:rFonts w:hAnsi="宋体"/>
                <w:szCs w:val="18"/>
              </w:rPr>
            </w:pPr>
            <w:r>
              <w:rPr>
                <w:rFonts w:hint="eastAsia" w:hAnsi="宋体"/>
                <w:szCs w:val="18"/>
              </w:rPr>
              <w:t>理论考试</w:t>
            </w:r>
          </w:p>
        </w:tc>
      </w:tr>
      <w:tr w14:paraId="418DF5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83" w:type="dxa"/>
            <w:vAlign w:val="center"/>
          </w:tcPr>
          <w:p w14:paraId="7BDA8C7C">
            <w:pPr>
              <w:pStyle w:val="110"/>
              <w:widowControl w:val="0"/>
              <w:adjustRightInd w:val="0"/>
              <w:snapToGrid w:val="0"/>
              <w:rPr>
                <w:rFonts w:hAnsi="宋体"/>
                <w:szCs w:val="18"/>
              </w:rPr>
            </w:pPr>
            <w:r>
              <w:rPr>
                <w:rFonts w:hint="eastAsia" w:hAnsi="宋体"/>
                <w:szCs w:val="18"/>
              </w:rPr>
              <w:t>机械与工艺</w:t>
            </w:r>
          </w:p>
        </w:tc>
        <w:tc>
          <w:tcPr>
            <w:tcW w:w="6662" w:type="dxa"/>
          </w:tcPr>
          <w:p w14:paraId="05A69A93">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1.法律法规标准</w:t>
            </w:r>
          </w:p>
          <w:p w14:paraId="71865F6F">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1C2F99B8">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2.机械和设备</w:t>
            </w:r>
          </w:p>
          <w:p w14:paraId="0C7EB4C7">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机械设备及管系，如井口及采油树、泵和压缩机、压力容器、管汇、起重设备、钻井设备、消防设备、救生设备、通风设备等。</w:t>
            </w:r>
          </w:p>
          <w:p w14:paraId="00E5957A">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3.工艺</w:t>
            </w:r>
          </w:p>
          <w:p w14:paraId="187249AA">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油气生产系统、油气集输系统、油气处理系统、生产水处理系统、公用系统等。</w:t>
            </w:r>
          </w:p>
        </w:tc>
        <w:tc>
          <w:tcPr>
            <w:tcW w:w="709" w:type="dxa"/>
            <w:vAlign w:val="center"/>
          </w:tcPr>
          <w:p w14:paraId="1828B7C0">
            <w:pPr>
              <w:pStyle w:val="110"/>
              <w:widowControl w:val="0"/>
              <w:rPr>
                <w:rFonts w:hAnsi="宋体"/>
                <w:szCs w:val="18"/>
              </w:rPr>
            </w:pPr>
            <w:r>
              <w:rPr>
                <w:rFonts w:hint="eastAsia" w:hAnsi="宋体"/>
                <w:szCs w:val="18"/>
              </w:rPr>
              <w:t>32学时</w:t>
            </w:r>
          </w:p>
        </w:tc>
        <w:tc>
          <w:tcPr>
            <w:tcW w:w="980" w:type="dxa"/>
            <w:vAlign w:val="center"/>
          </w:tcPr>
          <w:p w14:paraId="477F1269">
            <w:pPr>
              <w:pStyle w:val="110"/>
              <w:widowControl w:val="0"/>
              <w:adjustRightInd w:val="0"/>
              <w:snapToGrid w:val="0"/>
              <w:rPr>
                <w:rFonts w:hAnsi="宋体"/>
                <w:szCs w:val="18"/>
              </w:rPr>
            </w:pPr>
            <w:r>
              <w:rPr>
                <w:rFonts w:hint="eastAsia" w:hAnsi="宋体"/>
                <w:szCs w:val="18"/>
              </w:rPr>
              <w:t>理论考试</w:t>
            </w:r>
          </w:p>
        </w:tc>
      </w:tr>
      <w:tr w14:paraId="343207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983" w:type="dxa"/>
            <w:vAlign w:val="center"/>
          </w:tcPr>
          <w:p w14:paraId="4AB40C2F">
            <w:pPr>
              <w:pStyle w:val="110"/>
              <w:widowControl w:val="0"/>
              <w:adjustRightInd w:val="0"/>
              <w:snapToGrid w:val="0"/>
              <w:rPr>
                <w:rFonts w:hAnsi="宋体"/>
                <w:szCs w:val="18"/>
              </w:rPr>
            </w:pPr>
            <w:r>
              <w:rPr>
                <w:rFonts w:hint="eastAsia" w:hAnsi="宋体"/>
                <w:szCs w:val="18"/>
              </w:rPr>
              <w:t>电气与仪表</w:t>
            </w:r>
          </w:p>
        </w:tc>
        <w:tc>
          <w:tcPr>
            <w:tcW w:w="6662" w:type="dxa"/>
            <w:vAlign w:val="center"/>
          </w:tcPr>
          <w:p w14:paraId="48CE45F1">
            <w:pPr>
              <w:pStyle w:val="99"/>
              <w:widowControl/>
              <w:autoSpaceDE w:val="0"/>
              <w:autoSpaceDN w:val="0"/>
              <w:adjustRightInd w:val="0"/>
              <w:snapToGrid w:val="0"/>
              <w:ind w:left="42" w:leftChars="20" w:right="102" w:firstLine="0" w:firstLineChars="0"/>
              <w:jc w:val="left"/>
              <w:textAlignment w:val="baseline"/>
              <w:rPr>
                <w:rFonts w:cs="Times New Roman"/>
                <w:sz w:val="18"/>
                <w:szCs w:val="18"/>
              </w:rPr>
            </w:pPr>
            <w:r>
              <w:rPr>
                <w:rFonts w:hint="eastAsia" w:cs="Times New Roman"/>
                <w:sz w:val="18"/>
                <w:szCs w:val="18"/>
              </w:rPr>
              <w:t>1.法律法规标准</w:t>
            </w:r>
          </w:p>
          <w:p w14:paraId="7670DDC5">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法律法规、标准、规范等。</w:t>
            </w:r>
          </w:p>
          <w:p w14:paraId="3F24C22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2.电气、仪表和通信</w:t>
            </w:r>
          </w:p>
          <w:p w14:paraId="252E46E6">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危险区域划分、电气设备、仪表控制系统、安全仪表、通信设备、火灾与可燃气体探测报警等。</w:t>
            </w:r>
          </w:p>
        </w:tc>
        <w:tc>
          <w:tcPr>
            <w:tcW w:w="709" w:type="dxa"/>
            <w:vAlign w:val="center"/>
          </w:tcPr>
          <w:p w14:paraId="799E9C83">
            <w:pPr>
              <w:pStyle w:val="110"/>
              <w:widowControl w:val="0"/>
              <w:rPr>
                <w:rFonts w:hAnsi="宋体"/>
              </w:rPr>
            </w:pPr>
            <w:r>
              <w:rPr>
                <w:rFonts w:hint="eastAsia" w:hAnsi="宋体"/>
                <w:szCs w:val="18"/>
              </w:rPr>
              <w:t>32学时</w:t>
            </w:r>
          </w:p>
        </w:tc>
        <w:tc>
          <w:tcPr>
            <w:tcW w:w="980" w:type="dxa"/>
            <w:vAlign w:val="center"/>
          </w:tcPr>
          <w:p w14:paraId="17A9720B">
            <w:pPr>
              <w:pStyle w:val="110"/>
              <w:widowControl w:val="0"/>
              <w:adjustRightInd w:val="0"/>
              <w:snapToGrid w:val="0"/>
              <w:rPr>
                <w:rFonts w:hAnsi="宋体"/>
                <w:szCs w:val="18"/>
              </w:rPr>
            </w:pPr>
            <w:r>
              <w:rPr>
                <w:rFonts w:hint="eastAsia" w:hAnsi="宋体"/>
                <w:szCs w:val="18"/>
              </w:rPr>
              <w:t>理论考试</w:t>
            </w:r>
          </w:p>
        </w:tc>
      </w:tr>
    </w:tbl>
    <w:p w14:paraId="54553D92">
      <w:pPr>
        <w:pStyle w:val="24"/>
        <w:ind w:firstLine="210"/>
        <w:rPr>
          <w:rFonts w:ascii="宋体" w:hAnsi="宋体"/>
        </w:rPr>
      </w:pPr>
    </w:p>
    <w:p w14:paraId="40BEB39C">
      <w:pPr>
        <w:pStyle w:val="24"/>
        <w:ind w:firstLine="210"/>
        <w:rPr>
          <w:rFonts w:ascii="宋体" w:hAnsi="宋体"/>
        </w:rPr>
      </w:pPr>
    </w:p>
    <w:p w14:paraId="14E4D423">
      <w:pPr>
        <w:pStyle w:val="24"/>
        <w:ind w:firstLine="210"/>
        <w:rPr>
          <w:rFonts w:ascii="宋体" w:hAnsi="宋体"/>
        </w:rPr>
      </w:pPr>
    </w:p>
    <w:p w14:paraId="4148A477">
      <w:pPr>
        <w:pStyle w:val="24"/>
        <w:ind w:firstLine="210"/>
        <w:rPr>
          <w:rFonts w:ascii="宋体" w:hAnsi="宋体"/>
        </w:rPr>
      </w:pPr>
    </w:p>
    <w:p w14:paraId="362B8A57">
      <w:pPr>
        <w:pStyle w:val="108"/>
        <w:numPr>
          <w:ilvl w:val="1"/>
          <w:numId w:val="0"/>
        </w:numPr>
        <w:spacing w:before="156" w:after="156"/>
        <w:rPr>
          <w:rFonts w:ascii="宋体" w:hAnsi="宋体"/>
        </w:rPr>
      </w:pPr>
      <w:r>
        <w:rPr>
          <w:rFonts w:hint="eastAsia" w:ascii="宋体" w:hAnsi="宋体"/>
        </w:rPr>
        <w:t>表E.4专业设备检验人员培训要求</w:t>
      </w:r>
    </w:p>
    <w:tbl>
      <w:tblPr>
        <w:tblStyle w:val="26"/>
        <w:tblW w:w="89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40"/>
        <w:gridCol w:w="832"/>
        <w:gridCol w:w="5361"/>
        <w:gridCol w:w="808"/>
        <w:gridCol w:w="798"/>
      </w:tblGrid>
      <w:tr w14:paraId="2E6670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140" w:type="dxa"/>
            <w:tcBorders>
              <w:top w:val="single" w:color="auto" w:sz="8" w:space="0"/>
              <w:bottom w:val="single" w:color="auto" w:sz="8" w:space="0"/>
            </w:tcBorders>
            <w:vAlign w:val="center"/>
          </w:tcPr>
          <w:p w14:paraId="735F4795">
            <w:pPr>
              <w:pStyle w:val="110"/>
              <w:widowControl w:val="0"/>
              <w:rPr>
                <w:rFonts w:hAnsi="宋体"/>
              </w:rPr>
            </w:pPr>
            <w:r>
              <w:rPr>
                <w:rFonts w:hint="eastAsia" w:hAnsi="宋体"/>
                <w:szCs w:val="18"/>
              </w:rPr>
              <w:t>大类专业设备</w:t>
            </w:r>
          </w:p>
        </w:tc>
        <w:tc>
          <w:tcPr>
            <w:tcW w:w="832" w:type="dxa"/>
            <w:tcBorders>
              <w:top w:val="single" w:color="auto" w:sz="8" w:space="0"/>
              <w:bottom w:val="single" w:color="auto" w:sz="8" w:space="0"/>
            </w:tcBorders>
            <w:vAlign w:val="center"/>
          </w:tcPr>
          <w:p w14:paraId="770FC829">
            <w:pPr>
              <w:pStyle w:val="110"/>
              <w:widowControl w:val="0"/>
              <w:rPr>
                <w:rFonts w:hAnsi="宋体"/>
              </w:rPr>
            </w:pPr>
            <w:r>
              <w:rPr>
                <w:rFonts w:hint="eastAsia" w:hAnsi="宋体"/>
                <w:szCs w:val="18"/>
              </w:rPr>
              <w:t>检验人员</w:t>
            </w:r>
          </w:p>
        </w:tc>
        <w:tc>
          <w:tcPr>
            <w:tcW w:w="5361" w:type="dxa"/>
            <w:tcBorders>
              <w:top w:val="single" w:color="auto" w:sz="8" w:space="0"/>
              <w:bottom w:val="single" w:color="auto" w:sz="8" w:space="0"/>
            </w:tcBorders>
            <w:vAlign w:val="center"/>
          </w:tcPr>
          <w:p w14:paraId="1C56614C">
            <w:pPr>
              <w:pStyle w:val="110"/>
              <w:widowControl w:val="0"/>
              <w:rPr>
                <w:rFonts w:hAnsi="宋体"/>
              </w:rPr>
            </w:pPr>
            <w:r>
              <w:rPr>
                <w:rFonts w:hint="eastAsia" w:hAnsi="宋体"/>
                <w:szCs w:val="18"/>
              </w:rPr>
              <w:t>培训内容</w:t>
            </w:r>
          </w:p>
        </w:tc>
        <w:tc>
          <w:tcPr>
            <w:tcW w:w="808" w:type="dxa"/>
            <w:tcBorders>
              <w:top w:val="single" w:color="auto" w:sz="8" w:space="0"/>
              <w:bottom w:val="single" w:color="auto" w:sz="8" w:space="0"/>
            </w:tcBorders>
            <w:vAlign w:val="center"/>
          </w:tcPr>
          <w:p w14:paraId="4415D59E">
            <w:pPr>
              <w:pStyle w:val="110"/>
              <w:widowControl w:val="0"/>
              <w:rPr>
                <w:rFonts w:hAnsi="宋体"/>
              </w:rPr>
            </w:pPr>
            <w:r>
              <w:rPr>
                <w:rFonts w:hint="eastAsia" w:hAnsi="宋体"/>
                <w:szCs w:val="18"/>
              </w:rPr>
              <w:t>培训学时</w:t>
            </w:r>
          </w:p>
        </w:tc>
        <w:tc>
          <w:tcPr>
            <w:tcW w:w="798" w:type="dxa"/>
            <w:tcBorders>
              <w:top w:val="single" w:color="auto" w:sz="8" w:space="0"/>
              <w:bottom w:val="single" w:color="auto" w:sz="8" w:space="0"/>
            </w:tcBorders>
            <w:vAlign w:val="center"/>
          </w:tcPr>
          <w:p w14:paraId="17DBFCA9">
            <w:pPr>
              <w:pStyle w:val="110"/>
              <w:widowControl w:val="0"/>
              <w:rPr>
                <w:rFonts w:hAnsi="宋体"/>
              </w:rPr>
            </w:pPr>
            <w:r>
              <w:rPr>
                <w:rFonts w:hint="eastAsia" w:hAnsi="宋体"/>
                <w:szCs w:val="18"/>
              </w:rPr>
              <w:t>考核方式</w:t>
            </w:r>
          </w:p>
        </w:tc>
      </w:tr>
      <w:tr w14:paraId="3DB160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40" w:type="dxa"/>
            <w:tcBorders>
              <w:top w:val="single" w:color="auto" w:sz="8" w:space="0"/>
            </w:tcBorders>
            <w:vAlign w:val="center"/>
          </w:tcPr>
          <w:p w14:paraId="16A0853E">
            <w:pPr>
              <w:pStyle w:val="110"/>
              <w:widowControl w:val="0"/>
              <w:adjustRightInd w:val="0"/>
              <w:snapToGrid w:val="0"/>
              <w:rPr>
                <w:rFonts w:hAnsi="宋体"/>
                <w:szCs w:val="18"/>
              </w:rPr>
            </w:pPr>
            <w:r>
              <w:rPr>
                <w:rFonts w:hint="eastAsia" w:hAnsi="宋体"/>
                <w:szCs w:val="18"/>
              </w:rPr>
              <w:t>海上结构</w:t>
            </w:r>
          </w:p>
        </w:tc>
        <w:tc>
          <w:tcPr>
            <w:tcW w:w="832" w:type="dxa"/>
            <w:tcBorders>
              <w:top w:val="single" w:color="auto" w:sz="8" w:space="0"/>
            </w:tcBorders>
            <w:vAlign w:val="center"/>
          </w:tcPr>
          <w:p w14:paraId="5C017C5A">
            <w:pPr>
              <w:pStyle w:val="110"/>
              <w:widowControl w:val="0"/>
              <w:adjustRightInd w:val="0"/>
              <w:snapToGrid w:val="0"/>
              <w:rPr>
                <w:rFonts w:hAnsi="宋体"/>
                <w:szCs w:val="18"/>
              </w:rPr>
            </w:pPr>
            <w:r>
              <w:rPr>
                <w:rFonts w:hint="eastAsia" w:hAnsi="宋体" w:cs="宋体"/>
                <w:szCs w:val="18"/>
              </w:rPr>
              <w:t>海洋平台结构检验人员/单点系泊结构检验人员</w:t>
            </w:r>
          </w:p>
        </w:tc>
        <w:tc>
          <w:tcPr>
            <w:tcW w:w="5361" w:type="dxa"/>
            <w:tcBorders>
              <w:top w:val="single" w:color="auto" w:sz="8" w:space="0"/>
            </w:tcBorders>
            <w:vAlign w:val="center"/>
          </w:tcPr>
          <w:p w14:paraId="4160C2BC">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7A3CBB72">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材料及材料力学，焊接，结构力学，金属腐蚀，潜水基本知识，安全、质量管理等。</w:t>
            </w:r>
          </w:p>
          <w:p w14:paraId="0D2363DF">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2426807F">
            <w:pPr>
              <w:pStyle w:val="99"/>
              <w:widowControl/>
              <w:autoSpaceDE w:val="0"/>
              <w:autoSpaceDN w:val="0"/>
              <w:adjustRightInd w:val="0"/>
              <w:snapToGrid w:val="0"/>
              <w:ind w:left="42" w:leftChars="20" w:right="102" w:firstLine="356"/>
              <w:jc w:val="left"/>
              <w:textAlignment w:val="baseline"/>
              <w:rPr>
                <w:rFonts w:cs="Times New Roman"/>
                <w:sz w:val="18"/>
                <w:szCs w:val="18"/>
              </w:rPr>
            </w:pPr>
            <w:r>
              <w:rPr>
                <w:rFonts w:hint="eastAsia" w:cs="Times New Roman"/>
                <w:spacing w:val="-1"/>
                <w:sz w:val="18"/>
                <w:szCs w:val="18"/>
              </w:rPr>
              <w:t>海洋平台结构、单点系泊结构</w:t>
            </w:r>
            <w:r>
              <w:rPr>
                <w:rFonts w:hint="eastAsia" w:cs="Times New Roman"/>
                <w:sz w:val="18"/>
                <w:szCs w:val="18"/>
              </w:rPr>
              <w:t>基本知识，设计、制造、安装及修理改造，损伤模式识别及失效分析等。</w:t>
            </w:r>
          </w:p>
          <w:p w14:paraId="6D3A2F8C">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59B214EB">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无损检测、作业级遥控潜水器水下检测、投入使用前检测检验、定期检测检验及临时检测检验等。</w:t>
            </w:r>
          </w:p>
          <w:p w14:paraId="43FAB76A">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21AC0CEB">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645829E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01191C0D">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08" w:type="dxa"/>
            <w:tcBorders>
              <w:top w:val="single" w:color="auto" w:sz="8" w:space="0"/>
            </w:tcBorders>
            <w:vAlign w:val="center"/>
          </w:tcPr>
          <w:p w14:paraId="779B214F">
            <w:pPr>
              <w:pStyle w:val="110"/>
              <w:widowControl w:val="0"/>
              <w:rPr>
                <w:rFonts w:hAnsi="宋体"/>
              </w:rPr>
            </w:pPr>
            <w:r>
              <w:rPr>
                <w:rFonts w:hint="eastAsia" w:hAnsi="宋体"/>
                <w:szCs w:val="18"/>
              </w:rPr>
              <w:t>40学时</w:t>
            </w:r>
          </w:p>
        </w:tc>
        <w:tc>
          <w:tcPr>
            <w:tcW w:w="798" w:type="dxa"/>
            <w:tcBorders>
              <w:top w:val="single" w:color="auto" w:sz="8" w:space="0"/>
            </w:tcBorders>
            <w:vAlign w:val="center"/>
          </w:tcPr>
          <w:p w14:paraId="6A36F522">
            <w:pPr>
              <w:pStyle w:val="110"/>
              <w:widowControl w:val="0"/>
              <w:adjustRightInd w:val="0"/>
              <w:snapToGrid w:val="0"/>
              <w:rPr>
                <w:rFonts w:hAnsi="宋体"/>
                <w:szCs w:val="18"/>
              </w:rPr>
            </w:pPr>
            <w:r>
              <w:rPr>
                <w:rFonts w:hint="eastAsia" w:hAnsi="宋体"/>
                <w:szCs w:val="18"/>
              </w:rPr>
              <w:t>理论考试+实操考核</w:t>
            </w:r>
          </w:p>
        </w:tc>
      </w:tr>
      <w:tr w14:paraId="6D689E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40" w:type="dxa"/>
            <w:vAlign w:val="center"/>
          </w:tcPr>
          <w:p w14:paraId="68A5AFC0">
            <w:pPr>
              <w:pStyle w:val="110"/>
              <w:widowControl w:val="0"/>
              <w:adjustRightInd w:val="0"/>
              <w:snapToGrid w:val="0"/>
              <w:rPr>
                <w:rFonts w:hAnsi="宋体"/>
                <w:szCs w:val="18"/>
              </w:rPr>
            </w:pPr>
            <w:r>
              <w:rPr>
                <w:rFonts w:hint="eastAsia" w:hAnsi="宋体"/>
                <w:szCs w:val="18"/>
              </w:rPr>
              <w:t>采油设备</w:t>
            </w:r>
          </w:p>
        </w:tc>
        <w:tc>
          <w:tcPr>
            <w:tcW w:w="832" w:type="dxa"/>
            <w:vAlign w:val="center"/>
          </w:tcPr>
          <w:p w14:paraId="2870722C">
            <w:pPr>
              <w:pStyle w:val="110"/>
              <w:widowControl w:val="0"/>
              <w:adjustRightInd w:val="0"/>
              <w:snapToGrid w:val="0"/>
              <w:rPr>
                <w:rFonts w:hAnsi="宋体"/>
                <w:szCs w:val="18"/>
              </w:rPr>
            </w:pPr>
            <w:r>
              <w:rPr>
                <w:rFonts w:hint="eastAsia" w:hAnsi="宋体"/>
                <w:szCs w:val="18"/>
              </w:rPr>
              <w:t>采油（气）树检验人员</w:t>
            </w:r>
          </w:p>
        </w:tc>
        <w:tc>
          <w:tcPr>
            <w:tcW w:w="5361" w:type="dxa"/>
            <w:vAlign w:val="center"/>
          </w:tcPr>
          <w:p w14:paraId="3153B1B2">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62B1825C">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海洋石油油气开采基本知识，材料及材料力学，金属腐蚀，安全、质量管理等。</w:t>
            </w:r>
          </w:p>
          <w:p w14:paraId="5145C0E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2FFDD055">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采油（气）树基本知识，设计、制造、安装及修理改造，损伤模式识别及失效分析等。</w:t>
            </w:r>
          </w:p>
          <w:p w14:paraId="3CBA0895">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34320914">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无损检测、理化检测、投入使用前检测检验、临时检测检验等。</w:t>
            </w:r>
          </w:p>
          <w:p w14:paraId="17ABCD12">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336714EF">
            <w:pPr>
              <w:pStyle w:val="99"/>
              <w:widowControl/>
              <w:autoSpaceDE w:val="0"/>
              <w:autoSpaceDN w:val="0"/>
              <w:adjustRightInd w:val="0"/>
              <w:snapToGrid w:val="0"/>
              <w:ind w:left="42" w:leftChars="20" w:right="104" w:firstLine="360"/>
              <w:jc w:val="left"/>
              <w:textAlignment w:val="baseline"/>
              <w:rPr>
                <w:rFonts w:cs="Times New Roman"/>
                <w:sz w:val="18"/>
                <w:szCs w:val="18"/>
              </w:rPr>
            </w:pPr>
            <w:r>
              <w:rPr>
                <w:rFonts w:hint="eastAsia" w:cs="Times New Roman"/>
                <w:sz w:val="18"/>
                <w:szCs w:val="18"/>
              </w:rPr>
              <w:t>法律法规、技术标准等。</w:t>
            </w:r>
          </w:p>
          <w:p w14:paraId="2AFFDF01">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26CF6439">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08" w:type="dxa"/>
            <w:vAlign w:val="center"/>
          </w:tcPr>
          <w:p w14:paraId="5F869C90">
            <w:pPr>
              <w:pStyle w:val="110"/>
              <w:widowControl w:val="0"/>
              <w:rPr>
                <w:rFonts w:hAnsi="宋体"/>
              </w:rPr>
            </w:pPr>
            <w:r>
              <w:rPr>
                <w:rFonts w:hint="eastAsia" w:hAnsi="宋体"/>
                <w:szCs w:val="18"/>
              </w:rPr>
              <w:t>24学时</w:t>
            </w:r>
          </w:p>
        </w:tc>
        <w:tc>
          <w:tcPr>
            <w:tcW w:w="798" w:type="dxa"/>
            <w:vAlign w:val="center"/>
          </w:tcPr>
          <w:p w14:paraId="5E3B1F1A">
            <w:pPr>
              <w:pStyle w:val="110"/>
              <w:widowControl w:val="0"/>
              <w:adjustRightInd w:val="0"/>
              <w:snapToGrid w:val="0"/>
              <w:rPr>
                <w:rFonts w:hAnsi="宋体"/>
                <w:szCs w:val="18"/>
              </w:rPr>
            </w:pPr>
            <w:r>
              <w:rPr>
                <w:rFonts w:hint="eastAsia" w:hAnsi="宋体"/>
                <w:szCs w:val="18"/>
              </w:rPr>
              <w:t>理论考试+实操考核</w:t>
            </w:r>
          </w:p>
        </w:tc>
      </w:tr>
      <w:tr w14:paraId="0522E3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40" w:type="dxa"/>
            <w:tcBorders>
              <w:bottom w:val="single" w:color="auto" w:sz="4" w:space="0"/>
            </w:tcBorders>
            <w:vAlign w:val="center"/>
          </w:tcPr>
          <w:p w14:paraId="10E1E97F">
            <w:pPr>
              <w:pStyle w:val="110"/>
              <w:widowControl w:val="0"/>
              <w:adjustRightInd w:val="0"/>
              <w:snapToGrid w:val="0"/>
              <w:rPr>
                <w:rFonts w:hAnsi="宋体"/>
                <w:szCs w:val="18"/>
              </w:rPr>
            </w:pPr>
            <w:r>
              <w:rPr>
                <w:rFonts w:hint="eastAsia" w:hAnsi="宋体"/>
                <w:szCs w:val="18"/>
              </w:rPr>
              <w:t>海上锅炉和压力容器</w:t>
            </w:r>
          </w:p>
        </w:tc>
        <w:tc>
          <w:tcPr>
            <w:tcW w:w="832" w:type="dxa"/>
            <w:tcBorders>
              <w:bottom w:val="single" w:color="auto" w:sz="4" w:space="0"/>
            </w:tcBorders>
            <w:vAlign w:val="center"/>
          </w:tcPr>
          <w:p w14:paraId="33F4D04C">
            <w:pPr>
              <w:pStyle w:val="110"/>
              <w:widowControl w:val="0"/>
              <w:adjustRightInd w:val="0"/>
              <w:snapToGrid w:val="0"/>
              <w:rPr>
                <w:rFonts w:hAnsi="宋体"/>
                <w:szCs w:val="18"/>
              </w:rPr>
            </w:pPr>
            <w:r>
              <w:rPr>
                <w:rFonts w:hint="eastAsia" w:hAnsi="宋体"/>
                <w:szCs w:val="18"/>
              </w:rPr>
              <w:t>海上锅炉检验人员</w:t>
            </w:r>
          </w:p>
        </w:tc>
        <w:tc>
          <w:tcPr>
            <w:tcW w:w="5361" w:type="dxa"/>
            <w:tcBorders>
              <w:bottom w:val="single" w:color="auto" w:sz="4" w:space="0"/>
            </w:tcBorders>
            <w:vAlign w:val="center"/>
          </w:tcPr>
          <w:p w14:paraId="1CECB545">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23B3D7C9">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材料及材料力学，焊接，热处理，金属腐蚀，金属加工，安全、质量管理等。</w:t>
            </w:r>
          </w:p>
          <w:p w14:paraId="6EC9C592">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12B34856">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海上锅炉基本知识，设计、制造、安装及修理改造，损伤模式识别及失效分析，安全附件及仪表，燃烧设备、辅助设备及系统等。</w:t>
            </w:r>
          </w:p>
          <w:p w14:paraId="408C26D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10B3C37D">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无损检测、理化检测、投入使用前检测检验、定期检测检验及临时检测检验等。</w:t>
            </w:r>
          </w:p>
          <w:p w14:paraId="48F98E7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2549C4AD">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1EBBDBE2">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7C48495C">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08" w:type="dxa"/>
            <w:tcBorders>
              <w:bottom w:val="single" w:color="auto" w:sz="4" w:space="0"/>
            </w:tcBorders>
            <w:vAlign w:val="center"/>
          </w:tcPr>
          <w:p w14:paraId="214F4F42">
            <w:pPr>
              <w:pStyle w:val="110"/>
              <w:widowControl w:val="0"/>
              <w:rPr>
                <w:rFonts w:hAnsi="宋体"/>
              </w:rPr>
            </w:pPr>
            <w:r>
              <w:rPr>
                <w:rFonts w:hint="eastAsia" w:hAnsi="宋体"/>
                <w:szCs w:val="18"/>
              </w:rPr>
              <w:t>24学时</w:t>
            </w:r>
          </w:p>
        </w:tc>
        <w:tc>
          <w:tcPr>
            <w:tcW w:w="798" w:type="dxa"/>
            <w:tcBorders>
              <w:bottom w:val="single" w:color="auto" w:sz="4" w:space="0"/>
            </w:tcBorders>
            <w:vAlign w:val="center"/>
          </w:tcPr>
          <w:p w14:paraId="1C7945C8">
            <w:pPr>
              <w:pStyle w:val="110"/>
              <w:widowControl w:val="0"/>
              <w:adjustRightInd w:val="0"/>
              <w:snapToGrid w:val="0"/>
              <w:rPr>
                <w:rFonts w:hAnsi="宋体"/>
              </w:rPr>
            </w:pPr>
            <w:r>
              <w:rPr>
                <w:rFonts w:hint="eastAsia" w:hAnsi="宋体"/>
                <w:szCs w:val="18"/>
              </w:rPr>
              <w:t>理论考试+实操考核</w:t>
            </w:r>
          </w:p>
        </w:tc>
      </w:tr>
    </w:tbl>
    <w:p w14:paraId="63BA2AA9">
      <w:pPr>
        <w:rPr>
          <w:rFonts w:ascii="宋体" w:hAnsi="宋体"/>
        </w:rPr>
      </w:pPr>
      <w:r>
        <w:rPr>
          <w:rFonts w:ascii="宋体" w:hAnsi="宋体"/>
          <w:szCs w:val="21"/>
        </w:rPr>
        <w:br w:type="page"/>
      </w:r>
    </w:p>
    <w:p w14:paraId="11C0EB00">
      <w:pPr>
        <w:pStyle w:val="43"/>
        <w:pageBreakBefore/>
        <w:spacing w:beforeLines="50" w:afterLines="50"/>
        <w:ind w:firstLine="0" w:firstLineChars="0"/>
        <w:jc w:val="center"/>
        <w:rPr>
          <w:rFonts w:hAnsi="宋体"/>
        </w:rPr>
      </w:pPr>
      <w:r>
        <w:rPr>
          <w:rFonts w:hint="eastAsia" w:hAnsi="宋体" w:eastAsia="黑体"/>
        </w:rPr>
        <w:t>表E.4  专业设备检验人员培训要求</w:t>
      </w:r>
      <w:r>
        <w:rPr>
          <w:rFonts w:hint="eastAsia" w:hAnsi="宋体"/>
        </w:rPr>
        <w:t>（续）</w:t>
      </w:r>
    </w:p>
    <w:tbl>
      <w:tblPr>
        <w:tblStyle w:val="26"/>
        <w:tblW w:w="893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42"/>
        <w:gridCol w:w="811"/>
        <w:gridCol w:w="5375"/>
        <w:gridCol w:w="810"/>
        <w:gridCol w:w="801"/>
      </w:tblGrid>
      <w:tr w14:paraId="1C6C1B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142" w:type="dxa"/>
            <w:tcBorders>
              <w:top w:val="single" w:color="auto" w:sz="8" w:space="0"/>
              <w:bottom w:val="single" w:color="auto" w:sz="8" w:space="0"/>
            </w:tcBorders>
            <w:vAlign w:val="center"/>
          </w:tcPr>
          <w:p w14:paraId="3341BA56">
            <w:pPr>
              <w:pStyle w:val="110"/>
              <w:widowControl w:val="0"/>
              <w:rPr>
                <w:rFonts w:hAnsi="宋体"/>
              </w:rPr>
            </w:pPr>
            <w:r>
              <w:rPr>
                <w:rFonts w:hint="eastAsia" w:hAnsi="宋体"/>
                <w:szCs w:val="18"/>
              </w:rPr>
              <w:t>大类专业设备</w:t>
            </w:r>
          </w:p>
        </w:tc>
        <w:tc>
          <w:tcPr>
            <w:tcW w:w="811" w:type="dxa"/>
            <w:tcBorders>
              <w:top w:val="single" w:color="auto" w:sz="8" w:space="0"/>
              <w:bottom w:val="single" w:color="auto" w:sz="8" w:space="0"/>
            </w:tcBorders>
            <w:vAlign w:val="center"/>
          </w:tcPr>
          <w:p w14:paraId="7BE6F6AF">
            <w:pPr>
              <w:pStyle w:val="110"/>
              <w:widowControl w:val="0"/>
              <w:rPr>
                <w:rFonts w:hAnsi="宋体"/>
              </w:rPr>
            </w:pPr>
            <w:r>
              <w:rPr>
                <w:rFonts w:hint="eastAsia" w:hAnsi="宋体"/>
                <w:szCs w:val="18"/>
              </w:rPr>
              <w:t>检验人员</w:t>
            </w:r>
          </w:p>
        </w:tc>
        <w:tc>
          <w:tcPr>
            <w:tcW w:w="5375" w:type="dxa"/>
            <w:tcBorders>
              <w:top w:val="single" w:color="auto" w:sz="8" w:space="0"/>
              <w:bottom w:val="single" w:color="auto" w:sz="8" w:space="0"/>
            </w:tcBorders>
            <w:vAlign w:val="center"/>
          </w:tcPr>
          <w:p w14:paraId="2E738BAD">
            <w:pPr>
              <w:pStyle w:val="110"/>
              <w:widowControl w:val="0"/>
              <w:rPr>
                <w:rFonts w:hAnsi="宋体"/>
              </w:rPr>
            </w:pPr>
            <w:r>
              <w:rPr>
                <w:rFonts w:hint="eastAsia" w:hAnsi="宋体"/>
                <w:szCs w:val="18"/>
              </w:rPr>
              <w:t>培训内容</w:t>
            </w:r>
          </w:p>
        </w:tc>
        <w:tc>
          <w:tcPr>
            <w:tcW w:w="810" w:type="dxa"/>
            <w:tcBorders>
              <w:top w:val="single" w:color="auto" w:sz="8" w:space="0"/>
              <w:bottom w:val="single" w:color="auto" w:sz="8" w:space="0"/>
            </w:tcBorders>
            <w:vAlign w:val="center"/>
          </w:tcPr>
          <w:p w14:paraId="4D507607">
            <w:pPr>
              <w:pStyle w:val="110"/>
              <w:widowControl w:val="0"/>
              <w:rPr>
                <w:rFonts w:hAnsi="宋体"/>
              </w:rPr>
            </w:pPr>
            <w:r>
              <w:rPr>
                <w:rFonts w:hint="eastAsia" w:hAnsi="宋体"/>
                <w:szCs w:val="18"/>
              </w:rPr>
              <w:t>培训学时</w:t>
            </w:r>
          </w:p>
        </w:tc>
        <w:tc>
          <w:tcPr>
            <w:tcW w:w="801" w:type="dxa"/>
            <w:tcBorders>
              <w:top w:val="single" w:color="auto" w:sz="8" w:space="0"/>
              <w:bottom w:val="single" w:color="auto" w:sz="8" w:space="0"/>
            </w:tcBorders>
            <w:vAlign w:val="center"/>
          </w:tcPr>
          <w:p w14:paraId="42B144AE">
            <w:pPr>
              <w:pStyle w:val="110"/>
              <w:widowControl w:val="0"/>
              <w:rPr>
                <w:rFonts w:hAnsi="宋体"/>
              </w:rPr>
            </w:pPr>
            <w:r>
              <w:rPr>
                <w:rFonts w:hint="eastAsia" w:hAnsi="宋体"/>
                <w:szCs w:val="18"/>
              </w:rPr>
              <w:t>考核方式</w:t>
            </w:r>
          </w:p>
        </w:tc>
      </w:tr>
      <w:tr w14:paraId="673861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42" w:type="dxa"/>
            <w:vMerge w:val="restart"/>
            <w:tcBorders>
              <w:top w:val="single" w:color="auto" w:sz="4" w:space="0"/>
            </w:tcBorders>
            <w:vAlign w:val="center"/>
          </w:tcPr>
          <w:p w14:paraId="25BA83DD">
            <w:pPr>
              <w:pStyle w:val="110"/>
              <w:widowControl w:val="0"/>
              <w:adjustRightInd w:val="0"/>
              <w:snapToGrid w:val="0"/>
              <w:rPr>
                <w:rFonts w:hAnsi="宋体"/>
                <w:szCs w:val="18"/>
              </w:rPr>
            </w:pPr>
            <w:r>
              <w:rPr>
                <w:rFonts w:hint="eastAsia" w:hAnsi="宋体"/>
                <w:szCs w:val="18"/>
              </w:rPr>
              <w:t>海上锅炉和压力容器</w:t>
            </w:r>
          </w:p>
        </w:tc>
        <w:tc>
          <w:tcPr>
            <w:tcW w:w="811" w:type="dxa"/>
            <w:tcBorders>
              <w:top w:val="single" w:color="auto" w:sz="4" w:space="0"/>
              <w:bottom w:val="single" w:color="auto" w:sz="4" w:space="0"/>
            </w:tcBorders>
            <w:vAlign w:val="center"/>
          </w:tcPr>
          <w:p w14:paraId="04EEA283">
            <w:pPr>
              <w:pStyle w:val="110"/>
              <w:widowControl w:val="0"/>
              <w:adjustRightInd w:val="0"/>
              <w:snapToGrid w:val="0"/>
              <w:rPr>
                <w:rFonts w:hAnsi="宋体"/>
                <w:szCs w:val="18"/>
              </w:rPr>
            </w:pPr>
            <w:r>
              <w:rPr>
                <w:rFonts w:hint="eastAsia" w:hAnsi="宋体"/>
                <w:szCs w:val="18"/>
              </w:rPr>
              <w:t>海上压力容器检验人员</w:t>
            </w:r>
          </w:p>
        </w:tc>
        <w:tc>
          <w:tcPr>
            <w:tcW w:w="5375" w:type="dxa"/>
            <w:tcBorders>
              <w:top w:val="single" w:color="auto" w:sz="4" w:space="0"/>
              <w:bottom w:val="single" w:color="auto" w:sz="4" w:space="0"/>
            </w:tcBorders>
            <w:vAlign w:val="center"/>
          </w:tcPr>
          <w:p w14:paraId="00F21917">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2ECBAF97">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材料及材料力学，焊接，热处理，金属腐蚀，金属加工，工艺特性，安全、质量管理等。</w:t>
            </w:r>
          </w:p>
          <w:p w14:paraId="0EFDE09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2C3574A2">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固定式压力容器和固定式气瓶基本知识，设计、制造、安装及修理改造，损伤模式识别及失效分析，安全附件及仪表，载荷特性和介质特性，强度校核及其他要求等。</w:t>
            </w:r>
          </w:p>
          <w:p w14:paraId="287FD290">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49FEB2CC">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无损检测、理化检测、投入使用前检测检验、定期检测检验及临时检测检验、基于风险的检验等。</w:t>
            </w:r>
          </w:p>
          <w:p w14:paraId="725936E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2F1597C8">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058C8336">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2F10D41A">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top w:val="single" w:color="auto" w:sz="4" w:space="0"/>
              <w:bottom w:val="single" w:color="auto" w:sz="4" w:space="0"/>
            </w:tcBorders>
            <w:vAlign w:val="center"/>
          </w:tcPr>
          <w:p w14:paraId="1D6A5847">
            <w:pPr>
              <w:pStyle w:val="110"/>
              <w:widowControl w:val="0"/>
              <w:rPr>
                <w:rFonts w:hAnsi="宋体"/>
              </w:rPr>
            </w:pPr>
            <w:r>
              <w:rPr>
                <w:rFonts w:hint="eastAsia" w:hAnsi="宋体"/>
                <w:szCs w:val="18"/>
              </w:rPr>
              <w:t>24学时</w:t>
            </w:r>
          </w:p>
        </w:tc>
        <w:tc>
          <w:tcPr>
            <w:tcW w:w="801" w:type="dxa"/>
            <w:tcBorders>
              <w:top w:val="single" w:color="auto" w:sz="4" w:space="0"/>
              <w:bottom w:val="single" w:color="auto" w:sz="4" w:space="0"/>
            </w:tcBorders>
            <w:vAlign w:val="center"/>
          </w:tcPr>
          <w:p w14:paraId="5E76DB5C">
            <w:pPr>
              <w:pStyle w:val="110"/>
              <w:widowControl w:val="0"/>
              <w:adjustRightInd w:val="0"/>
              <w:snapToGrid w:val="0"/>
              <w:rPr>
                <w:rFonts w:hAnsi="宋体"/>
                <w:szCs w:val="18"/>
              </w:rPr>
            </w:pPr>
            <w:r>
              <w:rPr>
                <w:rFonts w:hint="eastAsia" w:hAnsi="宋体"/>
                <w:szCs w:val="18"/>
              </w:rPr>
              <w:t>理论考试+实操考核</w:t>
            </w:r>
          </w:p>
        </w:tc>
      </w:tr>
      <w:tr w14:paraId="24B0BB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42" w:type="dxa"/>
            <w:vMerge w:val="continue"/>
            <w:vAlign w:val="center"/>
          </w:tcPr>
          <w:p w14:paraId="06DB1533">
            <w:pPr>
              <w:pStyle w:val="110"/>
              <w:widowControl w:val="0"/>
              <w:adjustRightInd w:val="0"/>
              <w:snapToGrid w:val="0"/>
              <w:rPr>
                <w:rFonts w:hAnsi="宋体"/>
                <w:szCs w:val="18"/>
              </w:rPr>
            </w:pPr>
          </w:p>
        </w:tc>
        <w:tc>
          <w:tcPr>
            <w:tcW w:w="811" w:type="dxa"/>
            <w:tcBorders>
              <w:top w:val="single" w:color="auto" w:sz="4" w:space="0"/>
            </w:tcBorders>
            <w:vAlign w:val="center"/>
          </w:tcPr>
          <w:p w14:paraId="33243BB9">
            <w:pPr>
              <w:pStyle w:val="110"/>
              <w:widowControl w:val="0"/>
              <w:adjustRightInd w:val="0"/>
              <w:snapToGrid w:val="0"/>
              <w:rPr>
                <w:rFonts w:hAnsi="宋体"/>
                <w:szCs w:val="18"/>
              </w:rPr>
            </w:pPr>
            <w:r>
              <w:rPr>
                <w:rFonts w:hint="eastAsia" w:hAnsi="宋体"/>
                <w:szCs w:val="18"/>
              </w:rPr>
              <w:t>海上压力管道检验人员</w:t>
            </w:r>
          </w:p>
        </w:tc>
        <w:tc>
          <w:tcPr>
            <w:tcW w:w="5375" w:type="dxa"/>
            <w:tcBorders>
              <w:top w:val="single" w:color="auto" w:sz="4" w:space="0"/>
            </w:tcBorders>
            <w:vAlign w:val="center"/>
          </w:tcPr>
          <w:p w14:paraId="6C4B7E8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055D8512">
            <w:pPr>
              <w:pStyle w:val="99"/>
              <w:widowControl/>
              <w:autoSpaceDE w:val="0"/>
              <w:autoSpaceDN w:val="0"/>
              <w:adjustRightInd w:val="0"/>
              <w:snapToGrid w:val="0"/>
              <w:ind w:left="42" w:leftChars="20" w:right="104" w:firstLine="360"/>
              <w:jc w:val="left"/>
              <w:textAlignment w:val="baseline"/>
              <w:rPr>
                <w:rFonts w:cs="Times New Roman"/>
                <w:sz w:val="18"/>
                <w:szCs w:val="18"/>
              </w:rPr>
            </w:pPr>
            <w:r>
              <w:rPr>
                <w:rFonts w:hint="eastAsia" w:cs="Times New Roman"/>
                <w:sz w:val="18"/>
                <w:szCs w:val="18"/>
              </w:rPr>
              <w:t>材料及材料力学，焊接，热处理，金属腐蚀，金属加工，工艺特性，安全、质量管理等。</w:t>
            </w:r>
          </w:p>
          <w:p w14:paraId="0478CDB7">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772416D6">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压力管道基本知识，设计、制造、安装及修理改造，伤模式识别及失效分析，压力管道元件，安全附件及仪表，载荷特性和介质特性，强度校核及其他要求等。</w:t>
            </w:r>
          </w:p>
          <w:p w14:paraId="3B196D3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10D6A0FE">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无损检测、理化检测、投入使用前检测检验、定期检测检验及临时检测检验、基于风险的检验等。</w:t>
            </w:r>
          </w:p>
          <w:p w14:paraId="12520B9C">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552A0B51">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3FFAA01F">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32EBC86C">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top w:val="single" w:color="auto" w:sz="4" w:space="0"/>
            </w:tcBorders>
            <w:vAlign w:val="center"/>
          </w:tcPr>
          <w:p w14:paraId="2529FF1C">
            <w:pPr>
              <w:pStyle w:val="110"/>
              <w:widowControl w:val="0"/>
              <w:rPr>
                <w:rFonts w:hAnsi="宋体"/>
              </w:rPr>
            </w:pPr>
            <w:r>
              <w:rPr>
                <w:rFonts w:hint="eastAsia" w:hAnsi="宋体"/>
                <w:szCs w:val="18"/>
              </w:rPr>
              <w:t>24学时</w:t>
            </w:r>
          </w:p>
        </w:tc>
        <w:tc>
          <w:tcPr>
            <w:tcW w:w="801" w:type="dxa"/>
            <w:tcBorders>
              <w:top w:val="single" w:color="auto" w:sz="4" w:space="0"/>
            </w:tcBorders>
            <w:vAlign w:val="center"/>
          </w:tcPr>
          <w:p w14:paraId="2CCCED43">
            <w:pPr>
              <w:pStyle w:val="110"/>
              <w:widowControl w:val="0"/>
              <w:adjustRightInd w:val="0"/>
              <w:snapToGrid w:val="0"/>
              <w:rPr>
                <w:rFonts w:hAnsi="宋体"/>
                <w:szCs w:val="18"/>
              </w:rPr>
            </w:pPr>
            <w:r>
              <w:rPr>
                <w:rFonts w:hint="eastAsia" w:hAnsi="宋体"/>
                <w:szCs w:val="18"/>
              </w:rPr>
              <w:t>理论考试+实操考核</w:t>
            </w:r>
          </w:p>
        </w:tc>
      </w:tr>
      <w:tr w14:paraId="4B49E0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42" w:type="dxa"/>
            <w:tcBorders>
              <w:bottom w:val="single" w:color="auto" w:sz="4" w:space="0"/>
            </w:tcBorders>
            <w:vAlign w:val="center"/>
          </w:tcPr>
          <w:p w14:paraId="04E167D0">
            <w:pPr>
              <w:pStyle w:val="110"/>
              <w:widowControl w:val="0"/>
              <w:adjustRightInd w:val="0"/>
              <w:snapToGrid w:val="0"/>
              <w:rPr>
                <w:rFonts w:hAnsi="宋体"/>
                <w:szCs w:val="18"/>
              </w:rPr>
            </w:pPr>
            <w:r>
              <w:rPr>
                <w:rFonts w:hint="eastAsia" w:hAnsi="宋体"/>
                <w:szCs w:val="18"/>
              </w:rPr>
              <w:t>钻井和修井设备</w:t>
            </w:r>
          </w:p>
        </w:tc>
        <w:tc>
          <w:tcPr>
            <w:tcW w:w="811" w:type="dxa"/>
            <w:tcBorders>
              <w:bottom w:val="single" w:color="auto" w:sz="4" w:space="0"/>
            </w:tcBorders>
            <w:vAlign w:val="center"/>
          </w:tcPr>
          <w:p w14:paraId="05342886">
            <w:pPr>
              <w:pStyle w:val="110"/>
              <w:widowControl w:val="0"/>
              <w:adjustRightInd w:val="0"/>
              <w:snapToGrid w:val="0"/>
              <w:rPr>
                <w:rFonts w:hAnsi="宋体"/>
                <w:szCs w:val="18"/>
              </w:rPr>
            </w:pPr>
            <w:r>
              <w:rPr>
                <w:rFonts w:hint="eastAsia" w:hAnsi="宋体"/>
                <w:szCs w:val="18"/>
              </w:rPr>
              <w:t>钻修井机检验人员</w:t>
            </w:r>
          </w:p>
        </w:tc>
        <w:tc>
          <w:tcPr>
            <w:tcW w:w="5375" w:type="dxa"/>
            <w:tcBorders>
              <w:bottom w:val="single" w:color="auto" w:sz="4" w:space="0"/>
            </w:tcBorders>
            <w:vAlign w:val="center"/>
          </w:tcPr>
          <w:p w14:paraId="7E8D8191">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1A1E8D8F">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海洋石油钻井作业，修井作业基本知识，材料及材料力学，焊接，金属加工，理化实验，热处理，金属腐蚀，安全、质量管理等。</w:t>
            </w:r>
          </w:p>
          <w:p w14:paraId="5F19151D">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07E1C9B4">
            <w:pPr>
              <w:pStyle w:val="99"/>
              <w:widowControl/>
              <w:autoSpaceDE w:val="0"/>
              <w:autoSpaceDN w:val="0"/>
              <w:adjustRightInd w:val="0"/>
              <w:snapToGrid w:val="0"/>
              <w:ind w:left="42" w:leftChars="20" w:right="102" w:firstLine="356"/>
              <w:jc w:val="left"/>
              <w:textAlignment w:val="baseline"/>
              <w:rPr>
                <w:rFonts w:cs="Times New Roman"/>
                <w:sz w:val="18"/>
                <w:szCs w:val="18"/>
              </w:rPr>
            </w:pPr>
            <w:r>
              <w:rPr>
                <w:rFonts w:hint="eastAsia" w:cs="Times New Roman"/>
                <w:spacing w:val="-1"/>
                <w:sz w:val="18"/>
                <w:szCs w:val="18"/>
              </w:rPr>
              <w:t>钻机和修井机</w:t>
            </w:r>
            <w:r>
              <w:rPr>
                <w:rFonts w:hint="eastAsia" w:cs="Times New Roman"/>
                <w:sz w:val="18"/>
                <w:szCs w:val="18"/>
              </w:rPr>
              <w:t>基本知识，设备工作原理、工作特性，损伤模式识别及失效分析等。</w:t>
            </w:r>
          </w:p>
          <w:p w14:paraId="1CB46A9C">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62BE867E">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无损检测、投入使用前检测检验、定期检测检验及临时检测检验等。</w:t>
            </w:r>
          </w:p>
          <w:p w14:paraId="3408AABD">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1E916BD9">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052E6F98">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6570C14E">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bottom w:val="single" w:color="auto" w:sz="4" w:space="0"/>
            </w:tcBorders>
            <w:vAlign w:val="center"/>
          </w:tcPr>
          <w:p w14:paraId="47872FC9">
            <w:pPr>
              <w:pStyle w:val="110"/>
              <w:widowControl w:val="0"/>
              <w:rPr>
                <w:rFonts w:hAnsi="宋体"/>
              </w:rPr>
            </w:pPr>
            <w:r>
              <w:rPr>
                <w:rFonts w:hint="eastAsia" w:hAnsi="宋体"/>
                <w:szCs w:val="18"/>
              </w:rPr>
              <w:t>24学时</w:t>
            </w:r>
          </w:p>
        </w:tc>
        <w:tc>
          <w:tcPr>
            <w:tcW w:w="801" w:type="dxa"/>
            <w:tcBorders>
              <w:bottom w:val="single" w:color="auto" w:sz="4" w:space="0"/>
            </w:tcBorders>
            <w:vAlign w:val="center"/>
          </w:tcPr>
          <w:p w14:paraId="44F150AD">
            <w:pPr>
              <w:pStyle w:val="110"/>
              <w:widowControl w:val="0"/>
              <w:adjustRightInd w:val="0"/>
              <w:snapToGrid w:val="0"/>
              <w:rPr>
                <w:rFonts w:hAnsi="宋体"/>
                <w:szCs w:val="18"/>
              </w:rPr>
            </w:pPr>
            <w:r>
              <w:rPr>
                <w:rFonts w:hint="eastAsia" w:hAnsi="宋体"/>
                <w:szCs w:val="18"/>
              </w:rPr>
              <w:t>理论考试+实操考核</w:t>
            </w:r>
          </w:p>
        </w:tc>
      </w:tr>
    </w:tbl>
    <w:p w14:paraId="3446BA95">
      <w:pPr>
        <w:rPr>
          <w:rFonts w:ascii="宋体" w:hAnsi="宋体"/>
        </w:rPr>
      </w:pPr>
      <w:r>
        <w:rPr>
          <w:rFonts w:ascii="宋体" w:hAnsi="宋体"/>
          <w:szCs w:val="21"/>
        </w:rPr>
        <w:br w:type="page"/>
      </w:r>
    </w:p>
    <w:p w14:paraId="39936878">
      <w:pPr>
        <w:pStyle w:val="43"/>
        <w:pageBreakBefore/>
        <w:spacing w:beforeLines="50" w:afterLines="50"/>
        <w:ind w:firstLine="0" w:firstLineChars="0"/>
        <w:jc w:val="center"/>
        <w:rPr>
          <w:rFonts w:hAnsi="宋体"/>
        </w:rPr>
      </w:pPr>
      <w:r>
        <w:rPr>
          <w:rFonts w:hint="eastAsia" w:hAnsi="宋体" w:eastAsia="黑体"/>
        </w:rPr>
        <w:t>表E.4  专业设备检验人员培训要求</w:t>
      </w:r>
      <w:r>
        <w:rPr>
          <w:rFonts w:hint="eastAsia" w:hAnsi="宋体"/>
        </w:rPr>
        <w:t>（续）</w:t>
      </w:r>
    </w:p>
    <w:tbl>
      <w:tblPr>
        <w:tblStyle w:val="26"/>
        <w:tblW w:w="89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66"/>
        <w:gridCol w:w="811"/>
        <w:gridCol w:w="5375"/>
        <w:gridCol w:w="810"/>
        <w:gridCol w:w="801"/>
      </w:tblGrid>
      <w:tr w14:paraId="28A626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166" w:type="dxa"/>
            <w:tcBorders>
              <w:top w:val="single" w:color="auto" w:sz="8" w:space="0"/>
              <w:bottom w:val="single" w:color="auto" w:sz="8" w:space="0"/>
            </w:tcBorders>
            <w:vAlign w:val="center"/>
          </w:tcPr>
          <w:p w14:paraId="22F6F3FE">
            <w:pPr>
              <w:pStyle w:val="110"/>
              <w:widowControl w:val="0"/>
              <w:rPr>
                <w:rFonts w:hAnsi="宋体"/>
              </w:rPr>
            </w:pPr>
            <w:r>
              <w:rPr>
                <w:rFonts w:hint="eastAsia" w:hAnsi="宋体"/>
                <w:szCs w:val="18"/>
              </w:rPr>
              <w:t>大类专业设备</w:t>
            </w:r>
          </w:p>
        </w:tc>
        <w:tc>
          <w:tcPr>
            <w:tcW w:w="811" w:type="dxa"/>
            <w:tcBorders>
              <w:top w:val="single" w:color="auto" w:sz="8" w:space="0"/>
              <w:bottom w:val="single" w:color="auto" w:sz="8" w:space="0"/>
            </w:tcBorders>
            <w:vAlign w:val="center"/>
          </w:tcPr>
          <w:p w14:paraId="422A24BD">
            <w:pPr>
              <w:pStyle w:val="110"/>
              <w:widowControl w:val="0"/>
              <w:rPr>
                <w:rFonts w:hAnsi="宋体"/>
              </w:rPr>
            </w:pPr>
            <w:r>
              <w:rPr>
                <w:rFonts w:hint="eastAsia" w:hAnsi="宋体"/>
                <w:szCs w:val="18"/>
              </w:rPr>
              <w:t>检验人员</w:t>
            </w:r>
          </w:p>
        </w:tc>
        <w:tc>
          <w:tcPr>
            <w:tcW w:w="5375" w:type="dxa"/>
            <w:tcBorders>
              <w:top w:val="single" w:color="auto" w:sz="8" w:space="0"/>
              <w:bottom w:val="single" w:color="auto" w:sz="8" w:space="0"/>
            </w:tcBorders>
            <w:vAlign w:val="center"/>
          </w:tcPr>
          <w:p w14:paraId="27C1D1EB">
            <w:pPr>
              <w:pStyle w:val="110"/>
              <w:widowControl w:val="0"/>
              <w:rPr>
                <w:rFonts w:hAnsi="宋体"/>
              </w:rPr>
            </w:pPr>
            <w:r>
              <w:rPr>
                <w:rFonts w:hint="eastAsia" w:hAnsi="宋体"/>
                <w:szCs w:val="18"/>
              </w:rPr>
              <w:t>培训内容</w:t>
            </w:r>
          </w:p>
        </w:tc>
        <w:tc>
          <w:tcPr>
            <w:tcW w:w="810" w:type="dxa"/>
            <w:tcBorders>
              <w:top w:val="single" w:color="auto" w:sz="8" w:space="0"/>
              <w:bottom w:val="single" w:color="auto" w:sz="8" w:space="0"/>
            </w:tcBorders>
            <w:vAlign w:val="center"/>
          </w:tcPr>
          <w:p w14:paraId="1B3C2648">
            <w:pPr>
              <w:pStyle w:val="110"/>
              <w:widowControl w:val="0"/>
              <w:rPr>
                <w:rFonts w:hAnsi="宋体"/>
              </w:rPr>
            </w:pPr>
            <w:r>
              <w:rPr>
                <w:rFonts w:hint="eastAsia" w:hAnsi="宋体"/>
                <w:szCs w:val="18"/>
              </w:rPr>
              <w:t>培训学时</w:t>
            </w:r>
          </w:p>
        </w:tc>
        <w:tc>
          <w:tcPr>
            <w:tcW w:w="801" w:type="dxa"/>
            <w:tcBorders>
              <w:top w:val="single" w:color="auto" w:sz="8" w:space="0"/>
              <w:bottom w:val="single" w:color="auto" w:sz="8" w:space="0"/>
            </w:tcBorders>
            <w:vAlign w:val="center"/>
          </w:tcPr>
          <w:p w14:paraId="6DE3A91F">
            <w:pPr>
              <w:pStyle w:val="110"/>
              <w:widowControl w:val="0"/>
              <w:rPr>
                <w:rFonts w:hAnsi="宋体"/>
              </w:rPr>
            </w:pPr>
            <w:r>
              <w:rPr>
                <w:rFonts w:hint="eastAsia" w:hAnsi="宋体"/>
                <w:szCs w:val="18"/>
              </w:rPr>
              <w:t>考核方式</w:t>
            </w:r>
          </w:p>
        </w:tc>
      </w:tr>
      <w:tr w14:paraId="18A13C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tcBorders>
              <w:top w:val="single" w:color="auto" w:sz="4" w:space="0"/>
              <w:bottom w:val="single" w:color="auto" w:sz="4" w:space="0"/>
            </w:tcBorders>
            <w:vAlign w:val="center"/>
          </w:tcPr>
          <w:p w14:paraId="5A51C988">
            <w:pPr>
              <w:pStyle w:val="110"/>
              <w:widowControl w:val="0"/>
              <w:adjustRightInd w:val="0"/>
              <w:snapToGrid w:val="0"/>
              <w:rPr>
                <w:rFonts w:hint="eastAsia" w:hAnsi="宋体"/>
                <w:szCs w:val="18"/>
              </w:rPr>
            </w:pPr>
            <w:r>
              <w:rPr>
                <w:rFonts w:hint="eastAsia" w:hAnsi="宋体"/>
                <w:szCs w:val="18"/>
              </w:rPr>
              <w:t>钻井和修井</w:t>
            </w:r>
          </w:p>
          <w:p w14:paraId="01EE1F2B">
            <w:pPr>
              <w:pStyle w:val="110"/>
              <w:widowControl w:val="0"/>
              <w:adjustRightInd w:val="0"/>
              <w:snapToGrid w:val="0"/>
              <w:rPr>
                <w:rFonts w:hAnsi="宋体"/>
                <w:szCs w:val="18"/>
              </w:rPr>
            </w:pPr>
            <w:r>
              <w:rPr>
                <w:rFonts w:hint="eastAsia" w:hAnsi="宋体"/>
                <w:szCs w:val="18"/>
              </w:rPr>
              <w:t>设备</w:t>
            </w:r>
          </w:p>
        </w:tc>
        <w:tc>
          <w:tcPr>
            <w:tcW w:w="811" w:type="dxa"/>
            <w:tcBorders>
              <w:top w:val="single" w:color="auto" w:sz="4" w:space="0"/>
              <w:bottom w:val="single" w:color="auto" w:sz="4" w:space="0"/>
            </w:tcBorders>
            <w:vAlign w:val="center"/>
          </w:tcPr>
          <w:p w14:paraId="60A94FE6">
            <w:pPr>
              <w:pStyle w:val="110"/>
              <w:widowControl w:val="0"/>
              <w:adjustRightInd w:val="0"/>
              <w:snapToGrid w:val="0"/>
              <w:rPr>
                <w:rFonts w:hAnsi="宋体"/>
                <w:szCs w:val="18"/>
              </w:rPr>
            </w:pPr>
            <w:r>
              <w:rPr>
                <w:rFonts w:hint="eastAsia" w:hAnsi="宋体"/>
                <w:szCs w:val="18"/>
              </w:rPr>
              <w:t>井控系统检验人员</w:t>
            </w:r>
          </w:p>
        </w:tc>
        <w:tc>
          <w:tcPr>
            <w:tcW w:w="5375" w:type="dxa"/>
            <w:tcBorders>
              <w:top w:val="single" w:color="auto" w:sz="4" w:space="0"/>
              <w:bottom w:val="single" w:color="auto" w:sz="4" w:space="0"/>
            </w:tcBorders>
            <w:vAlign w:val="center"/>
          </w:tcPr>
          <w:p w14:paraId="6CFE9C74">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143A7D26">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海洋石油钻井作业，修井作业基本知识，材料及材料力学，焊接，金属加工，理化实验，热处理，金属腐蚀，安全、质量管理等。</w:t>
            </w:r>
          </w:p>
          <w:p w14:paraId="4D714F7D">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49A2E322">
            <w:pPr>
              <w:pStyle w:val="99"/>
              <w:widowControl/>
              <w:autoSpaceDE w:val="0"/>
              <w:autoSpaceDN w:val="0"/>
              <w:adjustRightInd w:val="0"/>
              <w:snapToGrid w:val="0"/>
              <w:ind w:left="42" w:leftChars="20" w:right="102" w:firstLine="356"/>
              <w:jc w:val="left"/>
              <w:textAlignment w:val="baseline"/>
              <w:rPr>
                <w:rFonts w:cs="Times New Roman"/>
                <w:sz w:val="18"/>
                <w:szCs w:val="18"/>
              </w:rPr>
            </w:pPr>
            <w:r>
              <w:rPr>
                <w:rFonts w:hint="eastAsia" w:cs="Times New Roman"/>
                <w:spacing w:val="-1"/>
                <w:sz w:val="18"/>
                <w:szCs w:val="18"/>
              </w:rPr>
              <w:t>井控系统</w:t>
            </w:r>
            <w:r>
              <w:rPr>
                <w:rFonts w:hint="eastAsia" w:cs="Times New Roman"/>
                <w:sz w:val="18"/>
                <w:szCs w:val="18"/>
              </w:rPr>
              <w:t>基本知识、设备工作原理、工作特性、损伤模式识别及失效分析等。</w:t>
            </w:r>
          </w:p>
          <w:p w14:paraId="767BDFFD">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5FADCD5B">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无损检测、投入使用前检测检验、定期检测检验及临时检测检验等。</w:t>
            </w:r>
          </w:p>
          <w:p w14:paraId="23D95C44">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77CA348B">
            <w:pPr>
              <w:pStyle w:val="99"/>
              <w:widowControl/>
              <w:autoSpaceDE w:val="0"/>
              <w:autoSpaceDN w:val="0"/>
              <w:adjustRightInd w:val="0"/>
              <w:snapToGrid w:val="0"/>
              <w:ind w:right="102" w:firstLine="360"/>
              <w:jc w:val="left"/>
              <w:textAlignment w:val="baseline"/>
              <w:rPr>
                <w:rFonts w:cs="Times New Roman"/>
                <w:sz w:val="18"/>
                <w:szCs w:val="18"/>
              </w:rPr>
            </w:pPr>
            <w:r>
              <w:rPr>
                <w:rFonts w:hint="eastAsia" w:cs="Times New Roman"/>
                <w:sz w:val="18"/>
                <w:szCs w:val="18"/>
              </w:rPr>
              <w:t>法律法规、技术标准等。</w:t>
            </w:r>
          </w:p>
          <w:p w14:paraId="28C9F659">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08C182EF">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top w:val="single" w:color="auto" w:sz="4" w:space="0"/>
              <w:bottom w:val="single" w:color="auto" w:sz="4" w:space="0"/>
            </w:tcBorders>
            <w:vAlign w:val="center"/>
          </w:tcPr>
          <w:p w14:paraId="378FC8AD">
            <w:pPr>
              <w:pStyle w:val="110"/>
              <w:widowControl w:val="0"/>
              <w:rPr>
                <w:rFonts w:hAnsi="宋体"/>
              </w:rPr>
            </w:pPr>
            <w:r>
              <w:rPr>
                <w:rFonts w:hint="eastAsia" w:hAnsi="宋体"/>
                <w:szCs w:val="18"/>
              </w:rPr>
              <w:t>24学时</w:t>
            </w:r>
          </w:p>
        </w:tc>
        <w:tc>
          <w:tcPr>
            <w:tcW w:w="801" w:type="dxa"/>
            <w:tcBorders>
              <w:top w:val="single" w:color="auto" w:sz="4" w:space="0"/>
              <w:bottom w:val="single" w:color="auto" w:sz="4" w:space="0"/>
            </w:tcBorders>
            <w:vAlign w:val="center"/>
          </w:tcPr>
          <w:p w14:paraId="196DA19F">
            <w:pPr>
              <w:pStyle w:val="110"/>
              <w:widowControl w:val="0"/>
              <w:adjustRightInd w:val="0"/>
              <w:snapToGrid w:val="0"/>
              <w:rPr>
                <w:rFonts w:hAnsi="宋体"/>
                <w:szCs w:val="18"/>
              </w:rPr>
            </w:pPr>
            <w:r>
              <w:rPr>
                <w:rFonts w:hint="eastAsia" w:hAnsi="宋体"/>
                <w:szCs w:val="18"/>
              </w:rPr>
              <w:t>理论考试+实操考核</w:t>
            </w:r>
          </w:p>
        </w:tc>
      </w:tr>
      <w:tr w14:paraId="699A01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vMerge w:val="restart"/>
            <w:tcBorders>
              <w:top w:val="single" w:color="auto" w:sz="4" w:space="0"/>
            </w:tcBorders>
            <w:vAlign w:val="center"/>
          </w:tcPr>
          <w:p w14:paraId="132AEC19">
            <w:pPr>
              <w:pStyle w:val="110"/>
              <w:widowControl w:val="0"/>
              <w:adjustRightInd w:val="0"/>
              <w:snapToGrid w:val="0"/>
              <w:rPr>
                <w:rFonts w:hint="eastAsia" w:hAnsi="宋体"/>
                <w:szCs w:val="18"/>
              </w:rPr>
            </w:pPr>
            <w:r>
              <w:rPr>
                <w:rFonts w:hint="eastAsia" w:hAnsi="宋体"/>
                <w:szCs w:val="18"/>
              </w:rPr>
              <w:t>起重和升降</w:t>
            </w:r>
          </w:p>
          <w:p w14:paraId="608C0E4E">
            <w:pPr>
              <w:pStyle w:val="110"/>
              <w:widowControl w:val="0"/>
              <w:adjustRightInd w:val="0"/>
              <w:snapToGrid w:val="0"/>
              <w:rPr>
                <w:rFonts w:hAnsi="宋体"/>
                <w:szCs w:val="18"/>
              </w:rPr>
            </w:pPr>
            <w:r>
              <w:rPr>
                <w:rFonts w:hint="eastAsia" w:hAnsi="宋体"/>
                <w:szCs w:val="18"/>
              </w:rPr>
              <w:t>设备</w:t>
            </w:r>
          </w:p>
        </w:tc>
        <w:tc>
          <w:tcPr>
            <w:tcW w:w="811" w:type="dxa"/>
            <w:tcBorders>
              <w:top w:val="single" w:color="auto" w:sz="4" w:space="0"/>
            </w:tcBorders>
            <w:vAlign w:val="center"/>
          </w:tcPr>
          <w:p w14:paraId="76FC170B">
            <w:pPr>
              <w:pStyle w:val="110"/>
              <w:widowControl w:val="0"/>
              <w:adjustRightInd w:val="0"/>
              <w:snapToGrid w:val="0"/>
              <w:rPr>
                <w:rFonts w:hAnsi="宋体"/>
                <w:szCs w:val="18"/>
              </w:rPr>
            </w:pPr>
            <w:r>
              <w:rPr>
                <w:rFonts w:hint="eastAsia" w:hAnsi="宋体"/>
                <w:szCs w:val="18"/>
              </w:rPr>
              <w:t>起重机检验人员</w:t>
            </w:r>
          </w:p>
        </w:tc>
        <w:tc>
          <w:tcPr>
            <w:tcW w:w="5375" w:type="dxa"/>
            <w:tcBorders>
              <w:top w:val="single" w:color="auto" w:sz="4" w:space="0"/>
            </w:tcBorders>
            <w:vAlign w:val="center"/>
          </w:tcPr>
          <w:p w14:paraId="0851889F">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3C69A077">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材料及材料力学，焊接，热处理，安全、质量管理等。</w:t>
            </w:r>
          </w:p>
          <w:p w14:paraId="28EA69BF">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50462C19">
            <w:pPr>
              <w:pStyle w:val="99"/>
              <w:widowControl/>
              <w:autoSpaceDE w:val="0"/>
              <w:autoSpaceDN w:val="0"/>
              <w:adjustRightInd w:val="0"/>
              <w:snapToGrid w:val="0"/>
              <w:ind w:left="42" w:leftChars="20" w:right="102" w:firstLine="352"/>
              <w:jc w:val="left"/>
              <w:textAlignment w:val="baseline"/>
              <w:rPr>
                <w:rFonts w:cs="Times New Roman"/>
                <w:sz w:val="18"/>
                <w:szCs w:val="18"/>
              </w:rPr>
            </w:pPr>
            <w:r>
              <w:rPr>
                <w:rFonts w:hint="eastAsia" w:cs="Times New Roman"/>
                <w:spacing w:val="-2"/>
                <w:sz w:val="18"/>
                <w:szCs w:val="18"/>
              </w:rPr>
              <w:t>起重机</w:t>
            </w:r>
            <w:r>
              <w:rPr>
                <w:rFonts w:hint="eastAsia" w:cs="Times New Roman"/>
                <w:sz w:val="18"/>
                <w:szCs w:val="18"/>
              </w:rPr>
              <w:t>基本知识，主要零部件、电气元件、液压元件，损伤模式识别及失效分析，安全保护及防护装置，液压系统、电气系统，基本构成与工作原理，设计、制造、安装、改造等。</w:t>
            </w:r>
          </w:p>
          <w:p w14:paraId="108EDDF6">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02F51F58">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无损检测、投入使用前检测检验、定期检测检验及临时检测检验等。</w:t>
            </w:r>
          </w:p>
          <w:p w14:paraId="5E3E350D">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479FBCE9">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5BF72D35">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32E12906">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top w:val="single" w:color="auto" w:sz="4" w:space="0"/>
            </w:tcBorders>
            <w:vAlign w:val="center"/>
          </w:tcPr>
          <w:p w14:paraId="3BF414AC">
            <w:pPr>
              <w:pStyle w:val="110"/>
              <w:widowControl w:val="0"/>
              <w:rPr>
                <w:rFonts w:hAnsi="宋体"/>
              </w:rPr>
            </w:pPr>
            <w:r>
              <w:rPr>
                <w:rFonts w:hint="eastAsia" w:hAnsi="宋体"/>
                <w:szCs w:val="18"/>
              </w:rPr>
              <w:t>24学时</w:t>
            </w:r>
          </w:p>
        </w:tc>
        <w:tc>
          <w:tcPr>
            <w:tcW w:w="801" w:type="dxa"/>
            <w:tcBorders>
              <w:top w:val="single" w:color="auto" w:sz="4" w:space="0"/>
            </w:tcBorders>
            <w:vAlign w:val="center"/>
          </w:tcPr>
          <w:p w14:paraId="0D3CF26F">
            <w:pPr>
              <w:pStyle w:val="110"/>
              <w:widowControl w:val="0"/>
              <w:adjustRightInd w:val="0"/>
              <w:snapToGrid w:val="0"/>
              <w:rPr>
                <w:rFonts w:hAnsi="宋体"/>
                <w:szCs w:val="18"/>
              </w:rPr>
            </w:pPr>
            <w:r>
              <w:rPr>
                <w:rFonts w:hint="eastAsia" w:hAnsi="宋体"/>
                <w:szCs w:val="18"/>
              </w:rPr>
              <w:t>理论考试+实操考核</w:t>
            </w:r>
          </w:p>
        </w:tc>
      </w:tr>
      <w:tr w14:paraId="50F2C9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vMerge w:val="continue"/>
            <w:tcBorders>
              <w:bottom w:val="single" w:color="auto" w:sz="4" w:space="0"/>
            </w:tcBorders>
            <w:vAlign w:val="center"/>
          </w:tcPr>
          <w:p w14:paraId="0D35360C">
            <w:pPr>
              <w:pStyle w:val="110"/>
              <w:widowControl w:val="0"/>
              <w:adjustRightInd w:val="0"/>
              <w:snapToGrid w:val="0"/>
              <w:rPr>
                <w:rFonts w:hAnsi="宋体"/>
                <w:szCs w:val="18"/>
              </w:rPr>
            </w:pPr>
          </w:p>
        </w:tc>
        <w:tc>
          <w:tcPr>
            <w:tcW w:w="811" w:type="dxa"/>
            <w:tcBorders>
              <w:bottom w:val="single" w:color="auto" w:sz="4" w:space="0"/>
            </w:tcBorders>
            <w:vAlign w:val="center"/>
          </w:tcPr>
          <w:p w14:paraId="78B8CA46">
            <w:pPr>
              <w:pStyle w:val="110"/>
              <w:widowControl w:val="0"/>
              <w:adjustRightInd w:val="0"/>
              <w:snapToGrid w:val="0"/>
              <w:rPr>
                <w:rFonts w:hAnsi="宋体"/>
                <w:szCs w:val="18"/>
              </w:rPr>
            </w:pPr>
            <w:r>
              <w:rPr>
                <w:rFonts w:hint="eastAsia" w:hAnsi="宋体"/>
                <w:szCs w:val="18"/>
              </w:rPr>
              <w:t>升降栈桥检验人员</w:t>
            </w:r>
          </w:p>
        </w:tc>
        <w:tc>
          <w:tcPr>
            <w:tcW w:w="5375" w:type="dxa"/>
            <w:tcBorders>
              <w:bottom w:val="single" w:color="auto" w:sz="4" w:space="0"/>
            </w:tcBorders>
            <w:vAlign w:val="center"/>
          </w:tcPr>
          <w:p w14:paraId="6DA71E72">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0B2207E8">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材料及材料力学，焊接，热处理，安全、质量管理等。</w:t>
            </w:r>
          </w:p>
          <w:p w14:paraId="48C9DAB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64AAB1B6">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升降栈桥基本知识，主要零部件、电气元件、液压元件，损伤模式识别及失效分析，安全保护及防护装置，液压系统、电气系统，基本构成与工作原理，设计、制造、安装、改造等。</w:t>
            </w:r>
          </w:p>
          <w:p w14:paraId="0A940F9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1050240A">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无损检测、投入使用前检测检验、定期检测检验及临时检测检验等。</w:t>
            </w:r>
          </w:p>
          <w:p w14:paraId="358E0B1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33EFA644">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348B4AA1">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46ED278E">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bottom w:val="single" w:color="auto" w:sz="4" w:space="0"/>
            </w:tcBorders>
            <w:vAlign w:val="center"/>
          </w:tcPr>
          <w:p w14:paraId="0605AAFE">
            <w:pPr>
              <w:pStyle w:val="110"/>
              <w:widowControl w:val="0"/>
              <w:rPr>
                <w:rFonts w:hAnsi="宋体"/>
              </w:rPr>
            </w:pPr>
            <w:r>
              <w:rPr>
                <w:rFonts w:hint="eastAsia" w:hAnsi="宋体"/>
                <w:szCs w:val="18"/>
              </w:rPr>
              <w:t>24学时</w:t>
            </w:r>
          </w:p>
        </w:tc>
        <w:tc>
          <w:tcPr>
            <w:tcW w:w="801" w:type="dxa"/>
            <w:tcBorders>
              <w:bottom w:val="single" w:color="auto" w:sz="4" w:space="0"/>
            </w:tcBorders>
            <w:vAlign w:val="center"/>
          </w:tcPr>
          <w:p w14:paraId="7CFD6D90">
            <w:pPr>
              <w:pStyle w:val="110"/>
              <w:widowControl w:val="0"/>
              <w:adjustRightInd w:val="0"/>
              <w:snapToGrid w:val="0"/>
              <w:rPr>
                <w:rFonts w:hAnsi="宋体"/>
                <w:szCs w:val="18"/>
              </w:rPr>
            </w:pPr>
            <w:r>
              <w:rPr>
                <w:rFonts w:hint="eastAsia" w:hAnsi="宋体"/>
                <w:szCs w:val="18"/>
              </w:rPr>
              <w:t>理论考试+实操考核</w:t>
            </w:r>
          </w:p>
        </w:tc>
      </w:tr>
    </w:tbl>
    <w:p w14:paraId="1D8E7D61">
      <w:pPr>
        <w:rPr>
          <w:rFonts w:ascii="宋体" w:hAnsi="宋体"/>
        </w:rPr>
      </w:pPr>
      <w:r>
        <w:rPr>
          <w:rFonts w:ascii="宋体" w:hAnsi="宋体"/>
          <w:szCs w:val="21"/>
        </w:rPr>
        <w:br w:type="page"/>
      </w:r>
    </w:p>
    <w:p w14:paraId="7BFB0735">
      <w:pPr>
        <w:pStyle w:val="43"/>
        <w:pageBreakBefore/>
        <w:spacing w:beforeLines="50" w:afterLines="50"/>
        <w:ind w:firstLine="0" w:firstLineChars="0"/>
        <w:jc w:val="center"/>
        <w:rPr>
          <w:rFonts w:hAnsi="宋体"/>
        </w:rPr>
      </w:pPr>
      <w:r>
        <w:rPr>
          <w:rFonts w:hint="eastAsia" w:hAnsi="宋体" w:eastAsia="黑体"/>
        </w:rPr>
        <w:t>表E.4  专业设备检验人员培训要求</w:t>
      </w:r>
      <w:r>
        <w:rPr>
          <w:rFonts w:hint="eastAsia" w:hAnsi="宋体"/>
        </w:rPr>
        <w:t>（续）</w:t>
      </w:r>
    </w:p>
    <w:tbl>
      <w:tblPr>
        <w:tblStyle w:val="26"/>
        <w:tblW w:w="89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66"/>
        <w:gridCol w:w="811"/>
        <w:gridCol w:w="5375"/>
        <w:gridCol w:w="810"/>
        <w:gridCol w:w="801"/>
      </w:tblGrid>
      <w:tr w14:paraId="777BEC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166" w:type="dxa"/>
            <w:tcBorders>
              <w:top w:val="single" w:color="auto" w:sz="8" w:space="0"/>
              <w:bottom w:val="single" w:color="auto" w:sz="8" w:space="0"/>
            </w:tcBorders>
            <w:vAlign w:val="center"/>
          </w:tcPr>
          <w:p w14:paraId="0A666926">
            <w:pPr>
              <w:pStyle w:val="110"/>
              <w:widowControl w:val="0"/>
              <w:rPr>
                <w:rFonts w:hAnsi="宋体"/>
              </w:rPr>
            </w:pPr>
            <w:r>
              <w:rPr>
                <w:rFonts w:hint="eastAsia" w:hAnsi="宋体"/>
                <w:szCs w:val="18"/>
              </w:rPr>
              <w:t>大类专业设备</w:t>
            </w:r>
          </w:p>
        </w:tc>
        <w:tc>
          <w:tcPr>
            <w:tcW w:w="811" w:type="dxa"/>
            <w:tcBorders>
              <w:top w:val="single" w:color="auto" w:sz="8" w:space="0"/>
              <w:bottom w:val="single" w:color="auto" w:sz="8" w:space="0"/>
            </w:tcBorders>
            <w:vAlign w:val="center"/>
          </w:tcPr>
          <w:p w14:paraId="38F93A76">
            <w:pPr>
              <w:pStyle w:val="110"/>
              <w:widowControl w:val="0"/>
              <w:rPr>
                <w:rFonts w:hAnsi="宋体"/>
              </w:rPr>
            </w:pPr>
            <w:r>
              <w:rPr>
                <w:rFonts w:hint="eastAsia" w:hAnsi="宋体"/>
                <w:szCs w:val="18"/>
              </w:rPr>
              <w:t>检验人员</w:t>
            </w:r>
          </w:p>
        </w:tc>
        <w:tc>
          <w:tcPr>
            <w:tcW w:w="5375" w:type="dxa"/>
            <w:tcBorders>
              <w:top w:val="single" w:color="auto" w:sz="8" w:space="0"/>
              <w:bottom w:val="single" w:color="auto" w:sz="8" w:space="0"/>
            </w:tcBorders>
            <w:vAlign w:val="center"/>
          </w:tcPr>
          <w:p w14:paraId="3F22211A">
            <w:pPr>
              <w:pStyle w:val="110"/>
              <w:widowControl w:val="0"/>
              <w:rPr>
                <w:rFonts w:hAnsi="宋体"/>
              </w:rPr>
            </w:pPr>
            <w:r>
              <w:rPr>
                <w:rFonts w:hint="eastAsia" w:hAnsi="宋体"/>
                <w:szCs w:val="18"/>
              </w:rPr>
              <w:t>培训内容</w:t>
            </w:r>
          </w:p>
        </w:tc>
        <w:tc>
          <w:tcPr>
            <w:tcW w:w="810" w:type="dxa"/>
            <w:tcBorders>
              <w:top w:val="single" w:color="auto" w:sz="8" w:space="0"/>
              <w:bottom w:val="single" w:color="auto" w:sz="8" w:space="0"/>
            </w:tcBorders>
            <w:vAlign w:val="center"/>
          </w:tcPr>
          <w:p w14:paraId="78B72EB3">
            <w:pPr>
              <w:pStyle w:val="110"/>
              <w:widowControl w:val="0"/>
              <w:rPr>
                <w:rFonts w:hAnsi="宋体"/>
              </w:rPr>
            </w:pPr>
            <w:r>
              <w:rPr>
                <w:rFonts w:hint="eastAsia" w:hAnsi="宋体"/>
                <w:szCs w:val="18"/>
              </w:rPr>
              <w:t>培训学时</w:t>
            </w:r>
          </w:p>
        </w:tc>
        <w:tc>
          <w:tcPr>
            <w:tcW w:w="801" w:type="dxa"/>
            <w:tcBorders>
              <w:top w:val="single" w:color="auto" w:sz="8" w:space="0"/>
              <w:bottom w:val="single" w:color="auto" w:sz="8" w:space="0"/>
            </w:tcBorders>
            <w:vAlign w:val="center"/>
          </w:tcPr>
          <w:p w14:paraId="495FB847">
            <w:pPr>
              <w:pStyle w:val="110"/>
              <w:widowControl w:val="0"/>
              <w:rPr>
                <w:rFonts w:hAnsi="宋体"/>
              </w:rPr>
            </w:pPr>
            <w:r>
              <w:rPr>
                <w:rFonts w:hint="eastAsia" w:hAnsi="宋体"/>
                <w:szCs w:val="18"/>
              </w:rPr>
              <w:t>考核方式</w:t>
            </w:r>
          </w:p>
        </w:tc>
      </w:tr>
      <w:tr w14:paraId="1FB754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vMerge w:val="restart"/>
            <w:tcBorders>
              <w:top w:val="single" w:color="auto" w:sz="4" w:space="0"/>
            </w:tcBorders>
            <w:vAlign w:val="center"/>
          </w:tcPr>
          <w:p w14:paraId="0C2B6034">
            <w:pPr>
              <w:pStyle w:val="110"/>
              <w:widowControl w:val="0"/>
              <w:adjustRightInd w:val="0"/>
              <w:snapToGrid w:val="0"/>
              <w:rPr>
                <w:rFonts w:hint="eastAsia" w:hAnsi="宋体"/>
                <w:szCs w:val="18"/>
              </w:rPr>
            </w:pPr>
            <w:r>
              <w:rPr>
                <w:rFonts w:hint="eastAsia" w:hAnsi="宋体"/>
                <w:szCs w:val="18"/>
              </w:rPr>
              <w:t>起重和升降</w:t>
            </w:r>
          </w:p>
          <w:p w14:paraId="0CFC6B2B">
            <w:pPr>
              <w:pStyle w:val="110"/>
              <w:widowControl w:val="0"/>
              <w:adjustRightInd w:val="0"/>
              <w:snapToGrid w:val="0"/>
              <w:rPr>
                <w:rFonts w:hAnsi="宋体"/>
                <w:szCs w:val="18"/>
              </w:rPr>
            </w:pPr>
            <w:r>
              <w:rPr>
                <w:rFonts w:hint="eastAsia" w:hAnsi="宋体"/>
                <w:szCs w:val="18"/>
              </w:rPr>
              <w:t>设备</w:t>
            </w:r>
          </w:p>
        </w:tc>
        <w:tc>
          <w:tcPr>
            <w:tcW w:w="811" w:type="dxa"/>
            <w:tcBorders>
              <w:top w:val="single" w:color="auto" w:sz="4" w:space="0"/>
              <w:bottom w:val="single" w:color="auto" w:sz="4" w:space="0"/>
            </w:tcBorders>
            <w:vAlign w:val="center"/>
          </w:tcPr>
          <w:p w14:paraId="5009B398">
            <w:pPr>
              <w:pStyle w:val="110"/>
              <w:widowControl w:val="0"/>
              <w:adjustRightInd w:val="0"/>
              <w:snapToGrid w:val="0"/>
              <w:rPr>
                <w:rFonts w:hAnsi="宋体"/>
                <w:szCs w:val="18"/>
              </w:rPr>
            </w:pPr>
            <w:r>
              <w:rPr>
                <w:rFonts w:hint="eastAsia" w:hAnsi="宋体"/>
                <w:szCs w:val="18"/>
              </w:rPr>
              <w:t>升降机检验人员</w:t>
            </w:r>
          </w:p>
        </w:tc>
        <w:tc>
          <w:tcPr>
            <w:tcW w:w="5375" w:type="dxa"/>
            <w:tcBorders>
              <w:top w:val="single" w:color="auto" w:sz="4" w:space="0"/>
              <w:bottom w:val="single" w:color="auto" w:sz="4" w:space="0"/>
            </w:tcBorders>
            <w:vAlign w:val="center"/>
          </w:tcPr>
          <w:p w14:paraId="66D5DF0F">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58AF5BA7">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材料及材料力学，焊接，热处理，安全、质量管理等。</w:t>
            </w:r>
          </w:p>
          <w:p w14:paraId="4CBAA53F">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1AB47732">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升降机基本知识，主要零部件、电气元件、液压元件，损伤模式识别及失效分析，安全保护及防护装置，液压系统、电气系统，基本构成与工作原理，设计、制造、安装、改造等。</w:t>
            </w:r>
          </w:p>
          <w:p w14:paraId="2022D51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73EB1EDB">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投入使用前检测检验、临时检测检验等。</w:t>
            </w:r>
          </w:p>
          <w:p w14:paraId="2F7E727F">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0B9CED7A">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50AA2F7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4895F7D9">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top w:val="single" w:color="auto" w:sz="4" w:space="0"/>
              <w:bottom w:val="single" w:color="auto" w:sz="4" w:space="0"/>
            </w:tcBorders>
            <w:vAlign w:val="center"/>
          </w:tcPr>
          <w:p w14:paraId="5A407965">
            <w:pPr>
              <w:pStyle w:val="110"/>
              <w:widowControl w:val="0"/>
              <w:rPr>
                <w:rFonts w:hAnsi="宋体"/>
              </w:rPr>
            </w:pPr>
            <w:r>
              <w:rPr>
                <w:rFonts w:hint="eastAsia" w:hAnsi="宋体"/>
                <w:szCs w:val="18"/>
              </w:rPr>
              <w:t>24学时</w:t>
            </w:r>
          </w:p>
        </w:tc>
        <w:tc>
          <w:tcPr>
            <w:tcW w:w="801" w:type="dxa"/>
            <w:tcBorders>
              <w:top w:val="single" w:color="auto" w:sz="4" w:space="0"/>
              <w:bottom w:val="single" w:color="auto" w:sz="4" w:space="0"/>
            </w:tcBorders>
            <w:vAlign w:val="center"/>
          </w:tcPr>
          <w:p w14:paraId="4D85F25D">
            <w:pPr>
              <w:pStyle w:val="110"/>
              <w:widowControl w:val="0"/>
              <w:adjustRightInd w:val="0"/>
              <w:snapToGrid w:val="0"/>
              <w:rPr>
                <w:rFonts w:hAnsi="宋体"/>
                <w:szCs w:val="18"/>
              </w:rPr>
            </w:pPr>
            <w:r>
              <w:rPr>
                <w:rFonts w:hint="eastAsia" w:hAnsi="宋体"/>
                <w:szCs w:val="18"/>
              </w:rPr>
              <w:t>理论考试+实操考核</w:t>
            </w:r>
          </w:p>
        </w:tc>
      </w:tr>
      <w:tr w14:paraId="4168B9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vMerge w:val="continue"/>
            <w:vAlign w:val="center"/>
          </w:tcPr>
          <w:p w14:paraId="5631E130">
            <w:pPr>
              <w:pStyle w:val="110"/>
              <w:widowControl w:val="0"/>
              <w:adjustRightInd w:val="0"/>
              <w:snapToGrid w:val="0"/>
              <w:rPr>
                <w:rFonts w:hAnsi="宋体"/>
                <w:szCs w:val="18"/>
              </w:rPr>
            </w:pPr>
          </w:p>
        </w:tc>
        <w:tc>
          <w:tcPr>
            <w:tcW w:w="811" w:type="dxa"/>
            <w:tcBorders>
              <w:top w:val="single" w:color="auto" w:sz="4" w:space="0"/>
            </w:tcBorders>
            <w:vAlign w:val="center"/>
          </w:tcPr>
          <w:p w14:paraId="5C1CC4F2">
            <w:pPr>
              <w:pStyle w:val="110"/>
              <w:widowControl w:val="0"/>
              <w:adjustRightInd w:val="0"/>
              <w:snapToGrid w:val="0"/>
              <w:rPr>
                <w:rFonts w:hAnsi="宋体"/>
                <w:szCs w:val="18"/>
              </w:rPr>
            </w:pPr>
            <w:r>
              <w:rPr>
                <w:rFonts w:hint="eastAsia" w:hAnsi="宋体"/>
                <w:szCs w:val="18"/>
              </w:rPr>
              <w:t>电梯检验人员</w:t>
            </w:r>
          </w:p>
        </w:tc>
        <w:tc>
          <w:tcPr>
            <w:tcW w:w="5375" w:type="dxa"/>
            <w:tcBorders>
              <w:top w:val="single" w:color="auto" w:sz="4" w:space="0"/>
            </w:tcBorders>
            <w:vAlign w:val="center"/>
          </w:tcPr>
          <w:p w14:paraId="34380830">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58C554D5">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材料及材料力学，安全、质量管理等。</w:t>
            </w:r>
          </w:p>
          <w:p w14:paraId="5C83153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3858E439">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电梯基本知识，主要零部件、电气元件、液压元件，损伤模式识别及失效分析，安全保护装置，液压系统、电气系统，基本构成与工作原理，电梯设计、制造、安装、改造等。</w:t>
            </w:r>
          </w:p>
          <w:p w14:paraId="5C101875">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10E494E2">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投入使用前检测检验、定期检测检验及临时检测检验等。</w:t>
            </w:r>
          </w:p>
          <w:p w14:paraId="546044E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3E413530">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3F4B40B5">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56CE515D">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top w:val="single" w:color="auto" w:sz="4" w:space="0"/>
            </w:tcBorders>
            <w:vAlign w:val="center"/>
          </w:tcPr>
          <w:p w14:paraId="1D735150">
            <w:pPr>
              <w:pStyle w:val="110"/>
              <w:widowControl w:val="0"/>
              <w:rPr>
                <w:rFonts w:hAnsi="宋体"/>
              </w:rPr>
            </w:pPr>
            <w:r>
              <w:rPr>
                <w:rFonts w:hint="eastAsia" w:hAnsi="宋体"/>
                <w:szCs w:val="18"/>
              </w:rPr>
              <w:t>24学时</w:t>
            </w:r>
          </w:p>
        </w:tc>
        <w:tc>
          <w:tcPr>
            <w:tcW w:w="801" w:type="dxa"/>
            <w:tcBorders>
              <w:top w:val="single" w:color="auto" w:sz="4" w:space="0"/>
            </w:tcBorders>
            <w:vAlign w:val="center"/>
          </w:tcPr>
          <w:p w14:paraId="3D80CD18">
            <w:pPr>
              <w:pStyle w:val="110"/>
              <w:widowControl w:val="0"/>
              <w:adjustRightInd w:val="0"/>
              <w:snapToGrid w:val="0"/>
              <w:rPr>
                <w:rFonts w:hAnsi="宋体"/>
                <w:szCs w:val="18"/>
              </w:rPr>
            </w:pPr>
            <w:r>
              <w:rPr>
                <w:rFonts w:hint="eastAsia" w:hAnsi="宋体"/>
                <w:szCs w:val="18"/>
              </w:rPr>
              <w:t>理论考试+实操考核</w:t>
            </w:r>
          </w:p>
        </w:tc>
      </w:tr>
      <w:tr w14:paraId="2E6FC7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tcBorders>
              <w:bottom w:val="single" w:color="auto" w:sz="4" w:space="0"/>
            </w:tcBorders>
            <w:vAlign w:val="center"/>
          </w:tcPr>
          <w:p w14:paraId="50D28B3E">
            <w:pPr>
              <w:pStyle w:val="110"/>
              <w:widowControl w:val="0"/>
              <w:adjustRightInd w:val="0"/>
              <w:snapToGrid w:val="0"/>
              <w:rPr>
                <w:rFonts w:hAnsi="宋体"/>
                <w:szCs w:val="18"/>
              </w:rPr>
            </w:pPr>
            <w:r>
              <w:rPr>
                <w:rFonts w:hint="eastAsia" w:hAnsi="宋体"/>
                <w:szCs w:val="18"/>
              </w:rPr>
              <w:t>火灾和可燃气体探测报警及控制系统</w:t>
            </w:r>
          </w:p>
        </w:tc>
        <w:tc>
          <w:tcPr>
            <w:tcW w:w="811" w:type="dxa"/>
            <w:tcBorders>
              <w:bottom w:val="single" w:color="auto" w:sz="4" w:space="0"/>
            </w:tcBorders>
            <w:vAlign w:val="center"/>
          </w:tcPr>
          <w:p w14:paraId="39F1B79E">
            <w:pPr>
              <w:pStyle w:val="110"/>
              <w:widowControl w:val="0"/>
              <w:adjustRightInd w:val="0"/>
              <w:snapToGrid w:val="0"/>
              <w:rPr>
                <w:rFonts w:hAnsi="宋体"/>
                <w:szCs w:val="18"/>
              </w:rPr>
            </w:pPr>
            <w:r>
              <w:rPr>
                <w:rFonts w:hint="eastAsia" w:hAnsi="宋体" w:cs="宋体"/>
                <w:szCs w:val="18"/>
              </w:rPr>
              <w:t>可燃气体、有毒有害气体探测报警系统检验人员/火灾自动报警系统检验人员</w:t>
            </w:r>
          </w:p>
        </w:tc>
        <w:tc>
          <w:tcPr>
            <w:tcW w:w="5375" w:type="dxa"/>
            <w:tcBorders>
              <w:bottom w:val="single" w:color="auto" w:sz="4" w:space="0"/>
            </w:tcBorders>
            <w:vAlign w:val="center"/>
          </w:tcPr>
          <w:p w14:paraId="4FFAE792">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1F2FA848">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海洋石油工艺流程基本知识，海洋石油仪控系统基本知识，安全、质量管理等。</w:t>
            </w:r>
          </w:p>
          <w:p w14:paraId="0AFCF3C1">
            <w:pPr>
              <w:pStyle w:val="99"/>
              <w:widowControl/>
              <w:autoSpaceDE w:val="0"/>
              <w:autoSpaceDN w:val="0"/>
              <w:adjustRightInd w:val="0"/>
              <w:snapToGrid w:val="0"/>
              <w:ind w:right="104" w:firstLine="0" w:firstLineChars="0"/>
              <w:jc w:val="left"/>
              <w:textAlignment w:val="baseline"/>
              <w:rPr>
                <w:rFonts w:cs="Times New Roman"/>
                <w:sz w:val="18"/>
                <w:szCs w:val="18"/>
              </w:rPr>
            </w:pPr>
            <w:r>
              <w:rPr>
                <w:rFonts w:hint="eastAsia" w:cs="Times New Roman"/>
                <w:sz w:val="18"/>
                <w:szCs w:val="18"/>
              </w:rPr>
              <w:t>2.专业设备知识</w:t>
            </w:r>
          </w:p>
          <w:p w14:paraId="47DB49DD">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火灾和可燃气体探测报警及控制系统基本知识，工作原理、技术要求，报警区域与探测区域，常见故障分析与排除等。</w:t>
            </w:r>
          </w:p>
          <w:p w14:paraId="46A96051">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5C162D33">
            <w:pPr>
              <w:pStyle w:val="99"/>
              <w:widowControl/>
              <w:autoSpaceDE w:val="0"/>
              <w:autoSpaceDN w:val="0"/>
              <w:adjustRightInd w:val="0"/>
              <w:snapToGrid w:val="0"/>
              <w:ind w:right="102" w:firstLine="360"/>
              <w:jc w:val="left"/>
              <w:textAlignment w:val="baseline"/>
              <w:rPr>
                <w:rFonts w:cs="Times New Roman"/>
                <w:sz w:val="18"/>
                <w:szCs w:val="18"/>
              </w:rPr>
            </w:pPr>
            <w:r>
              <w:rPr>
                <w:rFonts w:hint="eastAsia" w:cs="Times New Roman"/>
                <w:sz w:val="18"/>
                <w:szCs w:val="18"/>
              </w:rPr>
              <w:t>火灾和可燃气体探测报警及控制系统检测方法、投入使用前检测检验、定期检测检验及临时检测检验等。</w:t>
            </w:r>
          </w:p>
          <w:p w14:paraId="1005653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6F317228">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32891B66">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738B49DB">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bottom w:val="single" w:color="auto" w:sz="4" w:space="0"/>
            </w:tcBorders>
            <w:vAlign w:val="center"/>
          </w:tcPr>
          <w:p w14:paraId="3A961ADC">
            <w:pPr>
              <w:pStyle w:val="110"/>
              <w:widowControl w:val="0"/>
              <w:rPr>
                <w:rFonts w:hAnsi="宋体"/>
              </w:rPr>
            </w:pPr>
            <w:r>
              <w:rPr>
                <w:rFonts w:hint="eastAsia" w:hAnsi="宋体"/>
                <w:szCs w:val="18"/>
              </w:rPr>
              <w:t>24学时</w:t>
            </w:r>
          </w:p>
        </w:tc>
        <w:tc>
          <w:tcPr>
            <w:tcW w:w="801" w:type="dxa"/>
            <w:tcBorders>
              <w:bottom w:val="single" w:color="auto" w:sz="4" w:space="0"/>
            </w:tcBorders>
            <w:vAlign w:val="center"/>
          </w:tcPr>
          <w:p w14:paraId="329EC3A4">
            <w:pPr>
              <w:pStyle w:val="110"/>
              <w:widowControl w:val="0"/>
              <w:adjustRightInd w:val="0"/>
              <w:snapToGrid w:val="0"/>
              <w:rPr>
                <w:rFonts w:hAnsi="宋体"/>
              </w:rPr>
            </w:pPr>
            <w:r>
              <w:rPr>
                <w:rFonts w:hint="eastAsia" w:hAnsi="宋体"/>
                <w:szCs w:val="18"/>
              </w:rPr>
              <w:t>理论考试+实操考核</w:t>
            </w:r>
          </w:p>
        </w:tc>
      </w:tr>
    </w:tbl>
    <w:p w14:paraId="26865876">
      <w:pPr>
        <w:rPr>
          <w:rFonts w:ascii="宋体" w:hAnsi="宋体"/>
        </w:rPr>
      </w:pPr>
      <w:r>
        <w:rPr>
          <w:rFonts w:ascii="宋体" w:hAnsi="宋体"/>
          <w:szCs w:val="21"/>
        </w:rPr>
        <w:br w:type="page"/>
      </w:r>
    </w:p>
    <w:p w14:paraId="727A97EF">
      <w:pPr>
        <w:pStyle w:val="43"/>
        <w:pageBreakBefore/>
        <w:spacing w:beforeLines="50" w:afterLines="50"/>
        <w:ind w:firstLine="0" w:firstLineChars="0"/>
        <w:jc w:val="center"/>
        <w:rPr>
          <w:rFonts w:hAnsi="宋体"/>
        </w:rPr>
      </w:pPr>
      <w:r>
        <w:rPr>
          <w:rFonts w:hint="eastAsia" w:hAnsi="宋体" w:eastAsia="黑体"/>
        </w:rPr>
        <w:t>表E.4  专业设备检验人员培训要求</w:t>
      </w:r>
      <w:r>
        <w:rPr>
          <w:rFonts w:hint="eastAsia" w:hAnsi="宋体"/>
        </w:rPr>
        <w:t>（续）</w:t>
      </w:r>
    </w:p>
    <w:tbl>
      <w:tblPr>
        <w:tblStyle w:val="26"/>
        <w:tblW w:w="89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66"/>
        <w:gridCol w:w="811"/>
        <w:gridCol w:w="5375"/>
        <w:gridCol w:w="810"/>
        <w:gridCol w:w="801"/>
      </w:tblGrid>
      <w:tr w14:paraId="426524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166" w:type="dxa"/>
            <w:tcBorders>
              <w:top w:val="single" w:color="auto" w:sz="8" w:space="0"/>
              <w:bottom w:val="single" w:color="auto" w:sz="8" w:space="0"/>
            </w:tcBorders>
            <w:vAlign w:val="center"/>
          </w:tcPr>
          <w:p w14:paraId="37400F7F">
            <w:pPr>
              <w:pStyle w:val="110"/>
              <w:widowControl w:val="0"/>
              <w:rPr>
                <w:rFonts w:hAnsi="宋体"/>
              </w:rPr>
            </w:pPr>
            <w:r>
              <w:rPr>
                <w:rFonts w:hint="eastAsia" w:hAnsi="宋体"/>
                <w:szCs w:val="18"/>
              </w:rPr>
              <w:t>大类专业设备</w:t>
            </w:r>
          </w:p>
        </w:tc>
        <w:tc>
          <w:tcPr>
            <w:tcW w:w="811" w:type="dxa"/>
            <w:tcBorders>
              <w:top w:val="single" w:color="auto" w:sz="8" w:space="0"/>
              <w:bottom w:val="single" w:color="auto" w:sz="8" w:space="0"/>
            </w:tcBorders>
            <w:vAlign w:val="center"/>
          </w:tcPr>
          <w:p w14:paraId="0C110697">
            <w:pPr>
              <w:pStyle w:val="110"/>
              <w:widowControl w:val="0"/>
              <w:rPr>
                <w:rFonts w:hAnsi="宋体"/>
              </w:rPr>
            </w:pPr>
            <w:r>
              <w:rPr>
                <w:rFonts w:hint="eastAsia" w:hAnsi="宋体"/>
                <w:szCs w:val="18"/>
              </w:rPr>
              <w:t>检验人员</w:t>
            </w:r>
          </w:p>
        </w:tc>
        <w:tc>
          <w:tcPr>
            <w:tcW w:w="5375" w:type="dxa"/>
            <w:tcBorders>
              <w:top w:val="single" w:color="auto" w:sz="8" w:space="0"/>
              <w:bottom w:val="single" w:color="auto" w:sz="8" w:space="0"/>
            </w:tcBorders>
            <w:vAlign w:val="center"/>
          </w:tcPr>
          <w:p w14:paraId="3D6013FB">
            <w:pPr>
              <w:pStyle w:val="110"/>
              <w:widowControl w:val="0"/>
              <w:rPr>
                <w:rFonts w:hAnsi="宋体"/>
              </w:rPr>
            </w:pPr>
            <w:r>
              <w:rPr>
                <w:rFonts w:hint="eastAsia" w:hAnsi="宋体"/>
                <w:szCs w:val="18"/>
              </w:rPr>
              <w:t>培训内容</w:t>
            </w:r>
          </w:p>
        </w:tc>
        <w:tc>
          <w:tcPr>
            <w:tcW w:w="810" w:type="dxa"/>
            <w:tcBorders>
              <w:top w:val="single" w:color="auto" w:sz="8" w:space="0"/>
              <w:bottom w:val="single" w:color="auto" w:sz="8" w:space="0"/>
            </w:tcBorders>
            <w:vAlign w:val="center"/>
          </w:tcPr>
          <w:p w14:paraId="63E8DBDC">
            <w:pPr>
              <w:pStyle w:val="110"/>
              <w:widowControl w:val="0"/>
              <w:rPr>
                <w:rFonts w:hAnsi="宋体"/>
              </w:rPr>
            </w:pPr>
            <w:r>
              <w:rPr>
                <w:rFonts w:hint="eastAsia" w:hAnsi="宋体"/>
                <w:szCs w:val="18"/>
              </w:rPr>
              <w:t>培训学时</w:t>
            </w:r>
          </w:p>
        </w:tc>
        <w:tc>
          <w:tcPr>
            <w:tcW w:w="801" w:type="dxa"/>
            <w:tcBorders>
              <w:top w:val="single" w:color="auto" w:sz="8" w:space="0"/>
              <w:bottom w:val="single" w:color="auto" w:sz="8" w:space="0"/>
            </w:tcBorders>
            <w:vAlign w:val="center"/>
          </w:tcPr>
          <w:p w14:paraId="5C041E47">
            <w:pPr>
              <w:pStyle w:val="110"/>
              <w:widowControl w:val="0"/>
              <w:rPr>
                <w:rFonts w:hAnsi="宋体"/>
              </w:rPr>
            </w:pPr>
            <w:r>
              <w:rPr>
                <w:rFonts w:hint="eastAsia" w:hAnsi="宋体"/>
                <w:szCs w:val="18"/>
              </w:rPr>
              <w:t>考核方式</w:t>
            </w:r>
          </w:p>
        </w:tc>
      </w:tr>
      <w:tr w14:paraId="48926C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tcBorders>
              <w:top w:val="single" w:color="auto" w:sz="4" w:space="0"/>
              <w:bottom w:val="single" w:color="auto" w:sz="4" w:space="0"/>
            </w:tcBorders>
            <w:vAlign w:val="center"/>
          </w:tcPr>
          <w:p w14:paraId="15E7BDFE">
            <w:pPr>
              <w:pStyle w:val="110"/>
              <w:widowControl w:val="0"/>
              <w:adjustRightInd w:val="0"/>
              <w:snapToGrid w:val="0"/>
              <w:rPr>
                <w:rFonts w:hAnsi="宋体"/>
                <w:szCs w:val="18"/>
              </w:rPr>
            </w:pPr>
            <w:r>
              <w:rPr>
                <w:rFonts w:hint="eastAsia" w:hAnsi="宋体"/>
                <w:szCs w:val="18"/>
              </w:rPr>
              <w:t>安全阀</w:t>
            </w:r>
          </w:p>
        </w:tc>
        <w:tc>
          <w:tcPr>
            <w:tcW w:w="811" w:type="dxa"/>
            <w:tcBorders>
              <w:top w:val="single" w:color="auto" w:sz="4" w:space="0"/>
              <w:bottom w:val="single" w:color="auto" w:sz="4" w:space="0"/>
            </w:tcBorders>
            <w:vAlign w:val="center"/>
          </w:tcPr>
          <w:p w14:paraId="76BBFEF3">
            <w:pPr>
              <w:pStyle w:val="110"/>
              <w:widowControl w:val="0"/>
              <w:adjustRightInd w:val="0"/>
              <w:snapToGrid w:val="0"/>
              <w:rPr>
                <w:rFonts w:hAnsi="宋体"/>
                <w:szCs w:val="18"/>
              </w:rPr>
            </w:pPr>
            <w:r>
              <w:rPr>
                <w:rFonts w:hint="eastAsia" w:hAnsi="宋体"/>
                <w:szCs w:val="18"/>
              </w:rPr>
              <w:t>安全阀检验人员/</w:t>
            </w:r>
            <w:r>
              <w:rPr>
                <w:rFonts w:hint="eastAsia" w:hAnsi="宋体" w:cs="宋体"/>
                <w:szCs w:val="18"/>
              </w:rPr>
              <w:t>呼吸阀检验人员</w:t>
            </w:r>
          </w:p>
        </w:tc>
        <w:tc>
          <w:tcPr>
            <w:tcW w:w="5375" w:type="dxa"/>
            <w:tcBorders>
              <w:top w:val="single" w:color="auto" w:sz="4" w:space="0"/>
              <w:bottom w:val="single" w:color="auto" w:sz="4" w:space="0"/>
            </w:tcBorders>
            <w:vAlign w:val="center"/>
          </w:tcPr>
          <w:p w14:paraId="08834F12">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21F96676">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海洋石油工艺流程基本知识，安全阀/呼吸阀材料，安全、质量管理等。</w:t>
            </w:r>
          </w:p>
          <w:p w14:paraId="543C05CF">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470A5EC2">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安全阀/呼吸阀基本知识，</w:t>
            </w:r>
            <w:r>
              <w:rPr>
                <w:rFonts w:hint="eastAsia" w:cs="Times New Roman"/>
                <w:spacing w:val="-1"/>
                <w:sz w:val="18"/>
                <w:szCs w:val="18"/>
              </w:rPr>
              <w:t>工作原理、技术要求</w:t>
            </w:r>
            <w:r>
              <w:rPr>
                <w:rFonts w:hint="eastAsia" w:cs="Times New Roman"/>
                <w:sz w:val="18"/>
                <w:szCs w:val="18"/>
              </w:rPr>
              <w:t>，安全阀/呼吸阀设计、制造、安装及维护保养等。</w:t>
            </w:r>
          </w:p>
          <w:p w14:paraId="7103C8F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0D826755">
            <w:pPr>
              <w:pStyle w:val="99"/>
              <w:widowControl/>
              <w:autoSpaceDE w:val="0"/>
              <w:autoSpaceDN w:val="0"/>
              <w:adjustRightInd w:val="0"/>
              <w:snapToGrid w:val="0"/>
              <w:ind w:left="42" w:leftChars="20" w:right="102" w:firstLine="360"/>
              <w:jc w:val="left"/>
              <w:textAlignment w:val="baseline"/>
              <w:rPr>
                <w:rFonts w:cs="Times New Roman"/>
                <w:spacing w:val="-1"/>
                <w:sz w:val="18"/>
                <w:szCs w:val="18"/>
              </w:rPr>
            </w:pPr>
            <w:r>
              <w:rPr>
                <w:rFonts w:hint="eastAsia" w:cs="Times New Roman"/>
                <w:sz w:val="18"/>
                <w:szCs w:val="18"/>
              </w:rPr>
              <w:t>安全阀/呼吸阀</w:t>
            </w:r>
            <w:r>
              <w:rPr>
                <w:rFonts w:hint="eastAsia" w:cs="Times New Roman"/>
                <w:spacing w:val="-1"/>
                <w:sz w:val="18"/>
                <w:szCs w:val="18"/>
              </w:rPr>
              <w:t>在线/离线检测方法、投入使用前检测检验、定期检测检验及临时检测检验等。</w:t>
            </w:r>
          </w:p>
          <w:p w14:paraId="584492D4">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71C88364">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651668DA">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029BADDC">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top w:val="single" w:color="auto" w:sz="4" w:space="0"/>
              <w:bottom w:val="single" w:color="auto" w:sz="4" w:space="0"/>
            </w:tcBorders>
            <w:vAlign w:val="center"/>
          </w:tcPr>
          <w:p w14:paraId="09D56F48">
            <w:pPr>
              <w:pStyle w:val="110"/>
              <w:widowControl w:val="0"/>
              <w:rPr>
                <w:rFonts w:hAnsi="宋体"/>
              </w:rPr>
            </w:pPr>
            <w:r>
              <w:rPr>
                <w:rFonts w:hint="eastAsia" w:hAnsi="宋体"/>
                <w:szCs w:val="18"/>
              </w:rPr>
              <w:t>24学时</w:t>
            </w:r>
          </w:p>
        </w:tc>
        <w:tc>
          <w:tcPr>
            <w:tcW w:w="801" w:type="dxa"/>
            <w:tcBorders>
              <w:top w:val="single" w:color="auto" w:sz="4" w:space="0"/>
              <w:bottom w:val="single" w:color="auto" w:sz="4" w:space="0"/>
            </w:tcBorders>
            <w:vAlign w:val="center"/>
          </w:tcPr>
          <w:p w14:paraId="67473579">
            <w:pPr>
              <w:pStyle w:val="110"/>
              <w:widowControl w:val="0"/>
              <w:adjustRightInd w:val="0"/>
              <w:snapToGrid w:val="0"/>
              <w:rPr>
                <w:rFonts w:hAnsi="宋体"/>
                <w:szCs w:val="18"/>
              </w:rPr>
            </w:pPr>
            <w:r>
              <w:rPr>
                <w:rFonts w:hint="eastAsia" w:hAnsi="宋体"/>
                <w:szCs w:val="18"/>
              </w:rPr>
              <w:t>理论考试+实操考核</w:t>
            </w:r>
          </w:p>
        </w:tc>
      </w:tr>
      <w:tr w14:paraId="30FCB4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vMerge w:val="restart"/>
            <w:tcBorders>
              <w:top w:val="single" w:color="auto" w:sz="4" w:space="0"/>
            </w:tcBorders>
            <w:vAlign w:val="center"/>
          </w:tcPr>
          <w:p w14:paraId="607CF78B">
            <w:pPr>
              <w:pStyle w:val="110"/>
              <w:widowControl w:val="0"/>
              <w:adjustRightInd w:val="0"/>
              <w:snapToGrid w:val="0"/>
              <w:rPr>
                <w:rFonts w:hAnsi="宋体"/>
              </w:rPr>
            </w:pPr>
            <w:r>
              <w:rPr>
                <w:rFonts w:hint="eastAsia" w:hAnsi="宋体"/>
                <w:szCs w:val="18"/>
              </w:rPr>
              <w:t>救生设备</w:t>
            </w:r>
          </w:p>
        </w:tc>
        <w:tc>
          <w:tcPr>
            <w:tcW w:w="811" w:type="dxa"/>
            <w:tcBorders>
              <w:top w:val="single" w:color="auto" w:sz="4" w:space="0"/>
            </w:tcBorders>
            <w:vAlign w:val="center"/>
          </w:tcPr>
          <w:p w14:paraId="704D9850">
            <w:pPr>
              <w:pStyle w:val="110"/>
              <w:widowControl w:val="0"/>
              <w:adjustRightInd w:val="0"/>
              <w:snapToGrid w:val="0"/>
              <w:rPr>
                <w:rFonts w:hAnsi="宋体"/>
                <w:szCs w:val="18"/>
              </w:rPr>
            </w:pPr>
            <w:r>
              <w:rPr>
                <w:rFonts w:hint="eastAsia" w:hAnsi="宋体"/>
                <w:szCs w:val="18"/>
              </w:rPr>
              <w:t>救生艇/救助艇检验人员</w:t>
            </w:r>
          </w:p>
        </w:tc>
        <w:tc>
          <w:tcPr>
            <w:tcW w:w="5375" w:type="dxa"/>
            <w:tcBorders>
              <w:top w:val="single" w:color="auto" w:sz="4" w:space="0"/>
            </w:tcBorders>
            <w:vAlign w:val="center"/>
          </w:tcPr>
          <w:p w14:paraId="204E901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05FC5B49">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材料及材料力学，安全、质量管理等。</w:t>
            </w:r>
          </w:p>
          <w:p w14:paraId="3C35A589">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53AA18B3">
            <w:pPr>
              <w:pStyle w:val="99"/>
              <w:widowControl/>
              <w:autoSpaceDE w:val="0"/>
              <w:autoSpaceDN w:val="0"/>
              <w:adjustRightInd w:val="0"/>
              <w:snapToGrid w:val="0"/>
              <w:ind w:left="42" w:leftChars="20" w:right="102" w:firstLine="352"/>
              <w:jc w:val="left"/>
              <w:textAlignment w:val="baseline"/>
              <w:rPr>
                <w:rFonts w:cs="Times New Roman"/>
                <w:sz w:val="18"/>
                <w:szCs w:val="18"/>
              </w:rPr>
            </w:pPr>
            <w:r>
              <w:rPr>
                <w:rFonts w:hint="eastAsia" w:cs="Times New Roman"/>
                <w:spacing w:val="-2"/>
                <w:sz w:val="18"/>
                <w:szCs w:val="18"/>
              </w:rPr>
              <w:t>救生艇/救助艇</w:t>
            </w:r>
            <w:r>
              <w:rPr>
                <w:rFonts w:hint="eastAsia" w:cs="Times New Roman"/>
                <w:sz w:val="18"/>
                <w:szCs w:val="18"/>
              </w:rPr>
              <w:t>基本知识，设计、制造、安装、改造，主要零部件、电气元件，安全保护及防护装置，电气系统，基本构成与工作原理，损伤模式识别及失效分析等。</w:t>
            </w:r>
          </w:p>
          <w:p w14:paraId="2CF03D60">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38FC3F90">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无损检测、投入使用前检测检验、定期检测检验及临时检测检验等。</w:t>
            </w:r>
          </w:p>
          <w:p w14:paraId="09DFBD60">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5F9F0BE6">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2491E648">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3820F5ED">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tcBorders>
              <w:top w:val="single" w:color="auto" w:sz="4" w:space="0"/>
            </w:tcBorders>
            <w:vAlign w:val="center"/>
          </w:tcPr>
          <w:p w14:paraId="7369CBBF">
            <w:pPr>
              <w:pStyle w:val="110"/>
              <w:widowControl w:val="0"/>
              <w:rPr>
                <w:rFonts w:hAnsi="宋体"/>
              </w:rPr>
            </w:pPr>
            <w:r>
              <w:rPr>
                <w:rFonts w:hint="eastAsia" w:hAnsi="宋体"/>
                <w:szCs w:val="18"/>
              </w:rPr>
              <w:t>40学时</w:t>
            </w:r>
          </w:p>
        </w:tc>
        <w:tc>
          <w:tcPr>
            <w:tcW w:w="801" w:type="dxa"/>
            <w:tcBorders>
              <w:top w:val="single" w:color="auto" w:sz="4" w:space="0"/>
            </w:tcBorders>
            <w:vAlign w:val="center"/>
          </w:tcPr>
          <w:p w14:paraId="2583C171">
            <w:pPr>
              <w:pStyle w:val="110"/>
              <w:widowControl w:val="0"/>
              <w:adjustRightInd w:val="0"/>
              <w:snapToGrid w:val="0"/>
              <w:rPr>
                <w:rFonts w:hAnsi="宋体"/>
                <w:szCs w:val="18"/>
              </w:rPr>
            </w:pPr>
            <w:r>
              <w:rPr>
                <w:rFonts w:hint="eastAsia" w:hAnsi="宋体"/>
                <w:szCs w:val="18"/>
              </w:rPr>
              <w:t>理论考试+实操考核</w:t>
            </w:r>
          </w:p>
        </w:tc>
      </w:tr>
      <w:tr w14:paraId="51DC56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vMerge w:val="continue"/>
            <w:vAlign w:val="center"/>
          </w:tcPr>
          <w:p w14:paraId="2B0188A1">
            <w:pPr>
              <w:pStyle w:val="110"/>
              <w:widowControl w:val="0"/>
              <w:rPr>
                <w:rFonts w:hAnsi="宋体"/>
              </w:rPr>
            </w:pPr>
          </w:p>
        </w:tc>
        <w:tc>
          <w:tcPr>
            <w:tcW w:w="811" w:type="dxa"/>
            <w:vAlign w:val="center"/>
          </w:tcPr>
          <w:p w14:paraId="4E06745F">
            <w:pPr>
              <w:pStyle w:val="110"/>
              <w:widowControl w:val="0"/>
              <w:adjustRightInd w:val="0"/>
              <w:snapToGrid w:val="0"/>
              <w:rPr>
                <w:rFonts w:hAnsi="宋体"/>
                <w:szCs w:val="18"/>
              </w:rPr>
            </w:pPr>
            <w:r>
              <w:rPr>
                <w:rFonts w:hint="eastAsia" w:hAnsi="宋体"/>
                <w:szCs w:val="18"/>
              </w:rPr>
              <w:t>救生筏检验人员</w:t>
            </w:r>
          </w:p>
        </w:tc>
        <w:tc>
          <w:tcPr>
            <w:tcW w:w="5375" w:type="dxa"/>
            <w:vAlign w:val="center"/>
          </w:tcPr>
          <w:p w14:paraId="65A6D75E">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4063B397">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材料及材料力学，安全、质量管理等。</w:t>
            </w:r>
          </w:p>
          <w:p w14:paraId="2EFA4E36">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6D79BF05">
            <w:pPr>
              <w:pStyle w:val="99"/>
              <w:widowControl/>
              <w:autoSpaceDE w:val="0"/>
              <w:autoSpaceDN w:val="0"/>
              <w:adjustRightInd w:val="0"/>
              <w:snapToGrid w:val="0"/>
              <w:ind w:left="42" w:leftChars="20" w:right="102" w:firstLine="352"/>
              <w:jc w:val="left"/>
              <w:textAlignment w:val="baseline"/>
              <w:rPr>
                <w:rFonts w:cs="Times New Roman"/>
                <w:sz w:val="18"/>
                <w:szCs w:val="18"/>
              </w:rPr>
            </w:pPr>
            <w:r>
              <w:rPr>
                <w:rFonts w:hint="eastAsia" w:cs="Times New Roman"/>
                <w:spacing w:val="-2"/>
                <w:sz w:val="18"/>
                <w:szCs w:val="18"/>
              </w:rPr>
              <w:t>救生筏</w:t>
            </w:r>
            <w:r>
              <w:rPr>
                <w:rFonts w:hint="eastAsia" w:cs="Times New Roman"/>
                <w:sz w:val="18"/>
                <w:szCs w:val="18"/>
              </w:rPr>
              <w:t>基本知识，设计、制造、安装，主要零部件，基本构成与工作原理，损伤模式识别及失效分析等。</w:t>
            </w:r>
          </w:p>
          <w:p w14:paraId="1F44ABA0">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57DC0984">
            <w:pPr>
              <w:pStyle w:val="99"/>
              <w:widowControl/>
              <w:autoSpaceDE w:val="0"/>
              <w:autoSpaceDN w:val="0"/>
              <w:adjustRightInd w:val="0"/>
              <w:snapToGrid w:val="0"/>
              <w:ind w:left="42" w:leftChars="20" w:right="102" w:firstLine="352"/>
              <w:jc w:val="left"/>
              <w:textAlignment w:val="baseline"/>
              <w:rPr>
                <w:rFonts w:cs="Times New Roman"/>
                <w:spacing w:val="-2"/>
                <w:sz w:val="18"/>
                <w:szCs w:val="18"/>
              </w:rPr>
            </w:pPr>
            <w:r>
              <w:rPr>
                <w:rFonts w:hint="eastAsia" w:cs="Times New Roman"/>
                <w:spacing w:val="-2"/>
                <w:sz w:val="18"/>
                <w:szCs w:val="18"/>
              </w:rPr>
              <w:t>救生筏检测方法、投入使用前检测检验、定期检测检验等。</w:t>
            </w:r>
          </w:p>
          <w:p w14:paraId="2971CDFC">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6F620B0B">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01A702B6">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5880C099">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vAlign w:val="center"/>
          </w:tcPr>
          <w:p w14:paraId="599ACD48">
            <w:pPr>
              <w:pStyle w:val="110"/>
              <w:widowControl w:val="0"/>
              <w:rPr>
                <w:rFonts w:hAnsi="宋体"/>
              </w:rPr>
            </w:pPr>
            <w:r>
              <w:rPr>
                <w:rFonts w:hint="eastAsia" w:hAnsi="宋体"/>
                <w:szCs w:val="18"/>
              </w:rPr>
              <w:t>40学时</w:t>
            </w:r>
          </w:p>
        </w:tc>
        <w:tc>
          <w:tcPr>
            <w:tcW w:w="801" w:type="dxa"/>
            <w:vAlign w:val="center"/>
          </w:tcPr>
          <w:p w14:paraId="7464D8ED">
            <w:pPr>
              <w:pStyle w:val="110"/>
              <w:widowControl w:val="0"/>
              <w:adjustRightInd w:val="0"/>
              <w:snapToGrid w:val="0"/>
              <w:rPr>
                <w:rFonts w:hAnsi="宋体"/>
                <w:szCs w:val="18"/>
              </w:rPr>
            </w:pPr>
            <w:r>
              <w:rPr>
                <w:rFonts w:hint="eastAsia" w:hAnsi="宋体"/>
                <w:szCs w:val="18"/>
              </w:rPr>
              <w:t>理论考试+实操考核</w:t>
            </w:r>
          </w:p>
        </w:tc>
      </w:tr>
      <w:tr w14:paraId="1A185D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66" w:type="dxa"/>
            <w:vAlign w:val="center"/>
          </w:tcPr>
          <w:p w14:paraId="4815A814">
            <w:pPr>
              <w:pStyle w:val="110"/>
              <w:widowControl w:val="0"/>
              <w:adjustRightInd w:val="0"/>
              <w:snapToGrid w:val="0"/>
              <w:rPr>
                <w:rFonts w:hAnsi="宋体"/>
                <w:szCs w:val="18"/>
              </w:rPr>
            </w:pPr>
            <w:r>
              <w:rPr>
                <w:rFonts w:hint="eastAsia" w:hAnsi="宋体"/>
                <w:szCs w:val="18"/>
              </w:rPr>
              <w:t>消防器材</w:t>
            </w:r>
          </w:p>
        </w:tc>
        <w:tc>
          <w:tcPr>
            <w:tcW w:w="811" w:type="dxa"/>
            <w:vAlign w:val="center"/>
          </w:tcPr>
          <w:p w14:paraId="056A890B">
            <w:pPr>
              <w:pStyle w:val="110"/>
              <w:widowControl w:val="0"/>
              <w:adjustRightInd w:val="0"/>
              <w:snapToGrid w:val="0"/>
              <w:rPr>
                <w:rFonts w:hAnsi="宋体"/>
                <w:szCs w:val="18"/>
              </w:rPr>
            </w:pPr>
            <w:r>
              <w:rPr>
                <w:rFonts w:hint="eastAsia" w:hAnsi="宋体"/>
                <w:szCs w:val="18"/>
              </w:rPr>
              <w:t>固定式灭火系统检验人员</w:t>
            </w:r>
          </w:p>
        </w:tc>
        <w:tc>
          <w:tcPr>
            <w:tcW w:w="5375" w:type="dxa"/>
            <w:vAlign w:val="center"/>
          </w:tcPr>
          <w:p w14:paraId="7B14DEC4">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0FC0D278">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消防器材基本知识，安全、质量管理等。</w:t>
            </w:r>
          </w:p>
          <w:p w14:paraId="284E3A99">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79D91BA2">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固定式灭火系统基本知识、</w:t>
            </w:r>
            <w:r>
              <w:rPr>
                <w:rFonts w:hint="eastAsia" w:cs="Times New Roman"/>
                <w:spacing w:val="-1"/>
                <w:sz w:val="18"/>
                <w:szCs w:val="18"/>
              </w:rPr>
              <w:t>工作原理、技术要求</w:t>
            </w:r>
            <w:r>
              <w:rPr>
                <w:rFonts w:hint="eastAsia" w:cs="Times New Roman"/>
                <w:sz w:val="18"/>
                <w:szCs w:val="18"/>
              </w:rPr>
              <w:t>、常见缺陷等。</w:t>
            </w:r>
          </w:p>
          <w:p w14:paraId="0E1082FD">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1E50C29F">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固定式灭火系统检测方法、投入使用前检测检验、定期检测检验及临时检测检验等。</w:t>
            </w:r>
          </w:p>
          <w:p w14:paraId="17EAEB77">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08220BBF">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69EA83B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7D3F7E95">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10" w:type="dxa"/>
            <w:vAlign w:val="center"/>
          </w:tcPr>
          <w:p w14:paraId="094EF9A8">
            <w:pPr>
              <w:pStyle w:val="110"/>
              <w:widowControl w:val="0"/>
              <w:rPr>
                <w:rFonts w:hAnsi="宋体"/>
              </w:rPr>
            </w:pPr>
            <w:r>
              <w:rPr>
                <w:rFonts w:hint="eastAsia" w:hAnsi="宋体"/>
                <w:szCs w:val="18"/>
              </w:rPr>
              <w:t>24学时</w:t>
            </w:r>
          </w:p>
        </w:tc>
        <w:tc>
          <w:tcPr>
            <w:tcW w:w="801" w:type="dxa"/>
            <w:vAlign w:val="center"/>
          </w:tcPr>
          <w:p w14:paraId="33BC3ADC">
            <w:pPr>
              <w:pStyle w:val="110"/>
              <w:widowControl w:val="0"/>
              <w:adjustRightInd w:val="0"/>
              <w:snapToGrid w:val="0"/>
              <w:rPr>
                <w:rFonts w:hAnsi="宋体"/>
                <w:szCs w:val="18"/>
              </w:rPr>
            </w:pPr>
            <w:r>
              <w:rPr>
                <w:rFonts w:hint="eastAsia" w:hAnsi="宋体"/>
                <w:szCs w:val="18"/>
              </w:rPr>
              <w:t>理论考试+实操考核</w:t>
            </w:r>
          </w:p>
        </w:tc>
      </w:tr>
    </w:tbl>
    <w:p w14:paraId="4DBF27E0">
      <w:pPr>
        <w:pStyle w:val="43"/>
        <w:ind w:firstLine="420"/>
        <w:rPr>
          <w:rFonts w:hAnsi="宋体"/>
        </w:rPr>
      </w:pPr>
    </w:p>
    <w:p w14:paraId="4FEDDFE1">
      <w:pPr>
        <w:pStyle w:val="43"/>
        <w:pageBreakBefore/>
        <w:spacing w:beforeLines="50" w:afterLines="50"/>
        <w:ind w:firstLine="0" w:firstLineChars="0"/>
        <w:jc w:val="center"/>
        <w:rPr>
          <w:rFonts w:hAnsi="宋体"/>
        </w:rPr>
      </w:pPr>
      <w:r>
        <w:rPr>
          <w:rFonts w:hint="eastAsia" w:hAnsi="宋体" w:eastAsia="黑体"/>
        </w:rPr>
        <w:t>表E.4  专业设备检验人员培训要求</w:t>
      </w:r>
      <w:r>
        <w:rPr>
          <w:rFonts w:hint="eastAsia" w:hAnsi="宋体"/>
        </w:rPr>
        <w:t>（续）</w:t>
      </w:r>
    </w:p>
    <w:tbl>
      <w:tblPr>
        <w:tblStyle w:val="26"/>
        <w:tblW w:w="897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177"/>
        <w:gridCol w:w="810"/>
        <w:gridCol w:w="5380"/>
        <w:gridCol w:w="809"/>
        <w:gridCol w:w="799"/>
      </w:tblGrid>
      <w:tr w14:paraId="264025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177" w:type="dxa"/>
            <w:tcBorders>
              <w:top w:val="single" w:color="auto" w:sz="8" w:space="0"/>
              <w:bottom w:val="single" w:color="auto" w:sz="8" w:space="0"/>
            </w:tcBorders>
            <w:vAlign w:val="center"/>
          </w:tcPr>
          <w:p w14:paraId="6C2CC373">
            <w:pPr>
              <w:pStyle w:val="110"/>
              <w:widowControl w:val="0"/>
              <w:rPr>
                <w:rFonts w:hAnsi="宋体"/>
              </w:rPr>
            </w:pPr>
            <w:r>
              <w:rPr>
                <w:rFonts w:hint="eastAsia" w:hAnsi="宋体"/>
                <w:szCs w:val="18"/>
              </w:rPr>
              <w:t>大类专业设备</w:t>
            </w:r>
          </w:p>
        </w:tc>
        <w:tc>
          <w:tcPr>
            <w:tcW w:w="810" w:type="dxa"/>
            <w:tcBorders>
              <w:top w:val="single" w:color="auto" w:sz="8" w:space="0"/>
              <w:bottom w:val="single" w:color="auto" w:sz="8" w:space="0"/>
            </w:tcBorders>
            <w:vAlign w:val="center"/>
          </w:tcPr>
          <w:p w14:paraId="1555860D">
            <w:pPr>
              <w:pStyle w:val="110"/>
              <w:widowControl w:val="0"/>
              <w:rPr>
                <w:rFonts w:hAnsi="宋体"/>
              </w:rPr>
            </w:pPr>
            <w:r>
              <w:rPr>
                <w:rFonts w:hint="eastAsia" w:hAnsi="宋体"/>
                <w:szCs w:val="18"/>
              </w:rPr>
              <w:t>检验人员</w:t>
            </w:r>
          </w:p>
        </w:tc>
        <w:tc>
          <w:tcPr>
            <w:tcW w:w="5380" w:type="dxa"/>
            <w:tcBorders>
              <w:top w:val="single" w:color="auto" w:sz="8" w:space="0"/>
              <w:bottom w:val="single" w:color="auto" w:sz="8" w:space="0"/>
            </w:tcBorders>
            <w:vAlign w:val="center"/>
          </w:tcPr>
          <w:p w14:paraId="66B1CE36">
            <w:pPr>
              <w:pStyle w:val="110"/>
              <w:widowControl w:val="0"/>
              <w:rPr>
                <w:rFonts w:hAnsi="宋体"/>
              </w:rPr>
            </w:pPr>
            <w:r>
              <w:rPr>
                <w:rFonts w:hint="eastAsia" w:hAnsi="宋体"/>
                <w:szCs w:val="18"/>
              </w:rPr>
              <w:t>培训内容</w:t>
            </w:r>
          </w:p>
        </w:tc>
        <w:tc>
          <w:tcPr>
            <w:tcW w:w="809" w:type="dxa"/>
            <w:tcBorders>
              <w:top w:val="single" w:color="auto" w:sz="8" w:space="0"/>
              <w:bottom w:val="single" w:color="auto" w:sz="8" w:space="0"/>
            </w:tcBorders>
            <w:vAlign w:val="center"/>
          </w:tcPr>
          <w:p w14:paraId="2A30959E">
            <w:pPr>
              <w:pStyle w:val="110"/>
              <w:widowControl w:val="0"/>
              <w:rPr>
                <w:rFonts w:hAnsi="宋体"/>
              </w:rPr>
            </w:pPr>
            <w:r>
              <w:rPr>
                <w:rFonts w:hint="eastAsia" w:hAnsi="宋体"/>
                <w:szCs w:val="18"/>
              </w:rPr>
              <w:t>培训学时</w:t>
            </w:r>
          </w:p>
        </w:tc>
        <w:tc>
          <w:tcPr>
            <w:tcW w:w="799" w:type="dxa"/>
            <w:tcBorders>
              <w:top w:val="single" w:color="auto" w:sz="8" w:space="0"/>
              <w:bottom w:val="single" w:color="auto" w:sz="8" w:space="0"/>
            </w:tcBorders>
            <w:vAlign w:val="center"/>
          </w:tcPr>
          <w:p w14:paraId="71DA667E">
            <w:pPr>
              <w:pStyle w:val="110"/>
              <w:widowControl w:val="0"/>
              <w:rPr>
                <w:rFonts w:hAnsi="宋体"/>
              </w:rPr>
            </w:pPr>
            <w:r>
              <w:rPr>
                <w:rFonts w:hint="eastAsia" w:hAnsi="宋体"/>
                <w:szCs w:val="18"/>
              </w:rPr>
              <w:t>考核方式</w:t>
            </w:r>
          </w:p>
        </w:tc>
      </w:tr>
      <w:tr w14:paraId="14FBBC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77" w:type="dxa"/>
            <w:vMerge w:val="restart"/>
            <w:tcBorders>
              <w:top w:val="single" w:color="auto" w:sz="4" w:space="0"/>
            </w:tcBorders>
            <w:vAlign w:val="center"/>
          </w:tcPr>
          <w:p w14:paraId="31214AE1">
            <w:pPr>
              <w:pStyle w:val="110"/>
              <w:widowControl w:val="0"/>
              <w:adjustRightInd w:val="0"/>
              <w:snapToGrid w:val="0"/>
              <w:rPr>
                <w:rFonts w:hAnsi="宋体"/>
                <w:szCs w:val="18"/>
              </w:rPr>
            </w:pPr>
            <w:r>
              <w:rPr>
                <w:rFonts w:hint="eastAsia" w:hAnsi="宋体"/>
                <w:szCs w:val="18"/>
              </w:rPr>
              <w:t>钢丝绳等系物及被系物</w:t>
            </w:r>
          </w:p>
        </w:tc>
        <w:tc>
          <w:tcPr>
            <w:tcW w:w="810" w:type="dxa"/>
            <w:tcBorders>
              <w:top w:val="single" w:color="auto" w:sz="4" w:space="0"/>
            </w:tcBorders>
            <w:vAlign w:val="center"/>
          </w:tcPr>
          <w:p w14:paraId="5B32E60F">
            <w:pPr>
              <w:pStyle w:val="110"/>
              <w:widowControl w:val="0"/>
              <w:adjustRightInd w:val="0"/>
              <w:snapToGrid w:val="0"/>
              <w:rPr>
                <w:rFonts w:hAnsi="宋体"/>
                <w:szCs w:val="18"/>
              </w:rPr>
            </w:pPr>
            <w:r>
              <w:rPr>
                <w:rFonts w:hint="eastAsia" w:hAnsi="宋体"/>
                <w:szCs w:val="18"/>
              </w:rPr>
              <w:t>系物/被系物检验人员</w:t>
            </w:r>
          </w:p>
        </w:tc>
        <w:tc>
          <w:tcPr>
            <w:tcW w:w="5380" w:type="dxa"/>
            <w:tcBorders>
              <w:top w:val="single" w:color="auto" w:sz="4" w:space="0"/>
            </w:tcBorders>
            <w:vAlign w:val="center"/>
          </w:tcPr>
          <w:p w14:paraId="3CF96A37">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67633A5C">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材料及材料力学，安全、质量管理等。</w:t>
            </w:r>
          </w:p>
          <w:p w14:paraId="55423329">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4A8A93EB">
            <w:pPr>
              <w:pStyle w:val="99"/>
              <w:widowControl/>
              <w:autoSpaceDE w:val="0"/>
              <w:autoSpaceDN w:val="0"/>
              <w:adjustRightInd w:val="0"/>
              <w:snapToGrid w:val="0"/>
              <w:ind w:left="42" w:leftChars="20" w:right="102" w:firstLine="348"/>
              <w:jc w:val="left"/>
              <w:textAlignment w:val="baseline"/>
              <w:rPr>
                <w:rFonts w:cs="Times New Roman"/>
                <w:sz w:val="18"/>
                <w:szCs w:val="18"/>
              </w:rPr>
            </w:pPr>
            <w:r>
              <w:rPr>
                <w:rFonts w:hint="eastAsia" w:cs="Times New Roman"/>
                <w:spacing w:val="-3"/>
                <w:sz w:val="18"/>
                <w:szCs w:val="18"/>
              </w:rPr>
              <w:t>系物/被系物</w:t>
            </w:r>
            <w:r>
              <w:rPr>
                <w:rFonts w:hint="eastAsia" w:cs="Times New Roman"/>
                <w:sz w:val="18"/>
                <w:szCs w:val="18"/>
              </w:rPr>
              <w:t>基本知识、常见缺陷等。</w:t>
            </w:r>
          </w:p>
          <w:p w14:paraId="3F46CB31">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6F95C86B">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无损检测、投入使用前检测检验、定期检测检验及临时检测检验等。</w:t>
            </w:r>
          </w:p>
          <w:p w14:paraId="1CA270D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1EF8F7FB">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6B336C8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0ACD9AD5">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09" w:type="dxa"/>
            <w:tcBorders>
              <w:top w:val="single" w:color="auto" w:sz="4" w:space="0"/>
            </w:tcBorders>
            <w:vAlign w:val="center"/>
          </w:tcPr>
          <w:p w14:paraId="2CE43D4C">
            <w:pPr>
              <w:pStyle w:val="110"/>
              <w:widowControl w:val="0"/>
              <w:rPr>
                <w:rFonts w:hAnsi="宋体"/>
              </w:rPr>
            </w:pPr>
            <w:r>
              <w:rPr>
                <w:rFonts w:hint="eastAsia" w:hAnsi="宋体"/>
                <w:szCs w:val="18"/>
              </w:rPr>
              <w:t>40学时</w:t>
            </w:r>
          </w:p>
        </w:tc>
        <w:tc>
          <w:tcPr>
            <w:tcW w:w="799" w:type="dxa"/>
            <w:tcBorders>
              <w:top w:val="single" w:color="auto" w:sz="4" w:space="0"/>
            </w:tcBorders>
            <w:vAlign w:val="center"/>
          </w:tcPr>
          <w:p w14:paraId="607CF254">
            <w:pPr>
              <w:pStyle w:val="110"/>
              <w:widowControl w:val="0"/>
              <w:adjustRightInd w:val="0"/>
              <w:snapToGrid w:val="0"/>
              <w:rPr>
                <w:rFonts w:hAnsi="宋体"/>
                <w:szCs w:val="18"/>
              </w:rPr>
            </w:pPr>
            <w:r>
              <w:rPr>
                <w:rFonts w:hint="eastAsia" w:hAnsi="宋体"/>
                <w:szCs w:val="18"/>
              </w:rPr>
              <w:t>理论考试+实操考核</w:t>
            </w:r>
          </w:p>
        </w:tc>
      </w:tr>
      <w:tr w14:paraId="2E9102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77" w:type="dxa"/>
            <w:vMerge w:val="continue"/>
            <w:vAlign w:val="center"/>
          </w:tcPr>
          <w:p w14:paraId="0F1CC3DB">
            <w:pPr>
              <w:pStyle w:val="110"/>
              <w:widowControl w:val="0"/>
              <w:adjustRightInd w:val="0"/>
              <w:snapToGrid w:val="0"/>
              <w:rPr>
                <w:rFonts w:hAnsi="宋体"/>
                <w:szCs w:val="18"/>
              </w:rPr>
            </w:pPr>
          </w:p>
        </w:tc>
        <w:tc>
          <w:tcPr>
            <w:tcW w:w="810" w:type="dxa"/>
            <w:vAlign w:val="center"/>
          </w:tcPr>
          <w:p w14:paraId="49DD5C2E">
            <w:pPr>
              <w:pStyle w:val="110"/>
              <w:widowControl w:val="0"/>
              <w:adjustRightInd w:val="0"/>
              <w:snapToGrid w:val="0"/>
              <w:rPr>
                <w:rFonts w:hAnsi="宋体"/>
                <w:szCs w:val="18"/>
              </w:rPr>
            </w:pPr>
            <w:r>
              <w:rPr>
                <w:rFonts w:hint="eastAsia" w:hAnsi="宋体"/>
                <w:szCs w:val="18"/>
              </w:rPr>
              <w:t>载人吊篮检验人员</w:t>
            </w:r>
          </w:p>
        </w:tc>
        <w:tc>
          <w:tcPr>
            <w:tcW w:w="5380" w:type="dxa"/>
            <w:vAlign w:val="center"/>
          </w:tcPr>
          <w:p w14:paraId="7B9B494D">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1B3621F6">
            <w:pPr>
              <w:pStyle w:val="99"/>
              <w:widowControl/>
              <w:autoSpaceDE w:val="0"/>
              <w:autoSpaceDN w:val="0"/>
              <w:adjustRightInd w:val="0"/>
              <w:snapToGrid w:val="0"/>
              <w:ind w:left="42" w:leftChars="20" w:right="102" w:firstLine="352"/>
              <w:jc w:val="left"/>
              <w:textAlignment w:val="baseline"/>
              <w:rPr>
                <w:rFonts w:cs="Times New Roman"/>
                <w:sz w:val="18"/>
                <w:szCs w:val="18"/>
              </w:rPr>
            </w:pPr>
            <w:r>
              <w:rPr>
                <w:rFonts w:hint="eastAsia" w:cs="Times New Roman"/>
                <w:spacing w:val="-2"/>
                <w:sz w:val="18"/>
                <w:szCs w:val="18"/>
              </w:rPr>
              <w:t>材料及材料力学，</w:t>
            </w:r>
            <w:r>
              <w:rPr>
                <w:rFonts w:hint="eastAsia" w:cs="Times New Roman"/>
                <w:sz w:val="18"/>
                <w:szCs w:val="18"/>
              </w:rPr>
              <w:t>安全、质量管理等。</w:t>
            </w:r>
          </w:p>
          <w:p w14:paraId="70FB22B7">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2B1DFFAC">
            <w:pPr>
              <w:pStyle w:val="99"/>
              <w:widowControl/>
              <w:autoSpaceDE w:val="0"/>
              <w:autoSpaceDN w:val="0"/>
              <w:adjustRightInd w:val="0"/>
              <w:snapToGrid w:val="0"/>
              <w:ind w:left="42" w:leftChars="20" w:right="102" w:firstLine="356"/>
              <w:jc w:val="left"/>
              <w:textAlignment w:val="baseline"/>
              <w:rPr>
                <w:rFonts w:cs="Times New Roman"/>
                <w:sz w:val="18"/>
                <w:szCs w:val="18"/>
              </w:rPr>
            </w:pPr>
            <w:r>
              <w:rPr>
                <w:rFonts w:hint="eastAsia" w:cs="Times New Roman"/>
                <w:spacing w:val="-1"/>
                <w:sz w:val="18"/>
                <w:szCs w:val="18"/>
              </w:rPr>
              <w:t>载人穿梭吊篮和载人工作吊篮</w:t>
            </w:r>
            <w:r>
              <w:rPr>
                <w:rFonts w:hint="eastAsia" w:cs="Times New Roman"/>
                <w:sz w:val="18"/>
                <w:szCs w:val="18"/>
              </w:rPr>
              <w:t>基本知识、常见缺陷等。</w:t>
            </w:r>
          </w:p>
          <w:p w14:paraId="63C2708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10D83054">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无损检测</w:t>
            </w:r>
            <w:r>
              <w:rPr>
                <w:rFonts w:hint="eastAsia" w:cs="Times New Roman"/>
                <w:spacing w:val="-2"/>
                <w:sz w:val="18"/>
                <w:szCs w:val="18"/>
              </w:rPr>
              <w:t>及功能测试试验</w:t>
            </w:r>
            <w:r>
              <w:rPr>
                <w:rFonts w:hint="eastAsia" w:cs="Times New Roman"/>
                <w:sz w:val="18"/>
                <w:szCs w:val="18"/>
              </w:rPr>
              <w:t>、投入使用前检测检验、定期检测检验及临时检测检验等。</w:t>
            </w:r>
          </w:p>
          <w:p w14:paraId="6F0E448A">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4DD64EDD">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28AA28C2">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6909C0E8">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09" w:type="dxa"/>
            <w:vAlign w:val="center"/>
          </w:tcPr>
          <w:p w14:paraId="269D5C15">
            <w:pPr>
              <w:pStyle w:val="110"/>
              <w:widowControl w:val="0"/>
              <w:rPr>
                <w:rFonts w:hAnsi="宋体"/>
              </w:rPr>
            </w:pPr>
            <w:r>
              <w:rPr>
                <w:rFonts w:hint="eastAsia" w:hAnsi="宋体"/>
                <w:szCs w:val="18"/>
              </w:rPr>
              <w:t>40学时</w:t>
            </w:r>
          </w:p>
        </w:tc>
        <w:tc>
          <w:tcPr>
            <w:tcW w:w="799" w:type="dxa"/>
            <w:vAlign w:val="center"/>
          </w:tcPr>
          <w:p w14:paraId="24068131">
            <w:pPr>
              <w:pStyle w:val="110"/>
              <w:widowControl w:val="0"/>
              <w:adjustRightInd w:val="0"/>
              <w:snapToGrid w:val="0"/>
              <w:rPr>
                <w:rFonts w:hAnsi="宋体"/>
                <w:szCs w:val="18"/>
              </w:rPr>
            </w:pPr>
            <w:r>
              <w:rPr>
                <w:rFonts w:hint="eastAsia" w:hAnsi="宋体"/>
                <w:szCs w:val="18"/>
              </w:rPr>
              <w:t>理论考试+实操考核</w:t>
            </w:r>
          </w:p>
        </w:tc>
      </w:tr>
      <w:tr w14:paraId="165F0E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77" w:type="dxa"/>
            <w:vMerge w:val="restart"/>
            <w:vAlign w:val="center"/>
          </w:tcPr>
          <w:p w14:paraId="685C19B9">
            <w:pPr>
              <w:pStyle w:val="110"/>
              <w:widowControl w:val="0"/>
              <w:adjustRightInd w:val="0"/>
              <w:snapToGrid w:val="0"/>
              <w:rPr>
                <w:rFonts w:hAnsi="宋体"/>
              </w:rPr>
            </w:pPr>
            <w:r>
              <w:rPr>
                <w:rFonts w:hint="eastAsia" w:hAnsi="宋体"/>
                <w:szCs w:val="18"/>
              </w:rPr>
              <w:t>电气仪表</w:t>
            </w:r>
          </w:p>
        </w:tc>
        <w:tc>
          <w:tcPr>
            <w:tcW w:w="810" w:type="dxa"/>
            <w:vAlign w:val="center"/>
          </w:tcPr>
          <w:p w14:paraId="7F6C6863">
            <w:pPr>
              <w:pStyle w:val="110"/>
              <w:widowControl w:val="0"/>
              <w:adjustRightInd w:val="0"/>
              <w:snapToGrid w:val="0"/>
              <w:rPr>
                <w:rFonts w:hAnsi="宋体"/>
                <w:szCs w:val="18"/>
              </w:rPr>
            </w:pPr>
            <w:r>
              <w:rPr>
                <w:rFonts w:hint="eastAsia" w:hAnsi="宋体"/>
                <w:szCs w:val="18"/>
              </w:rPr>
              <w:t>防爆电气设备检验人员</w:t>
            </w:r>
          </w:p>
        </w:tc>
        <w:tc>
          <w:tcPr>
            <w:tcW w:w="5380" w:type="dxa"/>
            <w:vAlign w:val="center"/>
          </w:tcPr>
          <w:p w14:paraId="6E01C9F0">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6DC6AC16">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电工基础知识，安全、质量管理等。</w:t>
            </w:r>
          </w:p>
          <w:p w14:paraId="3CBA788A">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7CE77307">
            <w:pPr>
              <w:pStyle w:val="99"/>
              <w:widowControl/>
              <w:autoSpaceDE w:val="0"/>
              <w:autoSpaceDN w:val="0"/>
              <w:adjustRightInd w:val="0"/>
              <w:snapToGrid w:val="0"/>
              <w:ind w:left="42" w:leftChars="20" w:right="102" w:firstLine="348"/>
              <w:jc w:val="left"/>
              <w:textAlignment w:val="baseline"/>
              <w:rPr>
                <w:rFonts w:cs="Times New Roman"/>
                <w:sz w:val="18"/>
                <w:szCs w:val="18"/>
              </w:rPr>
            </w:pPr>
            <w:r>
              <w:rPr>
                <w:rFonts w:hint="eastAsia" w:cs="Times New Roman"/>
                <w:spacing w:val="-3"/>
                <w:sz w:val="18"/>
                <w:szCs w:val="18"/>
              </w:rPr>
              <w:t>防爆电气设备</w:t>
            </w:r>
            <w:r>
              <w:rPr>
                <w:rFonts w:hint="eastAsia" w:cs="Times New Roman"/>
                <w:sz w:val="18"/>
                <w:szCs w:val="18"/>
              </w:rPr>
              <w:t>基本知识，</w:t>
            </w:r>
            <w:r>
              <w:rPr>
                <w:rFonts w:hint="eastAsia" w:cs="Times New Roman"/>
                <w:spacing w:val="-1"/>
                <w:sz w:val="18"/>
                <w:szCs w:val="18"/>
              </w:rPr>
              <w:t>选型、安装技术要求</w:t>
            </w:r>
            <w:r>
              <w:rPr>
                <w:rFonts w:hint="eastAsia" w:cs="Times New Roman"/>
                <w:sz w:val="18"/>
                <w:szCs w:val="18"/>
              </w:rPr>
              <w:t>，常见缺陷，检查和维护等。</w:t>
            </w:r>
          </w:p>
          <w:p w14:paraId="64E86645">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5D034435">
            <w:pPr>
              <w:pStyle w:val="99"/>
              <w:widowControl/>
              <w:autoSpaceDE w:val="0"/>
              <w:autoSpaceDN w:val="0"/>
              <w:adjustRightInd w:val="0"/>
              <w:snapToGrid w:val="0"/>
              <w:ind w:left="42" w:leftChars="20" w:right="102" w:firstLine="348"/>
              <w:jc w:val="left"/>
              <w:textAlignment w:val="baseline"/>
              <w:rPr>
                <w:rFonts w:cs="Times New Roman"/>
                <w:spacing w:val="-3"/>
                <w:sz w:val="18"/>
                <w:szCs w:val="18"/>
              </w:rPr>
            </w:pPr>
            <w:r>
              <w:rPr>
                <w:rFonts w:hint="eastAsia" w:cs="Times New Roman"/>
                <w:spacing w:val="-3"/>
                <w:sz w:val="18"/>
                <w:szCs w:val="18"/>
              </w:rPr>
              <w:t>防爆电气设备检测方法、投入使用前检测检验、定期检测检验及临时检测检验等。</w:t>
            </w:r>
          </w:p>
          <w:p w14:paraId="264BA8F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27615A6B">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08A45F18">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632E0131">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09" w:type="dxa"/>
            <w:vAlign w:val="center"/>
          </w:tcPr>
          <w:p w14:paraId="13EE5B47">
            <w:pPr>
              <w:pStyle w:val="110"/>
              <w:widowControl w:val="0"/>
              <w:rPr>
                <w:rFonts w:hAnsi="宋体"/>
              </w:rPr>
            </w:pPr>
            <w:r>
              <w:rPr>
                <w:rFonts w:hint="eastAsia" w:hAnsi="宋体"/>
                <w:szCs w:val="18"/>
              </w:rPr>
              <w:t>24学时</w:t>
            </w:r>
          </w:p>
        </w:tc>
        <w:tc>
          <w:tcPr>
            <w:tcW w:w="799" w:type="dxa"/>
            <w:vAlign w:val="center"/>
          </w:tcPr>
          <w:p w14:paraId="04442332">
            <w:pPr>
              <w:pStyle w:val="110"/>
              <w:widowControl w:val="0"/>
              <w:adjustRightInd w:val="0"/>
              <w:snapToGrid w:val="0"/>
              <w:rPr>
                <w:rFonts w:hAnsi="宋体"/>
                <w:szCs w:val="18"/>
              </w:rPr>
            </w:pPr>
            <w:r>
              <w:rPr>
                <w:rFonts w:hint="eastAsia" w:hAnsi="宋体"/>
                <w:szCs w:val="18"/>
              </w:rPr>
              <w:t>理论考试+实操考核</w:t>
            </w:r>
          </w:p>
        </w:tc>
      </w:tr>
      <w:tr w14:paraId="1C24A4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177" w:type="dxa"/>
            <w:vMerge w:val="continue"/>
            <w:tcBorders>
              <w:bottom w:val="single" w:color="auto" w:sz="8" w:space="0"/>
            </w:tcBorders>
            <w:vAlign w:val="center"/>
          </w:tcPr>
          <w:p w14:paraId="3E8CFA6F">
            <w:pPr>
              <w:pStyle w:val="110"/>
              <w:widowControl w:val="0"/>
              <w:rPr>
                <w:rFonts w:hAnsi="宋体"/>
              </w:rPr>
            </w:pPr>
          </w:p>
        </w:tc>
        <w:tc>
          <w:tcPr>
            <w:tcW w:w="810" w:type="dxa"/>
            <w:tcBorders>
              <w:bottom w:val="single" w:color="auto" w:sz="8" w:space="0"/>
            </w:tcBorders>
            <w:vAlign w:val="center"/>
          </w:tcPr>
          <w:p w14:paraId="10442C13">
            <w:pPr>
              <w:pStyle w:val="110"/>
              <w:widowControl w:val="0"/>
              <w:adjustRightInd w:val="0"/>
              <w:snapToGrid w:val="0"/>
              <w:rPr>
                <w:rFonts w:hAnsi="宋体"/>
                <w:szCs w:val="18"/>
              </w:rPr>
            </w:pPr>
            <w:r>
              <w:rPr>
                <w:rFonts w:hint="eastAsia" w:hAnsi="宋体"/>
                <w:szCs w:val="18"/>
              </w:rPr>
              <w:t>安全监测仪表检验人员</w:t>
            </w:r>
          </w:p>
        </w:tc>
        <w:tc>
          <w:tcPr>
            <w:tcW w:w="5380" w:type="dxa"/>
            <w:tcBorders>
              <w:bottom w:val="single" w:color="auto" w:sz="8" w:space="0"/>
            </w:tcBorders>
            <w:vAlign w:val="center"/>
          </w:tcPr>
          <w:p w14:paraId="62E74038">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1.基础知识</w:t>
            </w:r>
          </w:p>
          <w:p w14:paraId="4DD5CC97">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计量基本知识，工艺流程识图，安全仪表功能、安全完整性等级、安全仪表系统概述，安全仪表功能结构设计及逻辑因果图，安全、质量管理等。</w:t>
            </w:r>
          </w:p>
          <w:p w14:paraId="6C74D0EA">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2.专业设备知识</w:t>
            </w:r>
          </w:p>
          <w:p w14:paraId="64074FD4">
            <w:pPr>
              <w:pStyle w:val="99"/>
              <w:widowControl/>
              <w:autoSpaceDE w:val="0"/>
              <w:autoSpaceDN w:val="0"/>
              <w:adjustRightInd w:val="0"/>
              <w:snapToGrid w:val="0"/>
              <w:ind w:left="42" w:leftChars="20" w:right="102" w:firstLine="352"/>
              <w:jc w:val="left"/>
              <w:textAlignment w:val="baseline"/>
              <w:rPr>
                <w:rFonts w:cs="Times New Roman"/>
                <w:sz w:val="18"/>
                <w:szCs w:val="18"/>
              </w:rPr>
            </w:pPr>
            <w:r>
              <w:rPr>
                <w:rFonts w:hint="eastAsia" w:cs="Times New Roman"/>
                <w:spacing w:val="-2"/>
                <w:sz w:val="18"/>
                <w:szCs w:val="18"/>
              </w:rPr>
              <w:t>安全监测仪表</w:t>
            </w:r>
            <w:r>
              <w:rPr>
                <w:rFonts w:hint="eastAsia" w:cs="Times New Roman"/>
                <w:sz w:val="18"/>
                <w:szCs w:val="18"/>
              </w:rPr>
              <w:t>基本知识，</w:t>
            </w:r>
            <w:r>
              <w:rPr>
                <w:rFonts w:hint="eastAsia" w:cs="Times New Roman"/>
                <w:spacing w:val="-1"/>
                <w:sz w:val="18"/>
                <w:szCs w:val="18"/>
              </w:rPr>
              <w:t>选型、安装技术要求，</w:t>
            </w:r>
            <w:r>
              <w:rPr>
                <w:rFonts w:hint="eastAsia" w:cs="Times New Roman"/>
                <w:sz w:val="18"/>
                <w:szCs w:val="18"/>
              </w:rPr>
              <w:t>常见缺陷，检查和维护等。</w:t>
            </w:r>
          </w:p>
          <w:p w14:paraId="561407D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3.检测检验知识</w:t>
            </w:r>
          </w:p>
          <w:p w14:paraId="6F897F35">
            <w:pPr>
              <w:pStyle w:val="99"/>
              <w:widowControl/>
              <w:autoSpaceDE w:val="0"/>
              <w:autoSpaceDN w:val="0"/>
              <w:adjustRightInd w:val="0"/>
              <w:snapToGrid w:val="0"/>
              <w:ind w:left="42" w:leftChars="20" w:right="102" w:firstLine="352"/>
              <w:jc w:val="left"/>
              <w:textAlignment w:val="baseline"/>
              <w:rPr>
                <w:rFonts w:cs="Times New Roman"/>
                <w:spacing w:val="-2"/>
                <w:sz w:val="18"/>
                <w:szCs w:val="18"/>
              </w:rPr>
            </w:pPr>
            <w:r>
              <w:rPr>
                <w:rFonts w:hint="eastAsia" w:cs="Times New Roman"/>
                <w:spacing w:val="-2"/>
                <w:sz w:val="18"/>
                <w:szCs w:val="18"/>
              </w:rPr>
              <w:t>安全监测仪表检测方法、投入使用前检测检验、定期检测检验及临时检测检验等。</w:t>
            </w:r>
          </w:p>
          <w:p w14:paraId="0D3A742B">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4.法律法规标准</w:t>
            </w:r>
          </w:p>
          <w:p w14:paraId="78EFFB79">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法律法规、技术标准等。</w:t>
            </w:r>
          </w:p>
          <w:p w14:paraId="09D049B4">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5.实际操作</w:t>
            </w:r>
          </w:p>
          <w:p w14:paraId="71D355C5">
            <w:pPr>
              <w:pStyle w:val="99"/>
              <w:widowControl/>
              <w:autoSpaceDE w:val="0"/>
              <w:autoSpaceDN w:val="0"/>
              <w:adjustRightInd w:val="0"/>
              <w:snapToGrid w:val="0"/>
              <w:ind w:left="42" w:leftChars="20" w:right="102" w:firstLine="360"/>
              <w:jc w:val="left"/>
              <w:textAlignment w:val="baseline"/>
            </w:pPr>
            <w:r>
              <w:rPr>
                <w:rFonts w:hint="eastAsia" w:cs="Times New Roman"/>
                <w:sz w:val="18"/>
                <w:szCs w:val="18"/>
              </w:rPr>
              <w:t>检验的基本方法和程序，设备、工具和仪器的使用，作业安全与防护等。</w:t>
            </w:r>
          </w:p>
        </w:tc>
        <w:tc>
          <w:tcPr>
            <w:tcW w:w="809" w:type="dxa"/>
            <w:tcBorders>
              <w:bottom w:val="single" w:color="auto" w:sz="8" w:space="0"/>
            </w:tcBorders>
            <w:vAlign w:val="center"/>
          </w:tcPr>
          <w:p w14:paraId="737E2FE0">
            <w:pPr>
              <w:pStyle w:val="110"/>
              <w:widowControl w:val="0"/>
              <w:rPr>
                <w:rFonts w:hAnsi="宋体"/>
              </w:rPr>
            </w:pPr>
            <w:r>
              <w:rPr>
                <w:rFonts w:hint="eastAsia" w:hAnsi="宋体"/>
                <w:szCs w:val="18"/>
              </w:rPr>
              <w:t>24学时</w:t>
            </w:r>
          </w:p>
        </w:tc>
        <w:tc>
          <w:tcPr>
            <w:tcW w:w="799" w:type="dxa"/>
            <w:tcBorders>
              <w:bottom w:val="single" w:color="auto" w:sz="8" w:space="0"/>
            </w:tcBorders>
            <w:vAlign w:val="center"/>
          </w:tcPr>
          <w:p w14:paraId="690D0DF7">
            <w:pPr>
              <w:pStyle w:val="110"/>
              <w:widowControl w:val="0"/>
              <w:adjustRightInd w:val="0"/>
              <w:snapToGrid w:val="0"/>
              <w:rPr>
                <w:rFonts w:hAnsi="宋体"/>
                <w:szCs w:val="18"/>
              </w:rPr>
            </w:pPr>
            <w:r>
              <w:rPr>
                <w:rFonts w:hint="eastAsia" w:hAnsi="宋体"/>
                <w:szCs w:val="18"/>
              </w:rPr>
              <w:t>理论考试+实操考核</w:t>
            </w:r>
          </w:p>
        </w:tc>
      </w:tr>
      <w:tr w14:paraId="3B2BEC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975" w:type="dxa"/>
            <w:gridSpan w:val="5"/>
            <w:tcBorders>
              <w:top w:val="single" w:color="auto" w:sz="8" w:space="0"/>
              <w:bottom w:val="single" w:color="auto" w:sz="8" w:space="0"/>
            </w:tcBorders>
            <w:vAlign w:val="center"/>
          </w:tcPr>
          <w:p w14:paraId="193830B4">
            <w:pPr>
              <w:pStyle w:val="111"/>
              <w:numPr>
                <w:ilvl w:val="0"/>
                <w:numId w:val="8"/>
              </w:numPr>
              <w:ind w:left="737" w:hanging="374"/>
              <w:rPr>
                <w:rFonts w:hAnsi="宋体"/>
              </w:rPr>
            </w:pPr>
            <w:r>
              <w:rPr>
                <w:rFonts w:hint="eastAsia" w:hAnsi="宋体"/>
              </w:rPr>
              <w:t>本表中的大类专业设备依据AQ 2082-2025附录A的规定进行分类。</w:t>
            </w:r>
          </w:p>
        </w:tc>
      </w:tr>
    </w:tbl>
    <w:p w14:paraId="0088D6F3">
      <w:pPr>
        <w:pStyle w:val="24"/>
        <w:ind w:firstLine="210"/>
        <w:rPr>
          <w:rFonts w:ascii="宋体" w:hAnsi="宋体"/>
        </w:rPr>
      </w:pPr>
    </w:p>
    <w:p w14:paraId="5E0B3E39">
      <w:pPr>
        <w:pStyle w:val="108"/>
        <w:numPr>
          <w:ilvl w:val="1"/>
          <w:numId w:val="0"/>
        </w:numPr>
        <w:spacing w:before="156" w:after="156"/>
        <w:rPr>
          <w:rFonts w:ascii="宋体" w:hAnsi="宋体"/>
        </w:rPr>
      </w:pPr>
      <w:r>
        <w:rPr>
          <w:rFonts w:hint="eastAsia" w:ascii="宋体" w:hAnsi="宋体"/>
        </w:rPr>
        <w:t>表E.5交流电磁场检测人员培训要求</w:t>
      </w:r>
    </w:p>
    <w:tbl>
      <w:tblPr>
        <w:tblStyle w:val="26"/>
        <w:tblW w:w="886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1099"/>
        <w:gridCol w:w="5441"/>
        <w:gridCol w:w="750"/>
        <w:gridCol w:w="1575"/>
      </w:tblGrid>
      <w:tr w14:paraId="440F08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blHeader/>
          <w:jc w:val="center"/>
        </w:trPr>
        <w:tc>
          <w:tcPr>
            <w:tcW w:w="1099" w:type="dxa"/>
            <w:tcBorders>
              <w:top w:val="single" w:color="auto" w:sz="8" w:space="0"/>
              <w:bottom w:val="single" w:color="auto" w:sz="8" w:space="0"/>
            </w:tcBorders>
            <w:vAlign w:val="center"/>
          </w:tcPr>
          <w:p w14:paraId="74F46E07">
            <w:pPr>
              <w:pStyle w:val="110"/>
              <w:widowControl w:val="0"/>
              <w:rPr>
                <w:rFonts w:hAnsi="宋体"/>
              </w:rPr>
            </w:pPr>
            <w:r>
              <w:rPr>
                <w:rFonts w:hint="eastAsia" w:hAnsi="宋体"/>
                <w:sz w:val="30"/>
                <w:szCs w:val="30"/>
              </w:rPr>
              <w:br w:type="page"/>
            </w:r>
            <w:r>
              <w:rPr>
                <w:rFonts w:hint="eastAsia" w:hAnsi="宋体"/>
                <w:spacing w:val="-7"/>
                <w:szCs w:val="18"/>
              </w:rPr>
              <w:t>检测人员</w:t>
            </w:r>
          </w:p>
        </w:tc>
        <w:tc>
          <w:tcPr>
            <w:tcW w:w="5441" w:type="dxa"/>
            <w:tcBorders>
              <w:top w:val="single" w:color="auto" w:sz="8" w:space="0"/>
              <w:bottom w:val="single" w:color="auto" w:sz="8" w:space="0"/>
            </w:tcBorders>
            <w:vAlign w:val="center"/>
          </w:tcPr>
          <w:p w14:paraId="7A5AD613">
            <w:pPr>
              <w:pStyle w:val="110"/>
              <w:widowControl w:val="0"/>
              <w:rPr>
                <w:rFonts w:hAnsi="宋体"/>
              </w:rPr>
            </w:pPr>
            <w:r>
              <w:rPr>
                <w:rFonts w:hint="eastAsia" w:hAnsi="宋体"/>
                <w:spacing w:val="-7"/>
                <w:szCs w:val="18"/>
              </w:rPr>
              <w:t>培训内容</w:t>
            </w:r>
          </w:p>
        </w:tc>
        <w:tc>
          <w:tcPr>
            <w:tcW w:w="750" w:type="dxa"/>
            <w:tcBorders>
              <w:top w:val="single" w:color="auto" w:sz="8" w:space="0"/>
              <w:bottom w:val="single" w:color="auto" w:sz="8" w:space="0"/>
            </w:tcBorders>
            <w:vAlign w:val="center"/>
          </w:tcPr>
          <w:p w14:paraId="4FDE9509">
            <w:pPr>
              <w:pStyle w:val="110"/>
              <w:widowControl w:val="0"/>
              <w:rPr>
                <w:rFonts w:hAnsi="宋体"/>
              </w:rPr>
            </w:pPr>
            <w:r>
              <w:rPr>
                <w:rFonts w:hint="eastAsia" w:hAnsi="宋体"/>
                <w:spacing w:val="-7"/>
                <w:szCs w:val="18"/>
              </w:rPr>
              <w:t>培训学时</w:t>
            </w:r>
          </w:p>
        </w:tc>
        <w:tc>
          <w:tcPr>
            <w:tcW w:w="1575" w:type="dxa"/>
            <w:tcBorders>
              <w:top w:val="single" w:color="auto" w:sz="8" w:space="0"/>
              <w:bottom w:val="single" w:color="auto" w:sz="8" w:space="0"/>
            </w:tcBorders>
            <w:vAlign w:val="center"/>
          </w:tcPr>
          <w:p w14:paraId="74D3E0CC">
            <w:pPr>
              <w:pStyle w:val="110"/>
              <w:widowControl w:val="0"/>
              <w:rPr>
                <w:rFonts w:hAnsi="宋体"/>
              </w:rPr>
            </w:pPr>
            <w:r>
              <w:rPr>
                <w:rFonts w:hint="eastAsia" w:hAnsi="宋体"/>
                <w:spacing w:val="-7"/>
                <w:szCs w:val="18"/>
              </w:rPr>
              <w:t>考核方式</w:t>
            </w:r>
          </w:p>
        </w:tc>
      </w:tr>
      <w:tr w14:paraId="569D94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1099" w:type="dxa"/>
            <w:vAlign w:val="center"/>
          </w:tcPr>
          <w:p w14:paraId="52268321">
            <w:pPr>
              <w:pStyle w:val="110"/>
              <w:widowControl w:val="0"/>
              <w:adjustRightInd w:val="0"/>
              <w:snapToGrid w:val="0"/>
              <w:rPr>
                <w:rFonts w:hAnsi="宋体"/>
              </w:rPr>
            </w:pPr>
            <w:r>
              <w:rPr>
                <w:rFonts w:hint="eastAsia" w:hAnsi="宋体"/>
                <w:szCs w:val="18"/>
              </w:rPr>
              <w:t>交流电磁场检测人员</w:t>
            </w:r>
          </w:p>
        </w:tc>
        <w:tc>
          <w:tcPr>
            <w:tcW w:w="5441" w:type="dxa"/>
            <w:vAlign w:val="center"/>
          </w:tcPr>
          <w:p w14:paraId="7E0D948A">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1.交流电磁场检测基础知识</w:t>
            </w:r>
          </w:p>
          <w:p w14:paraId="1D1AB71A">
            <w:pPr>
              <w:pStyle w:val="99"/>
              <w:widowControl/>
              <w:autoSpaceDE w:val="0"/>
              <w:autoSpaceDN w:val="0"/>
              <w:adjustRightInd w:val="0"/>
              <w:snapToGrid w:val="0"/>
              <w:ind w:left="42" w:leftChars="20" w:right="102" w:firstLine="360"/>
              <w:jc w:val="left"/>
              <w:textAlignment w:val="baseline"/>
              <w:rPr>
                <w:rFonts w:cs="Times New Roman"/>
                <w:sz w:val="18"/>
                <w:szCs w:val="18"/>
              </w:rPr>
            </w:pPr>
            <w:r>
              <w:rPr>
                <w:rFonts w:hint="eastAsia" w:cs="Times New Roman"/>
                <w:sz w:val="18"/>
                <w:szCs w:val="18"/>
              </w:rPr>
              <w:t>电磁测试简介、电磁技术和磁通泄漏、电磁理论、漏磁理论等。</w:t>
            </w:r>
          </w:p>
          <w:p w14:paraId="253DC36A">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2.电磁测试仪器</w:t>
            </w:r>
          </w:p>
          <w:p w14:paraId="42ACC693">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3.电磁感应元件</w:t>
            </w:r>
          </w:p>
          <w:p w14:paraId="0FAE6500">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4.漏磁感应元件</w:t>
            </w:r>
          </w:p>
          <w:p w14:paraId="64F64C55">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5.导电率、线圈阻抗和耦合</w:t>
            </w:r>
          </w:p>
          <w:p w14:paraId="531EC3B9">
            <w:pPr>
              <w:pStyle w:val="99"/>
              <w:widowControl/>
              <w:autoSpaceDE w:val="0"/>
              <w:autoSpaceDN w:val="0"/>
              <w:adjustRightInd w:val="0"/>
              <w:snapToGrid w:val="0"/>
              <w:ind w:left="42" w:leftChars="20" w:right="104" w:firstLine="0" w:firstLineChars="0"/>
              <w:jc w:val="left"/>
              <w:textAlignment w:val="baseline"/>
              <w:rPr>
                <w:rFonts w:cs="Times New Roman"/>
                <w:sz w:val="18"/>
                <w:szCs w:val="18"/>
              </w:rPr>
            </w:pPr>
            <w:r>
              <w:rPr>
                <w:rFonts w:hint="eastAsia" w:cs="Times New Roman"/>
                <w:sz w:val="18"/>
                <w:szCs w:val="18"/>
              </w:rPr>
              <w:t>6.交流磁场测量测试</w:t>
            </w:r>
          </w:p>
          <w:p w14:paraId="1F611D28">
            <w:pPr>
              <w:pStyle w:val="99"/>
              <w:widowControl/>
              <w:autoSpaceDE w:val="0"/>
              <w:autoSpaceDN w:val="0"/>
              <w:adjustRightInd w:val="0"/>
              <w:snapToGrid w:val="0"/>
              <w:ind w:left="42" w:leftChars="20" w:right="104" w:firstLine="0" w:firstLineChars="0"/>
              <w:jc w:val="left"/>
              <w:textAlignment w:val="baseline"/>
            </w:pPr>
            <w:r>
              <w:rPr>
                <w:rFonts w:hint="eastAsia" w:cs="Times New Roman"/>
                <w:sz w:val="18"/>
                <w:szCs w:val="18"/>
              </w:rPr>
              <w:t>7.交流电磁场检测标准</w:t>
            </w:r>
          </w:p>
        </w:tc>
        <w:tc>
          <w:tcPr>
            <w:tcW w:w="750" w:type="dxa"/>
            <w:vAlign w:val="center"/>
          </w:tcPr>
          <w:p w14:paraId="104BF1B8">
            <w:pPr>
              <w:pStyle w:val="110"/>
              <w:widowControl w:val="0"/>
              <w:rPr>
                <w:rFonts w:hAnsi="宋体"/>
              </w:rPr>
            </w:pPr>
            <w:r>
              <w:rPr>
                <w:rFonts w:hint="eastAsia" w:hAnsi="宋体"/>
                <w:szCs w:val="18"/>
              </w:rPr>
              <w:t>40学时</w:t>
            </w:r>
          </w:p>
        </w:tc>
        <w:tc>
          <w:tcPr>
            <w:tcW w:w="1575" w:type="dxa"/>
            <w:vAlign w:val="center"/>
          </w:tcPr>
          <w:p w14:paraId="5F21171D">
            <w:pPr>
              <w:pStyle w:val="110"/>
              <w:widowControl w:val="0"/>
              <w:adjustRightInd w:val="0"/>
              <w:snapToGrid w:val="0"/>
              <w:rPr>
                <w:rFonts w:hAnsi="宋体"/>
                <w:szCs w:val="18"/>
              </w:rPr>
            </w:pPr>
            <w:r>
              <w:rPr>
                <w:rFonts w:hint="eastAsia" w:hAnsi="宋体"/>
                <w:szCs w:val="18"/>
              </w:rPr>
              <w:t>理论考试+实操考核</w:t>
            </w:r>
          </w:p>
        </w:tc>
      </w:tr>
    </w:tbl>
    <w:p w14:paraId="4E4B1609">
      <w:pPr>
        <w:pStyle w:val="24"/>
        <w:ind w:firstLine="210"/>
        <w:rPr>
          <w:rFonts w:ascii="宋体" w:hAnsi="宋体" w:eastAsia="黑体" w:cs="Times New Roman"/>
          <w:kern w:val="21"/>
          <w:szCs w:val="20"/>
        </w:rPr>
      </w:pPr>
      <w:r>
        <w:rPr>
          <w:rFonts w:ascii="宋体" w:hAnsi="宋体"/>
        </w:rPr>
        <w:br w:type="page"/>
      </w:r>
    </w:p>
    <w:p w14:paraId="764ED72A">
      <w:pPr>
        <w:pStyle w:val="90"/>
        <w:tabs>
          <w:tab w:val="left" w:pos="6406"/>
        </w:tabs>
        <w:spacing w:after="156"/>
        <w:ind w:left="0"/>
        <w:rPr>
          <w:rFonts w:ascii="宋体" w:hAnsi="宋体"/>
        </w:rPr>
      </w:pPr>
      <w:bookmarkStart w:id="133" w:name="_Toc11845"/>
      <w:bookmarkStart w:id="134" w:name="_Toc25661"/>
      <w:bookmarkStart w:id="135" w:name="_Toc27178"/>
      <w:bookmarkStart w:id="136" w:name="BookMark8"/>
      <w:r>
        <w:rPr>
          <w:rFonts w:ascii="宋体" w:hAnsi="宋体"/>
        </w:rPr>
        <w:br w:type="textWrapping"/>
      </w:r>
      <w:r>
        <w:rPr>
          <w:rFonts w:hint="eastAsia" w:ascii="宋体" w:hAnsi="宋体"/>
        </w:rPr>
        <w:t>（规范性）</w:t>
      </w:r>
      <w:r>
        <w:rPr>
          <w:rFonts w:ascii="宋体" w:hAnsi="宋体"/>
        </w:rPr>
        <w:br w:type="textWrapping"/>
      </w:r>
      <w:r>
        <w:rPr>
          <w:rFonts w:hint="eastAsia" w:ascii="宋体" w:hAnsi="宋体"/>
        </w:rPr>
        <w:t>企业自主实施火灾和可燃气体探测报警及控制系统检测数据采集要求</w:t>
      </w:r>
      <w:bookmarkEnd w:id="133"/>
      <w:bookmarkEnd w:id="134"/>
      <w:bookmarkEnd w:id="135"/>
    </w:p>
    <w:p w14:paraId="5977A6B4">
      <w:pPr>
        <w:pStyle w:val="43"/>
        <w:ind w:firstLine="420"/>
        <w:rPr>
          <w:rFonts w:hAnsi="宋体"/>
        </w:rPr>
      </w:pPr>
      <w:r>
        <w:rPr>
          <w:rFonts w:hint="eastAsia" w:hAnsi="宋体"/>
        </w:rPr>
        <w:t>作业者或承包者自主开展火灾和可燃气体探测报警及控制系统检测数据采集工作，应符合表F.1的要求。</w:t>
      </w:r>
    </w:p>
    <w:p w14:paraId="46FA40CF">
      <w:pPr>
        <w:pStyle w:val="113"/>
        <w:numPr>
          <w:ilvl w:val="0"/>
          <w:numId w:val="0"/>
        </w:numPr>
        <w:ind w:left="425" w:hanging="425"/>
        <w:rPr>
          <w:rFonts w:hAnsi="宋体"/>
        </w:rPr>
      </w:pPr>
      <w:r>
        <w:rPr>
          <w:rFonts w:hint="eastAsia" w:hAnsi="宋体"/>
        </w:rPr>
        <w:t>B</w:t>
      </w:r>
    </w:p>
    <w:p w14:paraId="01CEC0CC">
      <w:pPr>
        <w:pStyle w:val="108"/>
        <w:numPr>
          <w:ilvl w:val="1"/>
          <w:numId w:val="0"/>
        </w:numPr>
        <w:spacing w:before="156" w:after="156"/>
        <w:rPr>
          <w:rFonts w:ascii="宋体" w:hAnsi="宋体"/>
        </w:rPr>
      </w:pPr>
      <w:r>
        <w:rPr>
          <w:rFonts w:hint="eastAsia" w:ascii="宋体" w:hAnsi="宋体"/>
        </w:rPr>
        <w:t>表F.1企业自主实施火灾和可燃气体探测报警及控制系统检测数据采集能力清单</w:t>
      </w:r>
    </w:p>
    <w:tbl>
      <w:tblPr>
        <w:tblStyle w:val="26"/>
        <w:tblW w:w="8957"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2400"/>
        <w:gridCol w:w="5762"/>
      </w:tblGrid>
      <w:tr w14:paraId="707585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tcBorders>
              <w:bottom w:val="single" w:color="auto" w:sz="8" w:space="0"/>
            </w:tcBorders>
            <w:vAlign w:val="center"/>
          </w:tcPr>
          <w:p w14:paraId="79D6C2C1">
            <w:pPr>
              <w:autoSpaceDE w:val="0"/>
              <w:autoSpaceDN w:val="0"/>
              <w:adjustRightInd w:val="0"/>
              <w:snapToGrid w:val="0"/>
              <w:jc w:val="center"/>
              <w:rPr>
                <w:rFonts w:ascii="宋体" w:hAnsi="宋体" w:eastAsia="宋体" w:cs="宋体"/>
                <w:b/>
                <w:bCs/>
                <w:sz w:val="18"/>
                <w:szCs w:val="18"/>
              </w:rPr>
            </w:pPr>
            <w:r>
              <w:rPr>
                <w:rFonts w:hint="eastAsia" w:ascii="宋体" w:hAnsi="宋体" w:eastAsia="宋体" w:cs="宋体"/>
                <w:b/>
                <w:bCs/>
                <w:sz w:val="18"/>
                <w:szCs w:val="18"/>
              </w:rPr>
              <w:t>序号</w:t>
            </w:r>
          </w:p>
        </w:tc>
        <w:tc>
          <w:tcPr>
            <w:tcW w:w="2400" w:type="dxa"/>
            <w:tcBorders>
              <w:bottom w:val="single" w:color="auto" w:sz="8" w:space="0"/>
            </w:tcBorders>
            <w:vAlign w:val="center"/>
          </w:tcPr>
          <w:p w14:paraId="2F2E0934">
            <w:pPr>
              <w:autoSpaceDE w:val="0"/>
              <w:autoSpaceDN w:val="0"/>
              <w:adjustRightInd w:val="0"/>
              <w:snapToGrid w:val="0"/>
              <w:jc w:val="center"/>
              <w:rPr>
                <w:rFonts w:ascii="宋体" w:hAnsi="宋体" w:eastAsia="宋体" w:cs="宋体"/>
                <w:b/>
                <w:bCs/>
                <w:sz w:val="18"/>
                <w:szCs w:val="18"/>
              </w:rPr>
            </w:pPr>
            <w:r>
              <w:rPr>
                <w:rFonts w:hint="eastAsia" w:ascii="宋体" w:hAnsi="宋体" w:eastAsia="宋体" w:cs="宋体"/>
                <w:b/>
                <w:bCs/>
                <w:sz w:val="18"/>
                <w:szCs w:val="18"/>
              </w:rPr>
              <w:t>管理要素</w:t>
            </w:r>
          </w:p>
        </w:tc>
        <w:tc>
          <w:tcPr>
            <w:tcW w:w="5762" w:type="dxa"/>
            <w:tcBorders>
              <w:bottom w:val="single" w:color="auto" w:sz="8" w:space="0"/>
            </w:tcBorders>
            <w:vAlign w:val="center"/>
          </w:tcPr>
          <w:p w14:paraId="161496F7">
            <w:pPr>
              <w:autoSpaceDE w:val="0"/>
              <w:autoSpaceDN w:val="0"/>
              <w:adjustRightInd w:val="0"/>
              <w:snapToGrid w:val="0"/>
              <w:jc w:val="center"/>
              <w:rPr>
                <w:rFonts w:ascii="宋体" w:hAnsi="宋体" w:eastAsia="宋体" w:cs="宋体"/>
                <w:b/>
                <w:bCs/>
                <w:sz w:val="18"/>
                <w:szCs w:val="18"/>
              </w:rPr>
            </w:pPr>
            <w:r>
              <w:rPr>
                <w:rFonts w:hint="eastAsia" w:ascii="宋体" w:hAnsi="宋体" w:eastAsia="宋体" w:cs="宋体"/>
                <w:b/>
                <w:bCs/>
                <w:sz w:val="18"/>
                <w:szCs w:val="18"/>
              </w:rPr>
              <w:t>要求</w:t>
            </w:r>
          </w:p>
        </w:tc>
      </w:tr>
      <w:tr w14:paraId="260659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795" w:type="dxa"/>
            <w:tcBorders>
              <w:top w:val="single" w:color="auto" w:sz="8" w:space="0"/>
            </w:tcBorders>
            <w:vAlign w:val="center"/>
          </w:tcPr>
          <w:p w14:paraId="1DD39C26">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1</w:t>
            </w:r>
          </w:p>
        </w:tc>
        <w:tc>
          <w:tcPr>
            <w:tcW w:w="2400" w:type="dxa"/>
            <w:tcBorders>
              <w:top w:val="single" w:color="auto" w:sz="8" w:space="0"/>
            </w:tcBorders>
            <w:vAlign w:val="center"/>
          </w:tcPr>
          <w:p w14:paraId="50134384">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管理基础</w:t>
            </w:r>
          </w:p>
        </w:tc>
        <w:tc>
          <w:tcPr>
            <w:tcW w:w="5762" w:type="dxa"/>
            <w:tcBorders>
              <w:top w:val="single" w:color="auto" w:sz="8" w:space="0"/>
            </w:tcBorders>
            <w:vAlign w:val="center"/>
          </w:tcPr>
          <w:p w14:paraId="3899F2A2">
            <w:pPr>
              <w:autoSpaceDE w:val="0"/>
              <w:autoSpaceDN w:val="0"/>
              <w:adjustRightInd w:val="0"/>
              <w:snapToGrid w:val="0"/>
              <w:jc w:val="center"/>
              <w:rPr>
                <w:rFonts w:ascii="宋体" w:hAnsi="宋体" w:eastAsia="宋体" w:cs="宋体"/>
                <w:b/>
                <w:bCs/>
                <w:sz w:val="18"/>
                <w:szCs w:val="18"/>
              </w:rPr>
            </w:pPr>
          </w:p>
        </w:tc>
      </w:tr>
      <w:tr w14:paraId="070CAB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795" w:type="dxa"/>
            <w:vAlign w:val="center"/>
          </w:tcPr>
          <w:p w14:paraId="36673B89">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1.1</w:t>
            </w:r>
          </w:p>
        </w:tc>
        <w:tc>
          <w:tcPr>
            <w:tcW w:w="2400" w:type="dxa"/>
            <w:vAlign w:val="center"/>
          </w:tcPr>
          <w:p w14:paraId="4211B5AF">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日常管理</w:t>
            </w:r>
          </w:p>
        </w:tc>
        <w:tc>
          <w:tcPr>
            <w:tcW w:w="5762" w:type="dxa"/>
            <w:vAlign w:val="center"/>
          </w:tcPr>
          <w:p w14:paraId="7B535519">
            <w:pPr>
              <w:autoSpaceDE w:val="0"/>
              <w:autoSpaceDN w:val="0"/>
              <w:adjustRightInd w:val="0"/>
              <w:snapToGrid w:val="0"/>
              <w:rPr>
                <w:rFonts w:ascii="宋体" w:hAnsi="宋体" w:eastAsia="宋体" w:cs="宋体"/>
                <w:b/>
                <w:bCs/>
                <w:sz w:val="18"/>
                <w:szCs w:val="18"/>
              </w:rPr>
            </w:pPr>
            <w:r>
              <w:rPr>
                <w:rFonts w:hint="eastAsia" w:ascii="宋体" w:hAnsi="宋体" w:eastAsia="宋体" w:cs="宋体"/>
                <w:sz w:val="18"/>
                <w:szCs w:val="18"/>
              </w:rPr>
              <w:t>已按照设备管理体系要求，常态化开展目标设备的日常检查测试维护工作，并保留完整的记录。</w:t>
            </w:r>
          </w:p>
        </w:tc>
      </w:tr>
      <w:tr w14:paraId="75E699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795" w:type="dxa"/>
            <w:vAlign w:val="center"/>
          </w:tcPr>
          <w:p w14:paraId="2E66C96E">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1.2</w:t>
            </w:r>
          </w:p>
        </w:tc>
        <w:tc>
          <w:tcPr>
            <w:tcW w:w="2400" w:type="dxa"/>
            <w:vAlign w:val="center"/>
          </w:tcPr>
          <w:p w14:paraId="4150F18B">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技术基础</w:t>
            </w:r>
          </w:p>
        </w:tc>
        <w:tc>
          <w:tcPr>
            <w:tcW w:w="5762" w:type="dxa"/>
            <w:vAlign w:val="center"/>
          </w:tcPr>
          <w:p w14:paraId="240F03B2">
            <w:pPr>
              <w:autoSpaceDE w:val="0"/>
              <w:autoSpaceDN w:val="0"/>
              <w:adjustRightInd w:val="0"/>
              <w:snapToGrid w:val="0"/>
              <w:rPr>
                <w:rFonts w:ascii="宋体" w:hAnsi="宋体" w:eastAsia="宋体" w:cs="宋体"/>
                <w:b/>
                <w:bCs/>
                <w:sz w:val="18"/>
                <w:szCs w:val="18"/>
              </w:rPr>
            </w:pPr>
            <w:r>
              <w:rPr>
                <w:rFonts w:hint="eastAsia" w:ascii="宋体" w:hAnsi="宋体" w:eastAsia="宋体" w:cs="宋体"/>
                <w:sz w:val="18"/>
                <w:szCs w:val="18"/>
              </w:rPr>
              <w:t>日常检查测试内容应与AQ 2082-2025的数据采集要求一致。</w:t>
            </w:r>
          </w:p>
        </w:tc>
      </w:tr>
      <w:tr w14:paraId="64B5E6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795" w:type="dxa"/>
            <w:vAlign w:val="center"/>
          </w:tcPr>
          <w:p w14:paraId="7F820F49">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1.3</w:t>
            </w:r>
          </w:p>
        </w:tc>
        <w:tc>
          <w:tcPr>
            <w:tcW w:w="2400" w:type="dxa"/>
            <w:vAlign w:val="center"/>
          </w:tcPr>
          <w:p w14:paraId="7354E118">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管理承诺</w:t>
            </w:r>
          </w:p>
        </w:tc>
        <w:tc>
          <w:tcPr>
            <w:tcW w:w="5762" w:type="dxa"/>
            <w:vAlign w:val="center"/>
          </w:tcPr>
          <w:p w14:paraId="216ACDE3">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明确数据采集记录的审核人（生产设施设备管理负责人）和批准人（总监等生产设施负责人），并出具对数据采集质量和准确性等负责的承诺书。</w:t>
            </w:r>
          </w:p>
        </w:tc>
      </w:tr>
      <w:tr w14:paraId="4BA1F1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08147CA4">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2</w:t>
            </w:r>
          </w:p>
        </w:tc>
        <w:tc>
          <w:tcPr>
            <w:tcW w:w="2400" w:type="dxa"/>
            <w:vAlign w:val="center"/>
          </w:tcPr>
          <w:p w14:paraId="1125095A">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人员要求</w:t>
            </w:r>
          </w:p>
        </w:tc>
        <w:tc>
          <w:tcPr>
            <w:tcW w:w="5762" w:type="dxa"/>
            <w:vAlign w:val="center"/>
          </w:tcPr>
          <w:p w14:paraId="6AE56095">
            <w:pPr>
              <w:autoSpaceDE w:val="0"/>
              <w:autoSpaceDN w:val="0"/>
              <w:adjustRightInd w:val="0"/>
              <w:snapToGrid w:val="0"/>
              <w:jc w:val="center"/>
              <w:rPr>
                <w:rFonts w:ascii="宋体" w:hAnsi="宋体" w:eastAsia="宋体" w:cs="宋体"/>
                <w:b/>
                <w:bCs/>
                <w:sz w:val="18"/>
                <w:szCs w:val="18"/>
              </w:rPr>
            </w:pPr>
          </w:p>
        </w:tc>
      </w:tr>
      <w:tr w14:paraId="18D338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795" w:type="dxa"/>
            <w:vAlign w:val="center"/>
          </w:tcPr>
          <w:p w14:paraId="1E852CBF">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2.1</w:t>
            </w:r>
          </w:p>
        </w:tc>
        <w:tc>
          <w:tcPr>
            <w:tcW w:w="2400" w:type="dxa"/>
            <w:vAlign w:val="center"/>
          </w:tcPr>
          <w:p w14:paraId="52703820">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人数要求</w:t>
            </w:r>
          </w:p>
        </w:tc>
        <w:tc>
          <w:tcPr>
            <w:tcW w:w="5762" w:type="dxa"/>
            <w:vAlign w:val="center"/>
          </w:tcPr>
          <w:p w14:paraId="1BBF6BD4">
            <w:pPr>
              <w:pStyle w:val="22"/>
              <w:spacing w:before="0" w:beforeAutospacing="0" w:after="0" w:afterAutospacing="0"/>
              <w:rPr>
                <w:rFonts w:eastAsia="宋体" w:cs="宋体"/>
                <w:sz w:val="18"/>
                <w:szCs w:val="18"/>
              </w:rPr>
            </w:pPr>
            <w:r>
              <w:rPr>
                <w:rFonts w:hint="eastAsia" w:eastAsia="宋体" w:cs="宋体"/>
                <w:kern w:val="2"/>
                <w:sz w:val="18"/>
                <w:szCs w:val="18"/>
              </w:rPr>
              <w:t>生产设施上开展现场数据采集工作的人员不少于2人（须为本设施的</w:t>
            </w:r>
            <w:r>
              <w:rPr>
                <w:rFonts w:eastAsia="宋体" w:cs="宋体"/>
                <w:kern w:val="2"/>
                <w:sz w:val="18"/>
                <w:szCs w:val="18"/>
              </w:rPr>
              <w:t>全</w:t>
            </w:r>
            <w:r>
              <w:rPr>
                <w:rFonts w:hint="eastAsia" w:eastAsia="宋体" w:cs="宋体"/>
                <w:kern w:val="2"/>
                <w:sz w:val="18"/>
                <w:szCs w:val="18"/>
              </w:rPr>
              <w:t>职技术人员）。</w:t>
            </w:r>
          </w:p>
        </w:tc>
      </w:tr>
      <w:tr w14:paraId="2D6928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795" w:type="dxa"/>
            <w:vAlign w:val="center"/>
          </w:tcPr>
          <w:p w14:paraId="4D432CF6">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2.2</w:t>
            </w:r>
          </w:p>
        </w:tc>
        <w:tc>
          <w:tcPr>
            <w:tcW w:w="2400" w:type="dxa"/>
            <w:vAlign w:val="center"/>
          </w:tcPr>
          <w:p w14:paraId="519F79A8">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学历要求</w:t>
            </w:r>
          </w:p>
        </w:tc>
        <w:tc>
          <w:tcPr>
            <w:tcW w:w="5762" w:type="dxa"/>
            <w:vAlign w:val="center"/>
          </w:tcPr>
          <w:p w14:paraId="247511D4">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数据采集人员具有大学专科或大学专科以上学历。</w:t>
            </w:r>
          </w:p>
        </w:tc>
      </w:tr>
      <w:tr w14:paraId="4BE90D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154EE61F">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2.3</w:t>
            </w:r>
          </w:p>
        </w:tc>
        <w:tc>
          <w:tcPr>
            <w:tcW w:w="2400" w:type="dxa"/>
            <w:vAlign w:val="center"/>
          </w:tcPr>
          <w:p w14:paraId="0E334298">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工作经历</w:t>
            </w:r>
          </w:p>
        </w:tc>
        <w:tc>
          <w:tcPr>
            <w:tcW w:w="5762" w:type="dxa"/>
            <w:vAlign w:val="center"/>
          </w:tcPr>
          <w:p w14:paraId="3295BD78">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数据采集人员具备至少2年相关的检查测试维保实践经验。</w:t>
            </w:r>
          </w:p>
        </w:tc>
      </w:tr>
      <w:tr w14:paraId="6A8817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795" w:type="dxa"/>
            <w:vAlign w:val="center"/>
          </w:tcPr>
          <w:p w14:paraId="79A797CE">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2.4</w:t>
            </w:r>
          </w:p>
        </w:tc>
        <w:tc>
          <w:tcPr>
            <w:tcW w:w="2400" w:type="dxa"/>
            <w:vAlign w:val="center"/>
          </w:tcPr>
          <w:p w14:paraId="18260C73">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取证要求</w:t>
            </w:r>
          </w:p>
        </w:tc>
        <w:tc>
          <w:tcPr>
            <w:tcW w:w="5762" w:type="dxa"/>
            <w:vAlign w:val="center"/>
          </w:tcPr>
          <w:p w14:paraId="573A1A51">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数据采集</w:t>
            </w:r>
            <w:r>
              <w:rPr>
                <w:rFonts w:hint="eastAsia" w:ascii="宋体" w:hAnsi="宋体" w:eastAsia="宋体" w:cs="宋体"/>
                <w:kern w:val="0"/>
                <w:sz w:val="18"/>
                <w:szCs w:val="18"/>
              </w:rPr>
              <w:t>人员取得计量类证书或消防类证书，其中计量类证书为注册计量师或原计量检定员证或计量标准规程考核合格证明/证书；消防类证书为注册消防工程师。</w:t>
            </w:r>
          </w:p>
        </w:tc>
      </w:tr>
      <w:tr w14:paraId="54A02E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20989890">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3</w:t>
            </w:r>
          </w:p>
        </w:tc>
        <w:tc>
          <w:tcPr>
            <w:tcW w:w="2400" w:type="dxa"/>
            <w:vAlign w:val="center"/>
          </w:tcPr>
          <w:p w14:paraId="02C9A56E">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检测设备及标准物质</w:t>
            </w:r>
          </w:p>
        </w:tc>
        <w:tc>
          <w:tcPr>
            <w:tcW w:w="5762" w:type="dxa"/>
            <w:vAlign w:val="center"/>
          </w:tcPr>
          <w:p w14:paraId="09FAC681">
            <w:pPr>
              <w:autoSpaceDE w:val="0"/>
              <w:autoSpaceDN w:val="0"/>
              <w:adjustRightInd w:val="0"/>
              <w:snapToGrid w:val="0"/>
              <w:jc w:val="center"/>
              <w:rPr>
                <w:rFonts w:ascii="宋体" w:hAnsi="宋体" w:eastAsia="宋体" w:cs="宋体"/>
                <w:sz w:val="18"/>
                <w:szCs w:val="18"/>
              </w:rPr>
            </w:pPr>
          </w:p>
        </w:tc>
      </w:tr>
      <w:tr w14:paraId="290D16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795" w:type="dxa"/>
            <w:vAlign w:val="center"/>
          </w:tcPr>
          <w:p w14:paraId="2218589D">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3.1</w:t>
            </w:r>
          </w:p>
        </w:tc>
        <w:tc>
          <w:tcPr>
            <w:tcW w:w="2400" w:type="dxa"/>
            <w:vAlign w:val="center"/>
          </w:tcPr>
          <w:p w14:paraId="7DDD66E5">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火灾系统检测设备</w:t>
            </w:r>
          </w:p>
        </w:tc>
        <w:tc>
          <w:tcPr>
            <w:tcW w:w="5762" w:type="dxa"/>
            <w:vAlign w:val="center"/>
          </w:tcPr>
          <w:p w14:paraId="0AF0A3F0">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配备不少于1套具备火灾模拟信号发生功能的检测设备，可模拟输出烟、热、火焰信号。</w:t>
            </w:r>
          </w:p>
          <w:p w14:paraId="765A1732">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设备具备有效的合格证书，并定期进行功能检查。</w:t>
            </w:r>
          </w:p>
        </w:tc>
      </w:tr>
      <w:tr w14:paraId="3F4D6D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95" w:type="dxa"/>
            <w:vAlign w:val="center"/>
          </w:tcPr>
          <w:p w14:paraId="798A4E48">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3.2</w:t>
            </w:r>
          </w:p>
        </w:tc>
        <w:tc>
          <w:tcPr>
            <w:tcW w:w="2400" w:type="dxa"/>
            <w:vAlign w:val="center"/>
          </w:tcPr>
          <w:p w14:paraId="63CF2C0F">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标准实验样气</w:t>
            </w:r>
          </w:p>
        </w:tc>
        <w:tc>
          <w:tcPr>
            <w:tcW w:w="5762" w:type="dxa"/>
            <w:vAlign w:val="center"/>
          </w:tcPr>
          <w:p w14:paraId="3C7E4043">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配备可燃气体、有毒有害气体标准实验样气，其浓度和扩展不确定度需满足JJG693、JJG695等检定规程要求。</w:t>
            </w:r>
          </w:p>
          <w:p w14:paraId="5E29F989">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标准实验样气具有国家有证标准物质证书，且证书应在有效期内。</w:t>
            </w:r>
          </w:p>
        </w:tc>
      </w:tr>
      <w:tr w14:paraId="3D7142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95" w:type="dxa"/>
            <w:vAlign w:val="center"/>
          </w:tcPr>
          <w:p w14:paraId="618DA45E">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3.3</w:t>
            </w:r>
          </w:p>
        </w:tc>
        <w:tc>
          <w:tcPr>
            <w:tcW w:w="2400" w:type="dxa"/>
            <w:vAlign w:val="center"/>
          </w:tcPr>
          <w:p w14:paraId="2023311B">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其它配套设备</w:t>
            </w:r>
          </w:p>
        </w:tc>
        <w:tc>
          <w:tcPr>
            <w:tcW w:w="5762" w:type="dxa"/>
            <w:vAlign w:val="center"/>
          </w:tcPr>
          <w:p w14:paraId="0122EDC7">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配备数量充足、功能完好的检测配套设备，包括：气体减压阀、流量控制器、秒表、万用表等。定期对相关设备进行检查维护。</w:t>
            </w:r>
          </w:p>
        </w:tc>
      </w:tr>
      <w:tr w14:paraId="49EE8D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95" w:type="dxa"/>
            <w:vAlign w:val="center"/>
          </w:tcPr>
          <w:p w14:paraId="4877A081">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4</w:t>
            </w:r>
          </w:p>
        </w:tc>
        <w:tc>
          <w:tcPr>
            <w:tcW w:w="2400" w:type="dxa"/>
            <w:vAlign w:val="center"/>
          </w:tcPr>
          <w:p w14:paraId="53BDC958">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技术体系</w:t>
            </w:r>
          </w:p>
        </w:tc>
        <w:tc>
          <w:tcPr>
            <w:tcW w:w="5762" w:type="dxa"/>
            <w:vAlign w:val="center"/>
          </w:tcPr>
          <w:p w14:paraId="49CF75C7">
            <w:pPr>
              <w:autoSpaceDE w:val="0"/>
              <w:autoSpaceDN w:val="0"/>
              <w:adjustRightInd w:val="0"/>
              <w:snapToGrid w:val="0"/>
              <w:jc w:val="right"/>
              <w:rPr>
                <w:rFonts w:ascii="宋体" w:hAnsi="宋体" w:eastAsia="宋体" w:cs="宋体"/>
                <w:sz w:val="18"/>
                <w:szCs w:val="18"/>
              </w:rPr>
            </w:pPr>
          </w:p>
        </w:tc>
      </w:tr>
      <w:tr w14:paraId="43770D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95" w:type="dxa"/>
            <w:vAlign w:val="center"/>
          </w:tcPr>
          <w:p w14:paraId="4E6FC84B">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4.1</w:t>
            </w:r>
          </w:p>
        </w:tc>
        <w:tc>
          <w:tcPr>
            <w:tcW w:w="2400" w:type="dxa"/>
            <w:vAlign w:val="center"/>
          </w:tcPr>
          <w:p w14:paraId="2DF7607D">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作业指导文件</w:t>
            </w:r>
          </w:p>
        </w:tc>
        <w:tc>
          <w:tcPr>
            <w:tcW w:w="5762" w:type="dxa"/>
            <w:vAlign w:val="center"/>
          </w:tcPr>
          <w:p w14:paraId="776E3F3A">
            <w:pPr>
              <w:autoSpaceDE w:val="0"/>
              <w:autoSpaceDN w:val="0"/>
              <w:adjustRightInd w:val="0"/>
              <w:snapToGrid w:val="0"/>
              <w:rPr>
                <w:rFonts w:ascii="宋体" w:hAnsi="宋体" w:eastAsia="宋体" w:cs="宋体"/>
                <w:sz w:val="18"/>
                <w:szCs w:val="18"/>
              </w:rPr>
            </w:pPr>
            <w:r>
              <w:rPr>
                <w:rFonts w:hint="eastAsia" w:ascii="宋体" w:hAnsi="宋体" w:eastAsia="宋体" w:cs="宋体"/>
                <w:sz w:val="18"/>
                <w:szCs w:val="18"/>
              </w:rPr>
              <w:t>制定详尽的作业指导文件，包括：可燃气体、有毒有害气体探测报警系统检测数据采集作业指导书、火灾自动报警系统检测数据采集作业指导书等，覆盖各类被检设备数据采集各环节的标准化方法和要求。</w:t>
            </w:r>
          </w:p>
        </w:tc>
      </w:tr>
      <w:tr w14:paraId="3D951D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95" w:type="dxa"/>
            <w:vAlign w:val="center"/>
          </w:tcPr>
          <w:p w14:paraId="062180EF">
            <w:pPr>
              <w:autoSpaceDE w:val="0"/>
              <w:autoSpaceDN w:val="0"/>
              <w:adjustRightInd w:val="0"/>
              <w:snapToGrid w:val="0"/>
              <w:jc w:val="right"/>
              <w:rPr>
                <w:rFonts w:ascii="宋体" w:hAnsi="宋体" w:eastAsia="宋体" w:cs="宋体"/>
                <w:sz w:val="18"/>
                <w:szCs w:val="18"/>
              </w:rPr>
            </w:pPr>
            <w:r>
              <w:rPr>
                <w:rFonts w:hint="eastAsia" w:ascii="宋体" w:hAnsi="宋体" w:eastAsia="宋体" w:cs="宋体"/>
                <w:sz w:val="18"/>
                <w:szCs w:val="18"/>
              </w:rPr>
              <w:t>4.2</w:t>
            </w:r>
          </w:p>
        </w:tc>
        <w:tc>
          <w:tcPr>
            <w:tcW w:w="2400" w:type="dxa"/>
            <w:vAlign w:val="center"/>
          </w:tcPr>
          <w:p w14:paraId="52FAF8F4">
            <w:pPr>
              <w:autoSpaceDE w:val="0"/>
              <w:autoSpaceDN w:val="0"/>
              <w:adjustRightInd w:val="0"/>
              <w:snapToGrid w:val="0"/>
              <w:jc w:val="center"/>
              <w:rPr>
                <w:rFonts w:ascii="宋体" w:hAnsi="宋体" w:eastAsia="宋体" w:cs="宋体"/>
                <w:sz w:val="18"/>
                <w:szCs w:val="18"/>
              </w:rPr>
            </w:pPr>
            <w:r>
              <w:rPr>
                <w:rFonts w:hint="eastAsia" w:ascii="宋体" w:hAnsi="宋体" w:eastAsia="宋体" w:cs="宋体"/>
                <w:sz w:val="18"/>
                <w:szCs w:val="18"/>
              </w:rPr>
              <w:t>设备操作规程</w:t>
            </w:r>
          </w:p>
        </w:tc>
        <w:tc>
          <w:tcPr>
            <w:tcW w:w="5762" w:type="dxa"/>
            <w:vAlign w:val="center"/>
          </w:tcPr>
          <w:p w14:paraId="652D93BF">
            <w:pPr>
              <w:pStyle w:val="22"/>
              <w:spacing w:before="0" w:beforeAutospacing="0" w:after="0" w:afterAutospacing="0"/>
              <w:rPr>
                <w:rFonts w:eastAsia="宋体" w:cs="宋体"/>
                <w:sz w:val="18"/>
                <w:szCs w:val="18"/>
              </w:rPr>
            </w:pPr>
            <w:r>
              <w:rPr>
                <w:rFonts w:hint="eastAsia" w:eastAsia="宋体" w:cs="宋体"/>
                <w:kern w:val="2"/>
                <w:sz w:val="18"/>
                <w:szCs w:val="18"/>
              </w:rPr>
              <w:t>制定各类检测设备及标准物质的操作规程，覆盖设备的存储、使用、维护、溯源等要求。</w:t>
            </w:r>
          </w:p>
        </w:tc>
      </w:tr>
      <w:tr w14:paraId="22F909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8957" w:type="dxa"/>
            <w:gridSpan w:val="3"/>
            <w:vAlign w:val="center"/>
          </w:tcPr>
          <w:p w14:paraId="50AA8B18">
            <w:pPr>
              <w:pStyle w:val="122"/>
              <w:widowControl/>
              <w:numPr>
                <w:ilvl w:val="0"/>
                <w:numId w:val="0"/>
              </w:numPr>
              <w:ind w:left="720" w:hanging="357"/>
              <w:rPr>
                <w:rFonts w:hAnsi="宋体" w:cs="宋体"/>
                <w:kern w:val="2"/>
              </w:rPr>
            </w:pPr>
            <w:r>
              <w:rPr>
                <w:rFonts w:hint="eastAsia" w:hAnsi="宋体" w:eastAsia="黑体" w:cs="宋体"/>
                <w:kern w:val="2"/>
              </w:rPr>
              <w:t>注：</w:t>
            </w:r>
            <w:r>
              <w:rPr>
                <w:rFonts w:hint="eastAsia" w:hAnsi="宋体"/>
              </w:rPr>
              <w:t>上述生产设施指设置总监的生产设施及其所管辖的生产设施。</w:t>
            </w:r>
          </w:p>
        </w:tc>
      </w:tr>
    </w:tbl>
    <w:p w14:paraId="44A9DEFE">
      <w:pPr>
        <w:pStyle w:val="43"/>
        <w:ind w:firstLine="0" w:firstLineChars="0"/>
        <w:jc w:val="center"/>
        <w:rPr>
          <w:rFonts w:hAnsi="宋体"/>
        </w:rPr>
      </w:pPr>
    </w:p>
    <w:p w14:paraId="7A56EAF1">
      <w:pPr>
        <w:jc w:val="center"/>
        <w:rPr>
          <w:rFonts w:ascii="宋体" w:hAnsi="宋体"/>
        </w:rPr>
      </w:pPr>
      <w:r>
        <w:rPr>
          <w:rFonts w:hint="eastAsia" w:ascii="宋体" w:hAnsi="宋体"/>
        </w:rPr>
        <w:br w:type="page"/>
      </w:r>
    </w:p>
    <w:p w14:paraId="3E65B24A">
      <w:pPr>
        <w:pStyle w:val="90"/>
        <w:tabs>
          <w:tab w:val="left" w:pos="6406"/>
        </w:tabs>
        <w:spacing w:after="156"/>
        <w:ind w:left="0"/>
        <w:rPr>
          <w:rFonts w:ascii="宋体" w:hAnsi="宋体"/>
        </w:rPr>
        <w:sectPr>
          <w:pgSz w:w="11906" w:h="16838"/>
          <w:pgMar w:top="1701" w:right="1474" w:bottom="1474" w:left="1587" w:header="851" w:footer="992" w:gutter="0"/>
          <w:cols w:space="425" w:num="1"/>
          <w:docGrid w:type="lines" w:linePitch="312" w:charSpace="0"/>
        </w:sectPr>
      </w:pPr>
    </w:p>
    <w:p w14:paraId="4D266358">
      <w:pPr>
        <w:pStyle w:val="90"/>
        <w:tabs>
          <w:tab w:val="left" w:pos="6406"/>
        </w:tabs>
        <w:spacing w:after="157"/>
        <w:ind w:left="0"/>
        <w:rPr>
          <w:rFonts w:ascii="宋体" w:hAnsi="宋体"/>
        </w:rPr>
      </w:pPr>
      <w:bookmarkStart w:id="137" w:name="_Toc14773"/>
      <w:bookmarkStart w:id="138" w:name="_Toc22233"/>
      <w:bookmarkStart w:id="139" w:name="_Toc19379"/>
      <w:r>
        <w:rPr>
          <w:rFonts w:ascii="宋体" w:hAnsi="宋体"/>
        </w:rPr>
        <w:br w:type="textWrapping"/>
      </w:r>
      <w:r>
        <w:rPr>
          <w:rFonts w:hint="eastAsia" w:ascii="宋体" w:hAnsi="宋体"/>
        </w:rPr>
        <w:t>（规范性）</w:t>
      </w:r>
      <w:r>
        <w:rPr>
          <w:rFonts w:ascii="宋体" w:hAnsi="宋体"/>
        </w:rPr>
        <w:br w:type="textWrapping"/>
      </w:r>
      <w:r>
        <w:rPr>
          <w:rFonts w:hint="eastAsia" w:ascii="宋体" w:hAnsi="宋体"/>
        </w:rPr>
        <w:t>火灾和可燃气体探测报警及控制系统检测数据采集记录模板</w:t>
      </w:r>
      <w:bookmarkEnd w:id="137"/>
      <w:bookmarkEnd w:id="138"/>
      <w:bookmarkEnd w:id="139"/>
    </w:p>
    <w:p w14:paraId="2781DDF3">
      <w:pPr>
        <w:pStyle w:val="43"/>
        <w:ind w:firstLine="420"/>
        <w:rPr>
          <w:rFonts w:hAnsi="宋体"/>
        </w:rPr>
      </w:pPr>
      <w:r>
        <w:rPr>
          <w:rFonts w:hint="eastAsia" w:hAnsi="宋体"/>
        </w:rPr>
        <w:t>作业者或承包者自主开展火灾和可燃气体探测报警及控制系统检测数据采集工作，相关设备数据采集模板应符合附录G的要求，并加盖作业者或承包者公章。</w:t>
      </w:r>
    </w:p>
    <w:p w14:paraId="52054796">
      <w:pPr>
        <w:pStyle w:val="113"/>
        <w:numPr>
          <w:ilvl w:val="0"/>
          <w:numId w:val="0"/>
        </w:numPr>
        <w:ind w:left="425" w:hanging="425"/>
        <w:rPr>
          <w:rFonts w:hAnsi="宋体"/>
        </w:rPr>
      </w:pPr>
      <w:r>
        <w:rPr>
          <w:rFonts w:hint="eastAsia" w:hAnsi="宋体"/>
        </w:rPr>
        <w:t>B</w:t>
      </w:r>
    </w:p>
    <w:p w14:paraId="33E1BCE0">
      <w:pPr>
        <w:pStyle w:val="108"/>
        <w:numPr>
          <w:ilvl w:val="1"/>
          <w:numId w:val="0"/>
        </w:numPr>
        <w:spacing w:before="157" w:after="157"/>
        <w:rPr>
          <w:rFonts w:ascii="宋体" w:hAnsi="宋体"/>
        </w:rPr>
      </w:pPr>
      <w:r>
        <w:rPr>
          <w:rFonts w:hint="eastAsia" w:ascii="宋体" w:hAnsi="宋体"/>
        </w:rPr>
        <w:t>表G.1感烟探测器/感温探测器/火焰探测器/手动火灾报警数据采集记录模板</w:t>
      </w:r>
    </w:p>
    <w:tbl>
      <w:tblPr>
        <w:tblStyle w:val="25"/>
        <w:tblW w:w="4997" w:type="pct"/>
        <w:tblInd w:w="0" w:type="dxa"/>
        <w:tblLayout w:type="fixed"/>
        <w:tblCellMar>
          <w:top w:w="0" w:type="dxa"/>
          <w:left w:w="108" w:type="dxa"/>
          <w:bottom w:w="0" w:type="dxa"/>
          <w:right w:w="108" w:type="dxa"/>
        </w:tblCellMar>
      </w:tblPr>
      <w:tblGrid>
        <w:gridCol w:w="575"/>
        <w:gridCol w:w="1000"/>
        <w:gridCol w:w="619"/>
        <w:gridCol w:w="1462"/>
        <w:gridCol w:w="494"/>
        <w:gridCol w:w="494"/>
        <w:gridCol w:w="1831"/>
        <w:gridCol w:w="988"/>
        <w:gridCol w:w="1603"/>
        <w:gridCol w:w="985"/>
        <w:gridCol w:w="985"/>
        <w:gridCol w:w="1520"/>
        <w:gridCol w:w="1315"/>
      </w:tblGrid>
      <w:tr w14:paraId="5BBB4DF2">
        <w:tblPrEx>
          <w:tblCellMar>
            <w:top w:w="0" w:type="dxa"/>
            <w:left w:w="108" w:type="dxa"/>
            <w:bottom w:w="0" w:type="dxa"/>
            <w:right w:w="108" w:type="dxa"/>
          </w:tblCellMar>
        </w:tblPrEx>
        <w:trPr>
          <w:trHeight w:val="520" w:hRule="atLeast"/>
        </w:trPr>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64964F">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检验设备</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4253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D4F08">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名称</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A42F8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CB8F9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7DC6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不确定度/准确度等级/最大允许误差</w:t>
            </w: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9304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有效期至</w:t>
            </w: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5EAB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溯源机构</w:t>
            </w: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6B9F3C">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证书编号</w:t>
            </w:r>
          </w:p>
        </w:tc>
        <w:tc>
          <w:tcPr>
            <w:tcW w:w="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03164">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作业者或承包者</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4CECA">
            <w:pPr>
              <w:widowControl/>
              <w:jc w:val="center"/>
              <w:textAlignment w:val="center"/>
              <w:rPr>
                <w:rFonts w:ascii="宋体" w:hAnsi="宋体" w:eastAsia="宋体" w:cs="宋体"/>
                <w:color w:val="000000"/>
                <w:kern w:val="0"/>
                <w:sz w:val="18"/>
                <w:szCs w:val="18"/>
              </w:rPr>
            </w:pPr>
          </w:p>
        </w:tc>
      </w:tr>
      <w:tr w14:paraId="21D4B70A">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8034E">
            <w:pPr>
              <w:jc w:val="center"/>
              <w:rPr>
                <w:rFonts w:ascii="宋体" w:hAnsi="宋体" w:eastAsia="黑体" w:cs="黑体"/>
                <w:color w:val="000000"/>
                <w:sz w:val="18"/>
                <w:szCs w:val="18"/>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8C84A">
            <w:pPr>
              <w:jc w:val="center"/>
              <w:rPr>
                <w:rFonts w:ascii="宋体" w:hAnsi="宋体" w:eastAsia="宋体" w:cs="宋体"/>
                <w:color w:val="000000"/>
                <w:sz w:val="18"/>
                <w:szCs w:val="18"/>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AB770">
            <w:pPr>
              <w:jc w:val="center"/>
              <w:rPr>
                <w:rFonts w:ascii="宋体" w:hAnsi="宋体" w:eastAsia="宋体" w:cs="宋体"/>
                <w:color w:val="FF0000"/>
                <w:sz w:val="18"/>
                <w:szCs w:val="18"/>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566F3">
            <w:pPr>
              <w:jc w:val="center"/>
              <w:rPr>
                <w:rFonts w:ascii="宋体" w:hAnsi="宋体" w:eastAsia="宋体" w:cs="宋体"/>
                <w:color w:val="FF0000"/>
                <w:sz w:val="16"/>
                <w:szCs w:val="16"/>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72BCF1">
            <w:pPr>
              <w:jc w:val="center"/>
              <w:rPr>
                <w:rFonts w:ascii="宋体" w:hAnsi="宋体" w:eastAsia="宋体" w:cs="宋体"/>
                <w:color w:val="FF0000"/>
                <w:sz w:val="18"/>
                <w:szCs w:val="18"/>
              </w:rPr>
            </w:pP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1081D5">
            <w:pPr>
              <w:jc w:val="center"/>
              <w:rPr>
                <w:rFonts w:ascii="宋体" w:hAnsi="宋体" w:eastAsia="宋体" w:cs="宋体"/>
                <w:i/>
                <w:iCs/>
                <w:color w:val="FF0000"/>
                <w:sz w:val="18"/>
                <w:szCs w:val="18"/>
              </w:rPr>
            </w:pP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62890">
            <w:pPr>
              <w:jc w:val="center"/>
              <w:rPr>
                <w:rFonts w:ascii="宋体" w:hAnsi="宋体" w:eastAsia="宋体" w:cs="宋体"/>
                <w:color w:val="FF0000"/>
                <w:sz w:val="18"/>
                <w:szCs w:val="18"/>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31306">
            <w:pPr>
              <w:jc w:val="center"/>
              <w:rPr>
                <w:rFonts w:ascii="宋体" w:hAnsi="宋体" w:eastAsia="宋体" w:cs="宋体"/>
                <w:color w:val="FF0000"/>
                <w:sz w:val="18"/>
                <w:szCs w:val="18"/>
              </w:rPr>
            </w:pP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0B86F8">
            <w:pPr>
              <w:jc w:val="center"/>
              <w:rPr>
                <w:rFonts w:ascii="宋体" w:hAnsi="宋体" w:eastAsia="宋体" w:cs="宋体"/>
                <w:color w:val="FF0000"/>
                <w:sz w:val="18"/>
                <w:szCs w:val="18"/>
              </w:rPr>
            </w:pPr>
          </w:p>
        </w:tc>
        <w:tc>
          <w:tcPr>
            <w:tcW w:w="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02CF3">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所属设施</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00CB7">
            <w:pPr>
              <w:widowControl/>
              <w:jc w:val="center"/>
              <w:textAlignment w:val="center"/>
              <w:rPr>
                <w:rFonts w:ascii="宋体" w:hAnsi="宋体" w:eastAsia="宋体" w:cs="宋体"/>
                <w:color w:val="000000"/>
                <w:kern w:val="0"/>
                <w:sz w:val="18"/>
                <w:szCs w:val="18"/>
              </w:rPr>
            </w:pPr>
          </w:p>
        </w:tc>
      </w:tr>
      <w:tr w14:paraId="52CC3D1A">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CA897">
            <w:pPr>
              <w:jc w:val="center"/>
              <w:rPr>
                <w:rFonts w:ascii="宋体" w:hAnsi="宋体" w:eastAsia="黑体" w:cs="黑体"/>
                <w:color w:val="000000"/>
                <w:sz w:val="18"/>
                <w:szCs w:val="18"/>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9338E">
            <w:pPr>
              <w:jc w:val="center"/>
              <w:rPr>
                <w:rFonts w:ascii="宋体" w:hAnsi="宋体" w:eastAsia="宋体" w:cs="宋体"/>
                <w:color w:val="000000"/>
                <w:sz w:val="18"/>
                <w:szCs w:val="18"/>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1245B">
            <w:pPr>
              <w:jc w:val="center"/>
              <w:rPr>
                <w:rFonts w:ascii="宋体" w:hAnsi="宋体" w:eastAsia="宋体" w:cs="宋体"/>
                <w:color w:val="FF0000"/>
                <w:sz w:val="18"/>
                <w:szCs w:val="18"/>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915A5">
            <w:pPr>
              <w:jc w:val="center"/>
              <w:rPr>
                <w:rFonts w:ascii="宋体" w:hAnsi="宋体" w:eastAsia="宋体" w:cs="宋体"/>
                <w:color w:val="FF0000"/>
                <w:sz w:val="18"/>
                <w:szCs w:val="18"/>
              </w:rPr>
            </w:pPr>
          </w:p>
        </w:tc>
        <w:tc>
          <w:tcPr>
            <w:tcW w:w="35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3E9391">
            <w:pPr>
              <w:jc w:val="center"/>
              <w:rPr>
                <w:rFonts w:ascii="宋体" w:hAnsi="宋体" w:eastAsia="宋体" w:cs="宋体"/>
                <w:color w:val="FF0000"/>
                <w:sz w:val="18"/>
                <w:szCs w:val="18"/>
              </w:rPr>
            </w:pPr>
          </w:p>
        </w:tc>
        <w:tc>
          <w:tcPr>
            <w:tcW w:w="65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15277">
            <w:pPr>
              <w:jc w:val="center"/>
              <w:rPr>
                <w:rFonts w:ascii="宋体" w:hAnsi="宋体" w:eastAsia="宋体" w:cs="宋体"/>
                <w:color w:val="FF0000"/>
                <w:sz w:val="18"/>
                <w:szCs w:val="18"/>
              </w:rPr>
            </w:pPr>
          </w:p>
        </w:tc>
        <w:tc>
          <w:tcPr>
            <w:tcW w:w="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755FF">
            <w:pPr>
              <w:jc w:val="center"/>
              <w:rPr>
                <w:rFonts w:ascii="宋体" w:hAnsi="宋体" w:eastAsia="宋体" w:cs="宋体"/>
                <w:color w:val="FF0000"/>
                <w:sz w:val="18"/>
                <w:szCs w:val="18"/>
              </w:rPr>
            </w:pPr>
          </w:p>
        </w:tc>
        <w:tc>
          <w:tcPr>
            <w:tcW w:w="5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3C5C5">
            <w:pPr>
              <w:jc w:val="center"/>
              <w:rPr>
                <w:rFonts w:ascii="宋体" w:hAnsi="宋体" w:eastAsia="宋体" w:cs="宋体"/>
                <w:color w:val="FF0000"/>
                <w:sz w:val="18"/>
                <w:szCs w:val="18"/>
              </w:rPr>
            </w:pP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CB6DFB">
            <w:pPr>
              <w:jc w:val="center"/>
              <w:rPr>
                <w:rFonts w:ascii="宋体" w:hAnsi="宋体" w:eastAsia="宋体" w:cs="宋体"/>
                <w:color w:val="FF0000"/>
                <w:sz w:val="18"/>
                <w:szCs w:val="18"/>
              </w:rPr>
            </w:pPr>
          </w:p>
        </w:tc>
        <w:tc>
          <w:tcPr>
            <w:tcW w:w="5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1B2B76">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被检设备名称</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649A5">
            <w:pPr>
              <w:widowControl/>
              <w:jc w:val="center"/>
              <w:textAlignment w:val="center"/>
              <w:rPr>
                <w:rFonts w:ascii="宋体" w:hAnsi="宋体" w:eastAsia="宋体" w:cs="宋体"/>
                <w:color w:val="000000"/>
                <w:kern w:val="0"/>
                <w:sz w:val="18"/>
                <w:szCs w:val="18"/>
              </w:rPr>
            </w:pPr>
          </w:p>
        </w:tc>
      </w:tr>
      <w:tr w14:paraId="4D4EEFCD">
        <w:tblPrEx>
          <w:tblCellMar>
            <w:top w:w="0" w:type="dxa"/>
            <w:left w:w="108" w:type="dxa"/>
            <w:bottom w:w="0" w:type="dxa"/>
            <w:right w:w="108" w:type="dxa"/>
          </w:tblCellMar>
        </w:tblPrEx>
        <w:trPr>
          <w:trHeight w:val="400" w:hRule="atLeast"/>
        </w:trPr>
        <w:tc>
          <w:tcPr>
            <w:tcW w:w="5000" w:type="pct"/>
            <w:gridSpan w:val="13"/>
            <w:tcBorders>
              <w:top w:val="single" w:color="000000" w:sz="4" w:space="0"/>
              <w:left w:val="single" w:color="000000" w:sz="4" w:space="0"/>
              <w:bottom w:val="single" w:color="000000" w:sz="4" w:space="0"/>
              <w:right w:val="single" w:color="000000" w:sz="4" w:space="0"/>
            </w:tcBorders>
            <w:shd w:val="clear" w:color="auto" w:fill="auto"/>
            <w:vAlign w:val="center"/>
          </w:tcPr>
          <w:p w14:paraId="0440772E">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检测检验依据</w:t>
            </w:r>
          </w:p>
        </w:tc>
      </w:tr>
      <w:tr w14:paraId="1FCF028B">
        <w:tblPrEx>
          <w:tblCellMar>
            <w:top w:w="0" w:type="dxa"/>
            <w:left w:w="108" w:type="dxa"/>
            <w:bottom w:w="0" w:type="dxa"/>
            <w:right w:w="108" w:type="dxa"/>
          </w:tblCellMar>
        </w:tblPrEx>
        <w:trPr>
          <w:trHeight w:val="375" w:hRule="atLeast"/>
        </w:trPr>
        <w:tc>
          <w:tcPr>
            <w:tcW w:w="5000" w:type="pct"/>
            <w:gridSpan w:val="13"/>
            <w:tcBorders>
              <w:top w:val="single" w:color="000000" w:sz="4" w:space="0"/>
              <w:left w:val="single" w:color="000000" w:sz="4" w:space="0"/>
              <w:bottom w:val="nil"/>
              <w:right w:val="single" w:color="000000" w:sz="4" w:space="0"/>
            </w:tcBorders>
            <w:shd w:val="clear" w:color="auto" w:fill="auto"/>
            <w:vAlign w:val="center"/>
          </w:tcPr>
          <w:p w14:paraId="138694FF">
            <w:pPr>
              <w:jc w:val="center"/>
              <w:rPr>
                <w:rFonts w:ascii="宋体" w:hAnsi="宋体" w:eastAsia="黑体" w:cs="黑体"/>
                <w:color w:val="000000"/>
                <w:sz w:val="18"/>
                <w:szCs w:val="18"/>
              </w:rPr>
            </w:pPr>
          </w:p>
        </w:tc>
      </w:tr>
      <w:tr w14:paraId="579FC78B">
        <w:tblPrEx>
          <w:tblCellMar>
            <w:top w:w="0" w:type="dxa"/>
            <w:left w:w="108" w:type="dxa"/>
            <w:bottom w:w="0" w:type="dxa"/>
            <w:right w:w="108" w:type="dxa"/>
          </w:tblCellMar>
        </w:tblPrEx>
        <w:trPr>
          <w:trHeight w:val="310" w:hRule="atLeast"/>
        </w:trPr>
        <w:tc>
          <w:tcPr>
            <w:tcW w:w="2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DC94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53DFD">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制造厂商</w:t>
            </w: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80034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型号</w:t>
            </w: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0B09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位号/安装位置</w:t>
            </w:r>
          </w:p>
        </w:tc>
        <w:tc>
          <w:tcPr>
            <w:tcW w:w="10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A2EA6B">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外观检查</w:t>
            </w:r>
          </w:p>
        </w:tc>
        <w:tc>
          <w:tcPr>
            <w:tcW w:w="93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FE53B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响应时间（s）</w:t>
            </w: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9F9D5D">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采集日期</w:t>
            </w:r>
          </w:p>
        </w:tc>
        <w:tc>
          <w:tcPr>
            <w:tcW w:w="102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C22E3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备注</w:t>
            </w:r>
          </w:p>
        </w:tc>
      </w:tr>
      <w:tr w14:paraId="01772C99">
        <w:tblPrEx>
          <w:tblCellMar>
            <w:top w:w="0" w:type="dxa"/>
            <w:left w:w="108" w:type="dxa"/>
            <w:bottom w:w="0" w:type="dxa"/>
            <w:right w:w="108" w:type="dxa"/>
          </w:tblCellMar>
        </w:tblPrEx>
        <w:trPr>
          <w:trHeight w:val="400" w:hRule="atLeast"/>
        </w:trPr>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6DC7A">
            <w:pPr>
              <w:widowControl/>
              <w:jc w:val="center"/>
              <w:textAlignment w:val="center"/>
              <w:rPr>
                <w:rFonts w:ascii="宋体" w:hAnsi="宋体" w:eastAsia="宋体" w:cs="宋体"/>
                <w:color w:val="000000"/>
                <w:sz w:val="16"/>
                <w:szCs w:val="16"/>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7C7B8E">
            <w:pPr>
              <w:jc w:val="center"/>
              <w:rPr>
                <w:rFonts w:ascii="宋体" w:hAnsi="宋体" w:eastAsia="黑体" w:cs="黑体"/>
                <w:color w:val="FF0000"/>
                <w:sz w:val="16"/>
                <w:szCs w:val="16"/>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F095B">
            <w:pPr>
              <w:jc w:val="center"/>
              <w:rPr>
                <w:rFonts w:ascii="宋体" w:hAnsi="宋体" w:eastAsia="黑体" w:cs="黑体"/>
                <w:color w:val="FF0000"/>
                <w:sz w:val="16"/>
                <w:szCs w:val="16"/>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7BBD9">
            <w:pPr>
              <w:jc w:val="center"/>
              <w:rPr>
                <w:rFonts w:ascii="宋体" w:hAnsi="宋体" w:eastAsia="黑体" w:cs="黑体"/>
                <w:color w:val="FF0000"/>
                <w:sz w:val="16"/>
                <w:szCs w:val="16"/>
              </w:rPr>
            </w:pPr>
          </w:p>
        </w:tc>
        <w:tc>
          <w:tcPr>
            <w:tcW w:w="10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5F21DC">
            <w:pPr>
              <w:jc w:val="center"/>
              <w:rPr>
                <w:rFonts w:ascii="宋体" w:hAnsi="宋体" w:eastAsia="黑体" w:cs="黑体"/>
                <w:color w:val="FF0000"/>
                <w:sz w:val="16"/>
                <w:szCs w:val="16"/>
              </w:rPr>
            </w:pPr>
          </w:p>
        </w:tc>
        <w:tc>
          <w:tcPr>
            <w:tcW w:w="93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578593">
            <w:pPr>
              <w:jc w:val="center"/>
              <w:rPr>
                <w:rFonts w:ascii="宋体" w:hAnsi="宋体" w:eastAsia="黑体" w:cs="黑体"/>
                <w:color w:val="FF0000"/>
                <w:sz w:val="16"/>
                <w:szCs w:val="16"/>
              </w:rPr>
            </w:pP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8C556">
            <w:pPr>
              <w:jc w:val="center"/>
              <w:rPr>
                <w:rFonts w:ascii="宋体" w:hAnsi="宋体" w:eastAsia="黑体" w:cs="黑体"/>
                <w:color w:val="FF0000"/>
                <w:sz w:val="16"/>
                <w:szCs w:val="16"/>
              </w:rPr>
            </w:pPr>
          </w:p>
        </w:tc>
        <w:tc>
          <w:tcPr>
            <w:tcW w:w="102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C348B">
            <w:pPr>
              <w:jc w:val="center"/>
              <w:rPr>
                <w:rFonts w:ascii="宋体" w:hAnsi="宋体" w:eastAsia="黑体" w:cs="黑体"/>
                <w:color w:val="FF0000"/>
                <w:sz w:val="16"/>
                <w:szCs w:val="16"/>
              </w:rPr>
            </w:pPr>
          </w:p>
        </w:tc>
      </w:tr>
      <w:tr w14:paraId="54C92B26">
        <w:tblPrEx>
          <w:tblCellMar>
            <w:top w:w="0" w:type="dxa"/>
            <w:left w:w="108" w:type="dxa"/>
            <w:bottom w:w="0" w:type="dxa"/>
            <w:right w:w="108" w:type="dxa"/>
          </w:tblCellMar>
        </w:tblPrEx>
        <w:trPr>
          <w:trHeight w:val="400" w:hRule="atLeast"/>
        </w:trPr>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D5AF4">
            <w:pPr>
              <w:widowControl/>
              <w:jc w:val="center"/>
              <w:textAlignment w:val="center"/>
              <w:rPr>
                <w:rFonts w:ascii="宋体" w:hAnsi="宋体" w:eastAsia="宋体" w:cs="宋体"/>
                <w:color w:val="000000"/>
                <w:sz w:val="16"/>
                <w:szCs w:val="16"/>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D7BA38">
            <w:pPr>
              <w:jc w:val="center"/>
              <w:rPr>
                <w:rFonts w:ascii="宋体" w:hAnsi="宋体" w:eastAsia="黑体" w:cs="黑体"/>
                <w:color w:val="FF0000"/>
                <w:sz w:val="16"/>
                <w:szCs w:val="16"/>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2C710">
            <w:pPr>
              <w:jc w:val="center"/>
              <w:rPr>
                <w:rFonts w:ascii="宋体" w:hAnsi="宋体" w:eastAsia="黑体" w:cs="黑体"/>
                <w:color w:val="FF0000"/>
                <w:sz w:val="16"/>
                <w:szCs w:val="16"/>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46C3E">
            <w:pPr>
              <w:jc w:val="center"/>
              <w:rPr>
                <w:rFonts w:ascii="宋体" w:hAnsi="宋体" w:eastAsia="黑体" w:cs="黑体"/>
                <w:color w:val="FF0000"/>
                <w:sz w:val="16"/>
                <w:szCs w:val="16"/>
              </w:rPr>
            </w:pPr>
          </w:p>
        </w:tc>
        <w:tc>
          <w:tcPr>
            <w:tcW w:w="10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1D201E1">
            <w:pPr>
              <w:jc w:val="center"/>
              <w:rPr>
                <w:rFonts w:ascii="宋体" w:hAnsi="宋体" w:eastAsia="黑体" w:cs="黑体"/>
                <w:color w:val="FF0000"/>
                <w:sz w:val="16"/>
                <w:szCs w:val="16"/>
              </w:rPr>
            </w:pPr>
          </w:p>
        </w:tc>
        <w:tc>
          <w:tcPr>
            <w:tcW w:w="93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4A5E15">
            <w:pPr>
              <w:jc w:val="center"/>
              <w:rPr>
                <w:rFonts w:ascii="宋体" w:hAnsi="宋体" w:eastAsia="黑体" w:cs="黑体"/>
                <w:color w:val="FF0000"/>
                <w:sz w:val="16"/>
                <w:szCs w:val="16"/>
              </w:rPr>
            </w:pP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51AC48">
            <w:pPr>
              <w:jc w:val="center"/>
              <w:rPr>
                <w:rFonts w:ascii="宋体" w:hAnsi="宋体" w:eastAsia="黑体" w:cs="黑体"/>
                <w:color w:val="FF0000"/>
                <w:sz w:val="16"/>
                <w:szCs w:val="16"/>
              </w:rPr>
            </w:pPr>
          </w:p>
        </w:tc>
        <w:tc>
          <w:tcPr>
            <w:tcW w:w="102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1911C3">
            <w:pPr>
              <w:jc w:val="center"/>
              <w:rPr>
                <w:rFonts w:ascii="宋体" w:hAnsi="宋体" w:eastAsia="黑体" w:cs="黑体"/>
                <w:color w:val="FF0000"/>
                <w:sz w:val="16"/>
                <w:szCs w:val="16"/>
              </w:rPr>
            </w:pPr>
          </w:p>
        </w:tc>
      </w:tr>
      <w:tr w14:paraId="509FEA6F">
        <w:tblPrEx>
          <w:tblCellMar>
            <w:top w:w="0" w:type="dxa"/>
            <w:left w:w="108" w:type="dxa"/>
            <w:bottom w:w="0" w:type="dxa"/>
            <w:right w:w="108" w:type="dxa"/>
          </w:tblCellMar>
        </w:tblPrEx>
        <w:trPr>
          <w:trHeight w:val="400" w:hRule="atLeast"/>
        </w:trPr>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07EC0">
            <w:pPr>
              <w:widowControl/>
              <w:jc w:val="center"/>
              <w:textAlignment w:val="center"/>
              <w:rPr>
                <w:rFonts w:ascii="宋体" w:hAnsi="宋体" w:eastAsia="宋体" w:cs="宋体"/>
                <w:color w:val="000000"/>
                <w:sz w:val="16"/>
                <w:szCs w:val="16"/>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AB216">
            <w:pPr>
              <w:jc w:val="center"/>
              <w:rPr>
                <w:rFonts w:ascii="宋体" w:hAnsi="宋体" w:eastAsia="黑体" w:cs="黑体"/>
                <w:color w:val="FF0000"/>
                <w:sz w:val="16"/>
                <w:szCs w:val="16"/>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A1DB9">
            <w:pPr>
              <w:jc w:val="center"/>
              <w:rPr>
                <w:rFonts w:ascii="宋体" w:hAnsi="宋体" w:eastAsia="黑体" w:cs="黑体"/>
                <w:color w:val="FF0000"/>
                <w:sz w:val="16"/>
                <w:szCs w:val="16"/>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6D8283">
            <w:pPr>
              <w:jc w:val="center"/>
              <w:rPr>
                <w:rFonts w:ascii="宋体" w:hAnsi="宋体" w:eastAsia="黑体" w:cs="黑体"/>
                <w:color w:val="FF0000"/>
                <w:sz w:val="16"/>
                <w:szCs w:val="16"/>
              </w:rPr>
            </w:pPr>
          </w:p>
        </w:tc>
        <w:tc>
          <w:tcPr>
            <w:tcW w:w="10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1FCD51">
            <w:pPr>
              <w:jc w:val="center"/>
              <w:rPr>
                <w:rFonts w:ascii="宋体" w:hAnsi="宋体" w:eastAsia="黑体" w:cs="黑体"/>
                <w:color w:val="FF0000"/>
                <w:sz w:val="16"/>
                <w:szCs w:val="16"/>
              </w:rPr>
            </w:pPr>
          </w:p>
        </w:tc>
        <w:tc>
          <w:tcPr>
            <w:tcW w:w="93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5E8B4B">
            <w:pPr>
              <w:jc w:val="center"/>
              <w:rPr>
                <w:rFonts w:ascii="宋体" w:hAnsi="宋体" w:eastAsia="黑体" w:cs="黑体"/>
                <w:color w:val="FF0000"/>
                <w:sz w:val="16"/>
                <w:szCs w:val="16"/>
              </w:rPr>
            </w:pP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FA3170">
            <w:pPr>
              <w:jc w:val="center"/>
              <w:rPr>
                <w:rFonts w:ascii="宋体" w:hAnsi="宋体" w:eastAsia="黑体" w:cs="黑体"/>
                <w:color w:val="FF0000"/>
                <w:sz w:val="16"/>
                <w:szCs w:val="16"/>
              </w:rPr>
            </w:pPr>
          </w:p>
        </w:tc>
        <w:tc>
          <w:tcPr>
            <w:tcW w:w="102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3E99CC">
            <w:pPr>
              <w:jc w:val="center"/>
              <w:rPr>
                <w:rFonts w:ascii="宋体" w:hAnsi="宋体" w:eastAsia="黑体" w:cs="黑体"/>
                <w:color w:val="FF0000"/>
                <w:sz w:val="16"/>
                <w:szCs w:val="16"/>
              </w:rPr>
            </w:pPr>
          </w:p>
        </w:tc>
      </w:tr>
      <w:tr w14:paraId="68798516">
        <w:tblPrEx>
          <w:tblCellMar>
            <w:top w:w="0" w:type="dxa"/>
            <w:left w:w="108" w:type="dxa"/>
            <w:bottom w:w="0" w:type="dxa"/>
            <w:right w:w="108" w:type="dxa"/>
          </w:tblCellMar>
        </w:tblPrEx>
        <w:trPr>
          <w:trHeight w:val="400" w:hRule="atLeast"/>
        </w:trPr>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D747A">
            <w:pPr>
              <w:widowControl/>
              <w:jc w:val="center"/>
              <w:textAlignment w:val="center"/>
              <w:rPr>
                <w:rFonts w:ascii="宋体" w:hAnsi="宋体" w:eastAsia="宋体" w:cs="宋体"/>
                <w:color w:val="000000"/>
                <w:sz w:val="16"/>
                <w:szCs w:val="16"/>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30184">
            <w:pPr>
              <w:jc w:val="center"/>
              <w:rPr>
                <w:rFonts w:ascii="宋体" w:hAnsi="宋体" w:eastAsia="黑体" w:cs="黑体"/>
                <w:color w:val="FF0000"/>
                <w:sz w:val="16"/>
                <w:szCs w:val="16"/>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B03F3">
            <w:pPr>
              <w:jc w:val="center"/>
              <w:rPr>
                <w:rFonts w:ascii="宋体" w:hAnsi="宋体" w:eastAsia="黑体" w:cs="黑体"/>
                <w:color w:val="FF0000"/>
                <w:sz w:val="16"/>
                <w:szCs w:val="16"/>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766FC">
            <w:pPr>
              <w:jc w:val="center"/>
              <w:rPr>
                <w:rFonts w:ascii="宋体" w:hAnsi="宋体" w:eastAsia="黑体" w:cs="黑体"/>
                <w:color w:val="FF0000"/>
                <w:sz w:val="16"/>
                <w:szCs w:val="16"/>
              </w:rPr>
            </w:pPr>
          </w:p>
        </w:tc>
        <w:tc>
          <w:tcPr>
            <w:tcW w:w="10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69C056">
            <w:pPr>
              <w:jc w:val="center"/>
              <w:rPr>
                <w:rFonts w:ascii="宋体" w:hAnsi="宋体" w:eastAsia="黑体" w:cs="黑体"/>
                <w:color w:val="FF0000"/>
                <w:sz w:val="16"/>
                <w:szCs w:val="16"/>
              </w:rPr>
            </w:pPr>
          </w:p>
        </w:tc>
        <w:tc>
          <w:tcPr>
            <w:tcW w:w="93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089A5A">
            <w:pPr>
              <w:jc w:val="center"/>
              <w:rPr>
                <w:rFonts w:ascii="宋体" w:hAnsi="宋体" w:eastAsia="黑体" w:cs="黑体"/>
                <w:color w:val="FF0000"/>
                <w:sz w:val="16"/>
                <w:szCs w:val="16"/>
              </w:rPr>
            </w:pP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2D13CD">
            <w:pPr>
              <w:jc w:val="center"/>
              <w:rPr>
                <w:rFonts w:ascii="宋体" w:hAnsi="宋体" w:eastAsia="黑体" w:cs="黑体"/>
                <w:color w:val="FF0000"/>
                <w:sz w:val="16"/>
                <w:szCs w:val="16"/>
              </w:rPr>
            </w:pPr>
          </w:p>
        </w:tc>
        <w:tc>
          <w:tcPr>
            <w:tcW w:w="102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B887B8">
            <w:pPr>
              <w:jc w:val="center"/>
              <w:rPr>
                <w:rFonts w:ascii="宋体" w:hAnsi="宋体" w:eastAsia="黑体" w:cs="黑体"/>
                <w:color w:val="FF0000"/>
                <w:sz w:val="16"/>
                <w:szCs w:val="16"/>
              </w:rPr>
            </w:pPr>
          </w:p>
        </w:tc>
      </w:tr>
      <w:tr w14:paraId="3DA76566">
        <w:tblPrEx>
          <w:tblCellMar>
            <w:top w:w="0" w:type="dxa"/>
            <w:left w:w="108" w:type="dxa"/>
            <w:bottom w:w="0" w:type="dxa"/>
            <w:right w:w="108" w:type="dxa"/>
          </w:tblCellMar>
        </w:tblPrEx>
        <w:trPr>
          <w:trHeight w:val="400" w:hRule="atLeast"/>
        </w:trPr>
        <w:tc>
          <w:tcPr>
            <w:tcW w:w="2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E4C4B">
            <w:pPr>
              <w:widowControl/>
              <w:jc w:val="center"/>
              <w:textAlignment w:val="center"/>
              <w:rPr>
                <w:rFonts w:ascii="宋体" w:hAnsi="宋体" w:eastAsia="宋体" w:cs="宋体"/>
                <w:color w:val="000000"/>
                <w:sz w:val="16"/>
                <w:szCs w:val="16"/>
              </w:rPr>
            </w:pPr>
          </w:p>
        </w:tc>
        <w:tc>
          <w:tcPr>
            <w:tcW w:w="3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52DDE">
            <w:pPr>
              <w:jc w:val="center"/>
              <w:rPr>
                <w:rFonts w:ascii="宋体" w:hAnsi="宋体" w:eastAsia="黑体" w:cs="黑体"/>
                <w:color w:val="FF0000"/>
                <w:sz w:val="16"/>
                <w:szCs w:val="16"/>
              </w:rPr>
            </w:pPr>
          </w:p>
        </w:tc>
        <w:tc>
          <w:tcPr>
            <w:tcW w:w="22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C6EB1">
            <w:pPr>
              <w:jc w:val="center"/>
              <w:rPr>
                <w:rFonts w:ascii="宋体" w:hAnsi="宋体" w:eastAsia="黑体" w:cs="黑体"/>
                <w:color w:val="FF0000"/>
                <w:sz w:val="16"/>
                <w:szCs w:val="16"/>
              </w:rPr>
            </w:pPr>
          </w:p>
        </w:tc>
        <w:tc>
          <w:tcPr>
            <w:tcW w:w="5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FBCBC8">
            <w:pPr>
              <w:jc w:val="center"/>
              <w:rPr>
                <w:rFonts w:ascii="宋体" w:hAnsi="宋体" w:eastAsia="黑体" w:cs="黑体"/>
                <w:color w:val="FF0000"/>
                <w:sz w:val="16"/>
                <w:szCs w:val="16"/>
              </w:rPr>
            </w:pPr>
          </w:p>
        </w:tc>
        <w:tc>
          <w:tcPr>
            <w:tcW w:w="10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B04D8A">
            <w:pPr>
              <w:jc w:val="center"/>
              <w:rPr>
                <w:rFonts w:ascii="宋体" w:hAnsi="宋体" w:eastAsia="黑体" w:cs="黑体"/>
                <w:color w:val="FF0000"/>
                <w:sz w:val="16"/>
                <w:szCs w:val="16"/>
              </w:rPr>
            </w:pPr>
          </w:p>
        </w:tc>
        <w:tc>
          <w:tcPr>
            <w:tcW w:w="93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7F481C">
            <w:pPr>
              <w:jc w:val="center"/>
              <w:rPr>
                <w:rFonts w:ascii="宋体" w:hAnsi="宋体" w:eastAsia="黑体" w:cs="黑体"/>
                <w:color w:val="FF0000"/>
                <w:sz w:val="16"/>
                <w:szCs w:val="16"/>
              </w:rPr>
            </w:pPr>
          </w:p>
        </w:tc>
        <w:tc>
          <w:tcPr>
            <w:tcW w:w="7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789BBD">
            <w:pPr>
              <w:jc w:val="center"/>
              <w:rPr>
                <w:rFonts w:ascii="宋体" w:hAnsi="宋体" w:eastAsia="黑体" w:cs="黑体"/>
                <w:color w:val="FF0000"/>
                <w:sz w:val="16"/>
                <w:szCs w:val="16"/>
              </w:rPr>
            </w:pPr>
          </w:p>
        </w:tc>
        <w:tc>
          <w:tcPr>
            <w:tcW w:w="1021"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7FAA60">
            <w:pPr>
              <w:jc w:val="center"/>
              <w:rPr>
                <w:rFonts w:ascii="宋体" w:hAnsi="宋体" w:eastAsia="黑体" w:cs="黑体"/>
                <w:color w:val="FF0000"/>
                <w:sz w:val="16"/>
                <w:szCs w:val="16"/>
              </w:rPr>
            </w:pPr>
          </w:p>
        </w:tc>
      </w:tr>
      <w:tr w14:paraId="2ADEAF6C">
        <w:tblPrEx>
          <w:tblCellMar>
            <w:top w:w="0" w:type="dxa"/>
            <w:left w:w="108" w:type="dxa"/>
            <w:bottom w:w="0" w:type="dxa"/>
            <w:right w:w="108" w:type="dxa"/>
          </w:tblCellMar>
        </w:tblPrEx>
        <w:trPr>
          <w:trHeight w:val="400" w:hRule="atLeast"/>
        </w:trPr>
        <w:tc>
          <w:tcPr>
            <w:tcW w:w="462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C146B">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数据采集人员：</w:t>
            </w:r>
          </w:p>
        </w:tc>
        <w:tc>
          <w:tcPr>
            <w:tcW w:w="462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E0870">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审核人员：</w:t>
            </w:r>
          </w:p>
        </w:tc>
        <w:tc>
          <w:tcPr>
            <w:tcW w:w="462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4B072">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审批人员：</w:t>
            </w:r>
          </w:p>
        </w:tc>
      </w:tr>
    </w:tbl>
    <w:p w14:paraId="12C8CE12">
      <w:pPr>
        <w:pStyle w:val="43"/>
        <w:ind w:firstLine="0" w:firstLineChars="0"/>
        <w:jc w:val="center"/>
        <w:rPr>
          <w:rFonts w:hAnsi="宋体"/>
        </w:rPr>
      </w:pPr>
    </w:p>
    <w:p w14:paraId="0F867A43">
      <w:pPr>
        <w:pStyle w:val="43"/>
        <w:ind w:firstLine="0" w:firstLineChars="0"/>
        <w:jc w:val="center"/>
        <w:rPr>
          <w:rFonts w:hAnsi="宋体"/>
        </w:rPr>
      </w:pPr>
    </w:p>
    <w:p w14:paraId="28B36569">
      <w:pPr>
        <w:pStyle w:val="108"/>
        <w:numPr>
          <w:ilvl w:val="1"/>
          <w:numId w:val="0"/>
        </w:numPr>
        <w:spacing w:before="157" w:after="157"/>
        <w:rPr>
          <w:rFonts w:ascii="宋体" w:hAnsi="宋体"/>
        </w:rPr>
      </w:pPr>
      <w:r>
        <w:rPr>
          <w:rFonts w:hint="eastAsia" w:ascii="宋体" w:hAnsi="宋体"/>
        </w:rPr>
        <w:t>表G.2可燃气体检测报警器数据采集记录模板</w:t>
      </w:r>
    </w:p>
    <w:tbl>
      <w:tblPr>
        <w:tblStyle w:val="25"/>
        <w:tblW w:w="4997" w:type="pct"/>
        <w:tblInd w:w="0" w:type="dxa"/>
        <w:tblLayout w:type="fixed"/>
        <w:tblCellMar>
          <w:top w:w="0" w:type="dxa"/>
          <w:left w:w="108" w:type="dxa"/>
          <w:bottom w:w="0" w:type="dxa"/>
          <w:right w:w="108" w:type="dxa"/>
        </w:tblCellMar>
      </w:tblPr>
      <w:tblGrid>
        <w:gridCol w:w="574"/>
        <w:gridCol w:w="117"/>
        <w:gridCol w:w="494"/>
        <w:gridCol w:w="197"/>
        <w:gridCol w:w="485"/>
        <w:gridCol w:w="78"/>
        <w:gridCol w:w="608"/>
        <w:gridCol w:w="719"/>
        <w:gridCol w:w="771"/>
        <w:gridCol w:w="366"/>
        <w:gridCol w:w="214"/>
        <w:gridCol w:w="219"/>
        <w:gridCol w:w="624"/>
        <w:gridCol w:w="757"/>
        <w:gridCol w:w="83"/>
        <w:gridCol w:w="719"/>
        <w:gridCol w:w="430"/>
        <w:gridCol w:w="319"/>
        <w:gridCol w:w="788"/>
        <w:gridCol w:w="610"/>
        <w:gridCol w:w="194"/>
        <w:gridCol w:w="669"/>
        <w:gridCol w:w="619"/>
        <w:gridCol w:w="366"/>
        <w:gridCol w:w="291"/>
        <w:gridCol w:w="707"/>
        <w:gridCol w:w="519"/>
        <w:gridCol w:w="130"/>
        <w:gridCol w:w="649"/>
        <w:gridCol w:w="555"/>
      </w:tblGrid>
      <w:tr w14:paraId="0CAA5B2D">
        <w:tblPrEx>
          <w:tblCellMar>
            <w:top w:w="0" w:type="dxa"/>
            <w:left w:w="108" w:type="dxa"/>
            <w:bottom w:w="0" w:type="dxa"/>
            <w:right w:w="108" w:type="dxa"/>
          </w:tblCellMar>
        </w:tblPrEx>
        <w:trPr>
          <w:trHeight w:val="520" w:hRule="atLeast"/>
        </w:trPr>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C2DD8">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检验设备</w:t>
            </w: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54CC9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017E4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名称</w:t>
            </w: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B37E4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F4392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682DC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不确定度/准确度等级/最大允许误差</w:t>
            </w: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AEF3E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有效期至</w:t>
            </w: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CD557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溯源机构</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902B1F">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证书编号</w:t>
            </w: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7ECF30">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作业者或承包者</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7B81F3">
            <w:pPr>
              <w:widowControl/>
              <w:jc w:val="center"/>
              <w:textAlignment w:val="center"/>
              <w:rPr>
                <w:rFonts w:ascii="宋体" w:hAnsi="宋体" w:eastAsia="宋体" w:cs="宋体"/>
                <w:color w:val="000000"/>
                <w:kern w:val="0"/>
                <w:sz w:val="18"/>
                <w:szCs w:val="18"/>
              </w:rPr>
            </w:pPr>
          </w:p>
        </w:tc>
      </w:tr>
      <w:tr w14:paraId="2C81D046">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A1ADB7">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C8B22C">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7B35BE">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3C876D0">
            <w:pPr>
              <w:jc w:val="center"/>
              <w:rPr>
                <w:rFonts w:ascii="宋体" w:hAnsi="宋体" w:eastAsia="宋体" w:cs="宋体"/>
                <w:color w:val="FF0000"/>
                <w:sz w:val="16"/>
                <w:szCs w:val="16"/>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C3537">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B6A434">
            <w:pPr>
              <w:jc w:val="center"/>
              <w:rPr>
                <w:rFonts w:ascii="宋体" w:hAnsi="宋体" w:eastAsia="宋体" w:cs="宋体"/>
                <w:i/>
                <w:iCs/>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48FBEB">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E541A6">
            <w:pPr>
              <w:jc w:val="center"/>
              <w:rPr>
                <w:rFonts w:ascii="宋体" w:hAnsi="宋体" w:eastAsia="宋体" w:cs="宋体"/>
                <w:color w:val="FF0000"/>
                <w:sz w:val="18"/>
                <w:szCs w:val="18"/>
              </w:rPr>
            </w:pP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C1A637E">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7015D0">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所属设施</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37B06C">
            <w:pPr>
              <w:widowControl/>
              <w:jc w:val="center"/>
              <w:textAlignment w:val="center"/>
              <w:rPr>
                <w:rFonts w:ascii="宋体" w:hAnsi="宋体" w:eastAsia="宋体" w:cs="宋体"/>
                <w:color w:val="000000"/>
                <w:kern w:val="0"/>
                <w:sz w:val="18"/>
                <w:szCs w:val="18"/>
              </w:rPr>
            </w:pPr>
          </w:p>
        </w:tc>
      </w:tr>
      <w:tr w14:paraId="6FC5CEDE">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4D4C03">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9B383F">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7FCB39">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B925FF">
            <w:pPr>
              <w:jc w:val="center"/>
              <w:rPr>
                <w:rFonts w:ascii="宋体" w:hAnsi="宋体" w:eastAsia="宋体" w:cs="宋体"/>
                <w:color w:val="FF0000"/>
                <w:sz w:val="18"/>
                <w:szCs w:val="18"/>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BB2946">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514ECA">
            <w:pPr>
              <w:jc w:val="center"/>
              <w:rPr>
                <w:rFonts w:ascii="宋体" w:hAnsi="宋体" w:eastAsia="宋体" w:cs="宋体"/>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436B7C">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365AC2">
            <w:pPr>
              <w:jc w:val="center"/>
              <w:rPr>
                <w:rFonts w:ascii="宋体" w:hAnsi="宋体" w:eastAsia="宋体" w:cs="宋体"/>
                <w:color w:val="FF0000"/>
                <w:sz w:val="18"/>
                <w:szCs w:val="18"/>
              </w:rPr>
            </w:pP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5E0DDC">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189CF4">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被检设备名称</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B9B7F3">
            <w:pPr>
              <w:widowControl/>
              <w:jc w:val="center"/>
              <w:textAlignment w:val="center"/>
              <w:rPr>
                <w:rFonts w:ascii="宋体" w:hAnsi="宋体" w:eastAsia="宋体" w:cs="宋体"/>
                <w:color w:val="000000"/>
                <w:kern w:val="0"/>
                <w:sz w:val="18"/>
                <w:szCs w:val="18"/>
              </w:rPr>
            </w:pPr>
          </w:p>
        </w:tc>
      </w:tr>
      <w:tr w14:paraId="0A2D3F9B">
        <w:tblPrEx>
          <w:tblCellMar>
            <w:top w:w="0" w:type="dxa"/>
            <w:left w:w="108" w:type="dxa"/>
            <w:bottom w:w="0" w:type="dxa"/>
            <w:right w:w="108" w:type="dxa"/>
          </w:tblCellMar>
        </w:tblPrEx>
        <w:trPr>
          <w:trHeight w:val="400" w:hRule="atLeast"/>
        </w:trPr>
        <w:tc>
          <w:tcPr>
            <w:tcW w:w="5000" w:type="pct"/>
            <w:gridSpan w:val="30"/>
            <w:tcBorders>
              <w:top w:val="single" w:color="000000" w:sz="4" w:space="0"/>
              <w:left w:val="single" w:color="000000" w:sz="4" w:space="0"/>
              <w:bottom w:val="single" w:color="000000" w:sz="4" w:space="0"/>
              <w:right w:val="single" w:color="000000" w:sz="4" w:space="0"/>
            </w:tcBorders>
            <w:shd w:val="clear" w:color="auto" w:fill="auto"/>
            <w:vAlign w:val="center"/>
          </w:tcPr>
          <w:p w14:paraId="6DDF2F0B">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检测检验依据</w:t>
            </w:r>
          </w:p>
        </w:tc>
      </w:tr>
      <w:tr w14:paraId="5F33119D">
        <w:tblPrEx>
          <w:tblCellMar>
            <w:top w:w="0" w:type="dxa"/>
            <w:left w:w="108" w:type="dxa"/>
            <w:bottom w:w="0" w:type="dxa"/>
            <w:right w:w="108" w:type="dxa"/>
          </w:tblCellMar>
        </w:tblPrEx>
        <w:trPr>
          <w:trHeight w:val="400" w:hRule="atLeast"/>
        </w:trPr>
        <w:tc>
          <w:tcPr>
            <w:tcW w:w="5000" w:type="pct"/>
            <w:gridSpan w:val="30"/>
            <w:tcBorders>
              <w:top w:val="single" w:color="000000" w:sz="4" w:space="0"/>
              <w:left w:val="single" w:color="000000" w:sz="4" w:space="0"/>
              <w:bottom w:val="single" w:color="000000" w:sz="4" w:space="0"/>
              <w:right w:val="single" w:color="000000" w:sz="4" w:space="0"/>
            </w:tcBorders>
            <w:shd w:val="clear" w:color="auto" w:fill="auto"/>
            <w:vAlign w:val="center"/>
          </w:tcPr>
          <w:p w14:paraId="109F4640">
            <w:pPr>
              <w:widowControl/>
              <w:jc w:val="center"/>
              <w:textAlignment w:val="center"/>
              <w:rPr>
                <w:rFonts w:ascii="宋体" w:hAnsi="宋体" w:eastAsia="黑体" w:cs="黑体"/>
                <w:color w:val="000000"/>
                <w:kern w:val="0"/>
                <w:sz w:val="18"/>
                <w:szCs w:val="18"/>
              </w:rPr>
            </w:pPr>
          </w:p>
        </w:tc>
      </w:tr>
      <w:tr w14:paraId="7B5E83A6">
        <w:tblPrEx>
          <w:tblCellMar>
            <w:top w:w="0" w:type="dxa"/>
            <w:left w:w="108" w:type="dxa"/>
            <w:bottom w:w="0" w:type="dxa"/>
            <w:right w:w="108" w:type="dxa"/>
          </w:tblCellMar>
        </w:tblPrEx>
        <w:trPr>
          <w:trHeight w:val="315" w:hRule="atLeast"/>
        </w:trPr>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6AE1D4D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11FC7873">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制造厂商</w:t>
            </w:r>
          </w:p>
        </w:tc>
        <w:tc>
          <w:tcPr>
            <w:tcW w:w="203" w:type="pct"/>
            <w:gridSpan w:val="2"/>
            <w:vMerge w:val="restart"/>
            <w:tcBorders>
              <w:top w:val="single" w:color="000000" w:sz="4" w:space="0"/>
              <w:left w:val="single" w:color="auto" w:sz="4" w:space="0"/>
              <w:right w:val="single" w:color="000000" w:sz="4" w:space="0"/>
            </w:tcBorders>
            <w:shd w:val="clear" w:color="auto" w:fill="auto"/>
            <w:vAlign w:val="center"/>
          </w:tcPr>
          <w:p w14:paraId="73DC20F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型号</w:t>
            </w:r>
          </w:p>
        </w:tc>
        <w:tc>
          <w:tcPr>
            <w:tcW w:w="219" w:type="pct"/>
            <w:vMerge w:val="restart"/>
            <w:tcBorders>
              <w:top w:val="single" w:color="000000" w:sz="4" w:space="0"/>
              <w:left w:val="single" w:color="auto" w:sz="4" w:space="0"/>
              <w:right w:val="single" w:color="000000" w:sz="4" w:space="0"/>
            </w:tcBorders>
            <w:shd w:val="clear" w:color="auto" w:fill="auto"/>
            <w:vAlign w:val="center"/>
          </w:tcPr>
          <w:p w14:paraId="4EA8183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6F7AC5F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位号/位置</w:t>
            </w:r>
          </w:p>
        </w:tc>
        <w:tc>
          <w:tcPr>
            <w:tcW w:w="278" w:type="pct"/>
            <w:tcBorders>
              <w:top w:val="single" w:color="000000" w:sz="4" w:space="0"/>
              <w:left w:val="single" w:color="auto" w:sz="4" w:space="0"/>
              <w:bottom w:val="single" w:color="auto" w:sz="4" w:space="0"/>
              <w:right w:val="single" w:color="000000" w:sz="4" w:space="0"/>
            </w:tcBorders>
            <w:shd w:val="clear" w:color="auto" w:fill="auto"/>
            <w:vAlign w:val="center"/>
          </w:tcPr>
          <w:p w14:paraId="77275448">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496B699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报警值</w:t>
            </w:r>
          </w:p>
        </w:tc>
        <w:tc>
          <w:tcPr>
            <w:tcW w:w="225" w:type="pct"/>
            <w:vMerge w:val="restart"/>
            <w:tcBorders>
              <w:top w:val="single" w:color="000000" w:sz="4" w:space="0"/>
              <w:left w:val="single" w:color="auto" w:sz="4" w:space="0"/>
              <w:right w:val="single" w:color="000000" w:sz="4" w:space="0"/>
            </w:tcBorders>
            <w:shd w:val="clear" w:color="auto" w:fill="auto"/>
            <w:vAlign w:val="center"/>
          </w:tcPr>
          <w:p w14:paraId="25462B6A">
            <w:pPr>
              <w:jc w:val="center"/>
              <w:rPr>
                <w:rFonts w:ascii="宋体" w:hAnsi="宋体" w:eastAsia="黑体" w:cs="黑体"/>
                <w:color w:val="000000"/>
                <w:sz w:val="18"/>
                <w:szCs w:val="18"/>
              </w:rPr>
            </w:pPr>
            <w:r>
              <w:rPr>
                <w:rFonts w:hint="eastAsia" w:ascii="宋体" w:hAnsi="宋体" w:eastAsia="黑体" w:cs="黑体"/>
                <w:color w:val="000000"/>
                <w:sz w:val="18"/>
                <w:szCs w:val="18"/>
              </w:rPr>
              <w:t>外观检查</w:t>
            </w:r>
          </w:p>
        </w:tc>
        <w:tc>
          <w:tcPr>
            <w:tcW w:w="273" w:type="pct"/>
            <w:tcBorders>
              <w:top w:val="single" w:color="000000" w:sz="4" w:space="0"/>
              <w:left w:val="single" w:color="auto" w:sz="4" w:space="0"/>
              <w:bottom w:val="single" w:color="auto" w:sz="4" w:space="0"/>
              <w:right w:val="single" w:color="000000" w:sz="4" w:space="0"/>
            </w:tcBorders>
            <w:shd w:val="clear" w:color="auto" w:fill="auto"/>
            <w:vAlign w:val="center"/>
          </w:tcPr>
          <w:p w14:paraId="70EA02C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标准气浓度</w:t>
            </w:r>
          </w:p>
        </w:tc>
        <w:tc>
          <w:tcPr>
            <w:tcW w:w="289"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643D3B2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示值1</w:t>
            </w:r>
          </w:p>
        </w:tc>
        <w:tc>
          <w:tcPr>
            <w:tcW w:w="270"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70B55C7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示值2</w:t>
            </w:r>
          </w:p>
        </w:tc>
        <w:tc>
          <w:tcPr>
            <w:tcW w:w="284" w:type="pct"/>
            <w:tcBorders>
              <w:top w:val="single" w:color="000000" w:sz="4" w:space="0"/>
              <w:left w:val="single" w:color="auto" w:sz="4" w:space="0"/>
              <w:bottom w:val="single" w:color="auto" w:sz="4" w:space="0"/>
              <w:right w:val="single" w:color="000000" w:sz="4" w:space="0"/>
            </w:tcBorders>
            <w:shd w:val="clear" w:color="auto" w:fill="auto"/>
            <w:vAlign w:val="center"/>
          </w:tcPr>
          <w:p w14:paraId="790A7F1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示值3</w:t>
            </w:r>
          </w:p>
        </w:tc>
        <w:tc>
          <w:tcPr>
            <w:tcW w:w="284"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35134D1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示值误差</w:t>
            </w:r>
          </w:p>
        </w:tc>
        <w:tc>
          <w:tcPr>
            <w:tcW w:w="241" w:type="pct"/>
            <w:tcBorders>
              <w:top w:val="single" w:color="000000" w:sz="4" w:space="0"/>
              <w:left w:val="single" w:color="auto" w:sz="4" w:space="0"/>
              <w:bottom w:val="single" w:color="auto" w:sz="4" w:space="0"/>
              <w:right w:val="single" w:color="000000" w:sz="4" w:space="0"/>
            </w:tcBorders>
            <w:shd w:val="clear" w:color="auto" w:fill="auto"/>
            <w:vAlign w:val="center"/>
          </w:tcPr>
          <w:p w14:paraId="15B14BC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时间1</w:t>
            </w:r>
          </w:p>
        </w:tc>
        <w:tc>
          <w:tcPr>
            <w:tcW w:w="223" w:type="pct"/>
            <w:tcBorders>
              <w:top w:val="single" w:color="000000" w:sz="4" w:space="0"/>
              <w:left w:val="single" w:color="auto" w:sz="4" w:space="0"/>
              <w:bottom w:val="single" w:color="auto" w:sz="4" w:space="0"/>
              <w:right w:val="single" w:color="000000" w:sz="4" w:space="0"/>
            </w:tcBorders>
            <w:shd w:val="clear" w:color="auto" w:fill="auto"/>
            <w:vAlign w:val="center"/>
          </w:tcPr>
          <w:p w14:paraId="14DE709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时间2</w:t>
            </w:r>
          </w:p>
        </w:tc>
        <w:tc>
          <w:tcPr>
            <w:tcW w:w="237"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5F572D6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时间3</w:t>
            </w:r>
          </w:p>
        </w:tc>
        <w:tc>
          <w:tcPr>
            <w:tcW w:w="255" w:type="pct"/>
            <w:tcBorders>
              <w:top w:val="single" w:color="000000" w:sz="4" w:space="0"/>
              <w:left w:val="single" w:color="auto" w:sz="4" w:space="0"/>
              <w:bottom w:val="single" w:color="auto" w:sz="4" w:space="0"/>
              <w:right w:val="single" w:color="000000" w:sz="4" w:space="0"/>
            </w:tcBorders>
            <w:shd w:val="clear" w:color="auto" w:fill="auto"/>
            <w:vAlign w:val="center"/>
          </w:tcPr>
          <w:p w14:paraId="3682396D">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响应时间</w:t>
            </w:r>
          </w:p>
        </w:tc>
        <w:tc>
          <w:tcPr>
            <w:tcW w:w="234" w:type="pct"/>
            <w:gridSpan w:val="2"/>
            <w:vMerge w:val="restart"/>
            <w:tcBorders>
              <w:top w:val="single" w:color="000000" w:sz="4" w:space="0"/>
              <w:left w:val="single" w:color="auto" w:sz="4" w:space="0"/>
              <w:right w:val="single" w:color="000000" w:sz="4" w:space="0"/>
            </w:tcBorders>
            <w:shd w:val="clear" w:color="auto" w:fill="auto"/>
            <w:vAlign w:val="center"/>
          </w:tcPr>
          <w:p w14:paraId="63A17410">
            <w:pPr>
              <w:jc w:val="center"/>
              <w:rPr>
                <w:rFonts w:ascii="宋体" w:hAnsi="宋体" w:eastAsia="黑体" w:cs="黑体"/>
                <w:color w:val="000000"/>
                <w:sz w:val="18"/>
                <w:szCs w:val="18"/>
              </w:rPr>
            </w:pPr>
            <w:r>
              <w:rPr>
                <w:rFonts w:hint="eastAsia" w:ascii="宋体" w:hAnsi="宋体" w:eastAsia="黑体" w:cs="黑体"/>
                <w:color w:val="000000"/>
                <w:sz w:val="18"/>
                <w:szCs w:val="18"/>
              </w:rPr>
              <w:t>报警功能</w:t>
            </w:r>
          </w:p>
        </w:tc>
        <w:tc>
          <w:tcPr>
            <w:tcW w:w="234" w:type="pct"/>
            <w:vMerge w:val="restart"/>
            <w:tcBorders>
              <w:top w:val="single" w:color="000000" w:sz="4" w:space="0"/>
              <w:left w:val="single" w:color="auto" w:sz="4" w:space="0"/>
              <w:right w:val="single" w:color="000000" w:sz="4" w:space="0"/>
            </w:tcBorders>
            <w:shd w:val="clear" w:color="auto" w:fill="auto"/>
            <w:vAlign w:val="center"/>
          </w:tcPr>
          <w:p w14:paraId="0B77F2B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采集日期</w:t>
            </w:r>
          </w:p>
        </w:tc>
        <w:tc>
          <w:tcPr>
            <w:tcW w:w="195" w:type="pct"/>
            <w:vMerge w:val="restart"/>
            <w:tcBorders>
              <w:top w:val="single" w:color="000000" w:sz="4" w:space="0"/>
              <w:left w:val="single" w:color="auto" w:sz="4" w:space="0"/>
              <w:right w:val="single" w:color="000000" w:sz="4" w:space="0"/>
            </w:tcBorders>
            <w:shd w:val="clear" w:color="auto" w:fill="auto"/>
            <w:vAlign w:val="center"/>
          </w:tcPr>
          <w:p w14:paraId="6127B993">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备注</w:t>
            </w:r>
          </w:p>
        </w:tc>
      </w:tr>
      <w:tr w14:paraId="2C258DB1">
        <w:tblPrEx>
          <w:tblCellMar>
            <w:top w:w="0" w:type="dxa"/>
            <w:left w:w="108" w:type="dxa"/>
            <w:bottom w:w="0" w:type="dxa"/>
            <w:right w:w="108" w:type="dxa"/>
          </w:tblCellMar>
        </w:tblPrEx>
        <w:trPr>
          <w:trHeight w:val="315" w:hRule="atLeast"/>
        </w:trPr>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36924364">
            <w:pPr>
              <w:widowControl/>
              <w:jc w:val="center"/>
              <w:textAlignment w:val="center"/>
              <w:rPr>
                <w:rFonts w:ascii="宋体" w:hAnsi="宋体"/>
              </w:rPr>
            </w:pPr>
          </w:p>
        </w:tc>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26E375F3">
            <w:pPr>
              <w:widowControl/>
              <w:jc w:val="center"/>
              <w:textAlignment w:val="center"/>
              <w:rPr>
                <w:rFonts w:ascii="宋体" w:hAnsi="宋体"/>
              </w:rPr>
            </w:pPr>
          </w:p>
        </w:tc>
        <w:tc>
          <w:tcPr>
            <w:tcW w:w="203" w:type="pct"/>
            <w:gridSpan w:val="2"/>
            <w:vMerge w:val="continue"/>
            <w:tcBorders>
              <w:left w:val="single" w:color="auto" w:sz="4" w:space="0"/>
              <w:bottom w:val="single" w:color="auto" w:sz="2" w:space="0"/>
              <w:right w:val="single" w:color="000000" w:sz="4" w:space="0"/>
            </w:tcBorders>
            <w:shd w:val="clear" w:color="auto" w:fill="auto"/>
            <w:vAlign w:val="center"/>
          </w:tcPr>
          <w:p w14:paraId="5FF33C7F">
            <w:pPr>
              <w:widowControl/>
              <w:jc w:val="center"/>
              <w:textAlignment w:val="center"/>
              <w:rPr>
                <w:rFonts w:ascii="宋体" w:hAnsi="宋体"/>
              </w:rPr>
            </w:pPr>
          </w:p>
        </w:tc>
        <w:tc>
          <w:tcPr>
            <w:tcW w:w="219" w:type="pct"/>
            <w:vMerge w:val="continue"/>
            <w:tcBorders>
              <w:left w:val="single" w:color="auto" w:sz="4" w:space="0"/>
              <w:bottom w:val="single" w:color="auto" w:sz="2" w:space="0"/>
              <w:right w:val="single" w:color="000000" w:sz="4" w:space="0"/>
            </w:tcBorders>
            <w:shd w:val="clear" w:color="auto" w:fill="auto"/>
            <w:vAlign w:val="center"/>
          </w:tcPr>
          <w:p w14:paraId="7F9B8F65">
            <w:pPr>
              <w:widowControl/>
              <w:jc w:val="center"/>
              <w:textAlignment w:val="center"/>
              <w:rPr>
                <w:rFonts w:ascii="宋体" w:hAnsi="宋体"/>
              </w:rPr>
            </w:pP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6A820E28">
            <w:pPr>
              <w:widowControl/>
              <w:jc w:val="center"/>
              <w:textAlignment w:val="center"/>
              <w:rPr>
                <w:rFonts w:ascii="宋体" w:hAnsi="宋体"/>
              </w:rPr>
            </w:pPr>
          </w:p>
        </w:tc>
        <w:tc>
          <w:tcPr>
            <w:tcW w:w="278" w:type="pct"/>
            <w:tcBorders>
              <w:top w:val="single" w:color="auto" w:sz="4" w:space="0"/>
              <w:left w:val="single" w:color="auto" w:sz="4" w:space="0"/>
              <w:bottom w:val="single" w:color="auto" w:sz="2" w:space="0"/>
              <w:right w:val="single" w:color="000000" w:sz="4" w:space="0"/>
            </w:tcBorders>
            <w:shd w:val="clear" w:color="auto" w:fill="auto"/>
            <w:vAlign w:val="center"/>
          </w:tcPr>
          <w:p w14:paraId="519C4E68">
            <w:pPr>
              <w:widowControl/>
              <w:jc w:val="center"/>
              <w:textAlignment w:val="center"/>
              <w:rPr>
                <w:rFonts w:ascii="宋体" w:hAnsi="宋体"/>
              </w:rPr>
            </w:pPr>
            <w:r>
              <w:rPr>
                <w:rFonts w:ascii="宋体" w:hAnsi="宋体" w:eastAsia="宋体" w:cs="Times New Roman"/>
                <w:color w:val="000000"/>
                <w:kern w:val="0"/>
                <w:sz w:val="18"/>
                <w:szCs w:val="18"/>
              </w:rPr>
              <w:t>%LEL</w:t>
            </w: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69628D0E">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25" w:type="pct"/>
            <w:vMerge w:val="continue"/>
            <w:tcBorders>
              <w:left w:val="single" w:color="auto" w:sz="4" w:space="0"/>
              <w:bottom w:val="single" w:color="auto" w:sz="2" w:space="0"/>
              <w:right w:val="single" w:color="000000" w:sz="4" w:space="0"/>
            </w:tcBorders>
            <w:shd w:val="clear" w:color="auto" w:fill="auto"/>
            <w:vAlign w:val="center"/>
          </w:tcPr>
          <w:p w14:paraId="75C33778">
            <w:pPr>
              <w:widowControl/>
              <w:jc w:val="center"/>
              <w:textAlignment w:val="center"/>
              <w:rPr>
                <w:rFonts w:ascii="宋体" w:hAnsi="宋体" w:eastAsia="黑体" w:cs="黑体"/>
                <w:color w:val="000000"/>
                <w:kern w:val="0"/>
                <w:sz w:val="18"/>
                <w:szCs w:val="18"/>
              </w:rPr>
            </w:pPr>
          </w:p>
        </w:tc>
        <w:tc>
          <w:tcPr>
            <w:tcW w:w="273" w:type="pct"/>
            <w:tcBorders>
              <w:top w:val="single" w:color="auto" w:sz="4" w:space="0"/>
              <w:left w:val="single" w:color="auto" w:sz="4" w:space="0"/>
              <w:bottom w:val="single" w:color="auto" w:sz="2" w:space="0"/>
              <w:right w:val="single" w:color="000000" w:sz="4" w:space="0"/>
            </w:tcBorders>
            <w:shd w:val="clear" w:color="auto" w:fill="auto"/>
            <w:vAlign w:val="center"/>
          </w:tcPr>
          <w:p w14:paraId="5AB50A14">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8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3BAE9E35">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70"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12EE5574">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84" w:type="pct"/>
            <w:tcBorders>
              <w:top w:val="single" w:color="auto" w:sz="4" w:space="0"/>
              <w:left w:val="single" w:color="auto" w:sz="4" w:space="0"/>
              <w:bottom w:val="single" w:color="auto" w:sz="2" w:space="0"/>
              <w:right w:val="single" w:color="000000" w:sz="4" w:space="0"/>
            </w:tcBorders>
            <w:shd w:val="clear" w:color="auto" w:fill="auto"/>
            <w:vAlign w:val="center"/>
          </w:tcPr>
          <w:p w14:paraId="0ECA7963">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84"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1DAAC26D">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41" w:type="pct"/>
            <w:tcBorders>
              <w:top w:val="single" w:color="auto" w:sz="4" w:space="0"/>
              <w:left w:val="single" w:color="auto" w:sz="4" w:space="0"/>
              <w:bottom w:val="single" w:color="auto" w:sz="2" w:space="0"/>
              <w:right w:val="single" w:color="000000" w:sz="4" w:space="0"/>
            </w:tcBorders>
            <w:shd w:val="clear" w:color="auto" w:fill="auto"/>
            <w:vAlign w:val="center"/>
          </w:tcPr>
          <w:p w14:paraId="66491A42">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23" w:type="pct"/>
            <w:tcBorders>
              <w:top w:val="single" w:color="auto" w:sz="4" w:space="0"/>
              <w:left w:val="single" w:color="auto" w:sz="4" w:space="0"/>
              <w:bottom w:val="single" w:color="auto" w:sz="2" w:space="0"/>
              <w:right w:val="single" w:color="000000" w:sz="4" w:space="0"/>
            </w:tcBorders>
            <w:shd w:val="clear" w:color="auto" w:fill="auto"/>
            <w:vAlign w:val="center"/>
          </w:tcPr>
          <w:p w14:paraId="3874B7AA">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7"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76D21848">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5" w:type="pct"/>
            <w:tcBorders>
              <w:top w:val="single" w:color="auto" w:sz="4" w:space="0"/>
              <w:left w:val="single" w:color="auto" w:sz="4" w:space="0"/>
              <w:bottom w:val="single" w:color="auto" w:sz="2" w:space="0"/>
              <w:right w:val="single" w:color="000000" w:sz="4" w:space="0"/>
            </w:tcBorders>
            <w:shd w:val="clear" w:color="auto" w:fill="auto"/>
            <w:vAlign w:val="center"/>
          </w:tcPr>
          <w:p w14:paraId="28C6FD9B">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gridSpan w:val="2"/>
            <w:vMerge w:val="continue"/>
            <w:tcBorders>
              <w:left w:val="single" w:color="auto" w:sz="4" w:space="0"/>
              <w:bottom w:val="single" w:color="auto" w:sz="2" w:space="0"/>
              <w:right w:val="single" w:color="000000" w:sz="4" w:space="0"/>
            </w:tcBorders>
            <w:shd w:val="clear" w:color="auto" w:fill="auto"/>
            <w:vAlign w:val="center"/>
          </w:tcPr>
          <w:p w14:paraId="652261EE">
            <w:pPr>
              <w:widowControl/>
              <w:jc w:val="center"/>
              <w:textAlignment w:val="center"/>
              <w:rPr>
                <w:rFonts w:ascii="宋体" w:hAnsi="宋体" w:eastAsia="黑体" w:cs="黑体"/>
                <w:color w:val="000000"/>
                <w:kern w:val="0"/>
                <w:sz w:val="18"/>
                <w:szCs w:val="18"/>
              </w:rPr>
            </w:pPr>
          </w:p>
        </w:tc>
        <w:tc>
          <w:tcPr>
            <w:tcW w:w="234" w:type="pct"/>
            <w:vMerge w:val="continue"/>
            <w:tcBorders>
              <w:left w:val="single" w:color="auto" w:sz="4" w:space="0"/>
              <w:bottom w:val="single" w:color="auto" w:sz="2" w:space="0"/>
              <w:right w:val="single" w:color="000000" w:sz="4" w:space="0"/>
            </w:tcBorders>
            <w:shd w:val="clear" w:color="auto" w:fill="auto"/>
            <w:vAlign w:val="center"/>
          </w:tcPr>
          <w:p w14:paraId="09313E34">
            <w:pPr>
              <w:widowControl/>
              <w:jc w:val="center"/>
              <w:textAlignment w:val="center"/>
              <w:rPr>
                <w:rFonts w:ascii="宋体" w:hAnsi="宋体" w:eastAsia="黑体" w:cs="黑体"/>
                <w:color w:val="000000"/>
                <w:kern w:val="0"/>
                <w:sz w:val="18"/>
                <w:szCs w:val="18"/>
              </w:rPr>
            </w:pPr>
          </w:p>
        </w:tc>
        <w:tc>
          <w:tcPr>
            <w:tcW w:w="195" w:type="pct"/>
            <w:vMerge w:val="continue"/>
            <w:tcBorders>
              <w:left w:val="single" w:color="auto" w:sz="4" w:space="0"/>
              <w:bottom w:val="single" w:color="auto" w:sz="2" w:space="0"/>
              <w:right w:val="single" w:color="000000" w:sz="4" w:space="0"/>
            </w:tcBorders>
            <w:shd w:val="clear" w:color="auto" w:fill="auto"/>
            <w:vAlign w:val="center"/>
          </w:tcPr>
          <w:p w14:paraId="421F9920">
            <w:pPr>
              <w:widowControl/>
              <w:jc w:val="center"/>
              <w:textAlignment w:val="center"/>
              <w:rPr>
                <w:rFonts w:ascii="宋体" w:hAnsi="宋体" w:eastAsia="黑体" w:cs="黑体"/>
                <w:color w:val="000000"/>
                <w:kern w:val="0"/>
                <w:sz w:val="18"/>
                <w:szCs w:val="18"/>
              </w:rPr>
            </w:pPr>
          </w:p>
        </w:tc>
      </w:tr>
      <w:tr w14:paraId="5235EAB4">
        <w:tblPrEx>
          <w:tblCellMar>
            <w:top w:w="0" w:type="dxa"/>
            <w:left w:w="108" w:type="dxa"/>
            <w:bottom w:w="0" w:type="dxa"/>
            <w:right w:w="108" w:type="dxa"/>
          </w:tblCellMar>
        </w:tblPrEx>
        <w:trPr>
          <w:trHeight w:val="75" w:hRule="atLeast"/>
        </w:trPr>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15174F7C">
            <w:pPr>
              <w:jc w:val="center"/>
              <w:rPr>
                <w:rFonts w:ascii="宋体" w:hAnsi="宋体" w:eastAsia="黑体" w:cs="黑体"/>
                <w:color w:val="000000"/>
                <w:sz w:val="18"/>
                <w:szCs w:val="18"/>
              </w:rPr>
            </w:pPr>
          </w:p>
        </w:tc>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7CBD6E8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8BDCAD3">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35D75629">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601360F9">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699ED73D">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0AEA8493">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7E5F35A3">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6BB69AA6">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0E308F0">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9942A0C">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3A4C50B3">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B0668FA">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301EB2C8">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197531C2">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2B0C12E">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09B73CB3">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8B32096">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78812A67">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26C74C79">
            <w:pPr>
              <w:jc w:val="center"/>
              <w:rPr>
                <w:rFonts w:ascii="宋体" w:hAnsi="宋体" w:eastAsia="黑体" w:cs="黑体"/>
                <w:color w:val="000000"/>
                <w:sz w:val="18"/>
                <w:szCs w:val="18"/>
              </w:rPr>
            </w:pPr>
          </w:p>
        </w:tc>
      </w:tr>
      <w:tr w14:paraId="462EDB5B">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57ED137">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190B175">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25A02B9">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7F94696D">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1DEE82E3">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1C3D0F53">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4B066D7C">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317DB4CC">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26915201">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0B89DC4">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F496B8E">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4B8B6505">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1836F3B">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52210229">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6038EB03">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93B382C">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37585C13">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BB3BD64">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7762325F">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2CE4AD3C">
            <w:pPr>
              <w:jc w:val="center"/>
              <w:rPr>
                <w:rFonts w:ascii="宋体" w:hAnsi="宋体" w:eastAsia="黑体" w:cs="黑体"/>
                <w:color w:val="000000"/>
                <w:sz w:val="18"/>
                <w:szCs w:val="18"/>
              </w:rPr>
            </w:pPr>
          </w:p>
        </w:tc>
      </w:tr>
      <w:tr w14:paraId="2B5B1855">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476CA1E">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9C906A1">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073A216">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7D046E4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6D45663F">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365A1C73">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01D6419F">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5E41B63C">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6F9F1BB2">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24E4A4A">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C3AD95A">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11FAA44E">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0522E2C">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6A3F1217">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5B7A51A5">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5611656">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3F68FD8E">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2F91A8B">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3349B411">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2A1C7783">
            <w:pPr>
              <w:jc w:val="center"/>
              <w:rPr>
                <w:rFonts w:ascii="宋体" w:hAnsi="宋体" w:eastAsia="黑体" w:cs="黑体"/>
                <w:color w:val="000000"/>
                <w:sz w:val="18"/>
                <w:szCs w:val="18"/>
              </w:rPr>
            </w:pPr>
          </w:p>
        </w:tc>
      </w:tr>
      <w:tr w14:paraId="1440F6E9">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7558910">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A5F7DAF">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54FC4D3">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465B7149">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3A497572">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56534FF7">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88EC1E6">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574F6FA4">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3DF2A6F6">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F4BFDAE">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F21567A">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3B9070A4">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2738389">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025355C2">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2D48F159">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67C7E3D">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71B2DB5A">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0D2C22F">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2312521">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4FA370DF">
            <w:pPr>
              <w:jc w:val="center"/>
              <w:rPr>
                <w:rFonts w:ascii="宋体" w:hAnsi="宋体" w:eastAsia="黑体" w:cs="黑体"/>
                <w:color w:val="000000"/>
                <w:sz w:val="18"/>
                <w:szCs w:val="18"/>
              </w:rPr>
            </w:pPr>
          </w:p>
        </w:tc>
      </w:tr>
      <w:tr w14:paraId="0466B3BD">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A86FF74">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F9363B1">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03E786D">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3ED2C3C1">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3F92589C">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6CDB0BE7">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7BCC1107">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799A3C94">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65AAEFAD">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B8284A7">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81B2D79">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5D69F7DD">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7FEBBC0">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3723A9D1">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2D5B3054">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E14D1EA">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3ECB6544">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6B628B7">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33A072D2">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05F471C8">
            <w:pPr>
              <w:jc w:val="center"/>
              <w:rPr>
                <w:rFonts w:ascii="宋体" w:hAnsi="宋体" w:eastAsia="黑体" w:cs="黑体"/>
                <w:color w:val="000000"/>
                <w:sz w:val="18"/>
                <w:szCs w:val="18"/>
              </w:rPr>
            </w:pPr>
          </w:p>
        </w:tc>
      </w:tr>
      <w:tr w14:paraId="51D32795">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C642453">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DEFFADD">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DB4FB4A">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1A3FE2F3">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6C2F48B5">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01D11867">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5860F208">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7072C80B">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34BF52C8">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A00C4D1">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86B2A48">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6B500B31">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49F2305">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4CC1D25F">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60DDE032">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02D9E67">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2F4BD550">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48C45D5">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36C2FAE2">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51495362">
            <w:pPr>
              <w:jc w:val="center"/>
              <w:rPr>
                <w:rFonts w:ascii="宋体" w:hAnsi="宋体" w:eastAsia="黑体" w:cs="黑体"/>
                <w:color w:val="000000"/>
                <w:sz w:val="18"/>
                <w:szCs w:val="18"/>
              </w:rPr>
            </w:pPr>
          </w:p>
        </w:tc>
      </w:tr>
      <w:tr w14:paraId="14B66CC6">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E968C09">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88E6CC0">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1E2594F">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2F4C7AF3">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C5CA6C8">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3FC50A56">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588B8AB">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1563E731">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26B2B38E">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317FD95">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87B1723">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71EB1ABF">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683D844">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4ADDF2A3">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606867BD">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80C6A1A">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3F2E6841">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643CAFD">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E68DB1E">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4A3DDEDD">
            <w:pPr>
              <w:jc w:val="center"/>
              <w:rPr>
                <w:rFonts w:ascii="宋体" w:hAnsi="宋体" w:eastAsia="黑体" w:cs="黑体"/>
                <w:color w:val="000000"/>
                <w:sz w:val="18"/>
                <w:szCs w:val="18"/>
              </w:rPr>
            </w:pPr>
          </w:p>
        </w:tc>
      </w:tr>
      <w:tr w14:paraId="7FD567B0">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C46B993">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79DF8C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7A30F45">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70371D8F">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10BD1039">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55C844D3">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677C8928">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127A5225">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067AB54A">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E3436F3">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9B06F10">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6620C280">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9CF393E">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7E26C88E">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638F1738">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2B2B1E1">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0603C2DE">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487638A">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E90A5EF">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36B129EC">
            <w:pPr>
              <w:jc w:val="center"/>
              <w:rPr>
                <w:rFonts w:ascii="宋体" w:hAnsi="宋体" w:eastAsia="黑体" w:cs="黑体"/>
                <w:color w:val="000000"/>
                <w:sz w:val="18"/>
                <w:szCs w:val="18"/>
              </w:rPr>
            </w:pPr>
          </w:p>
        </w:tc>
      </w:tr>
      <w:tr w14:paraId="12A242C0">
        <w:tblPrEx>
          <w:tblCellMar>
            <w:top w:w="0" w:type="dxa"/>
            <w:left w:w="108" w:type="dxa"/>
            <w:bottom w:w="0" w:type="dxa"/>
            <w:right w:w="108" w:type="dxa"/>
          </w:tblCellMar>
        </w:tblPrEx>
        <w:trPr>
          <w:trHeight w:val="75" w:hRule="atLeast"/>
        </w:trPr>
        <w:tc>
          <w:tcPr>
            <w:tcW w:w="1666" w:type="pct"/>
            <w:gridSpan w:val="11"/>
            <w:tcBorders>
              <w:top w:val="single" w:color="000000" w:sz="4" w:space="0"/>
              <w:left w:val="single" w:color="auto" w:sz="4" w:space="0"/>
              <w:bottom w:val="single" w:color="000000" w:sz="4" w:space="0"/>
              <w:right w:val="single" w:color="000000" w:sz="4" w:space="0"/>
            </w:tcBorders>
            <w:shd w:val="clear" w:color="auto" w:fill="auto"/>
            <w:vAlign w:val="center"/>
          </w:tcPr>
          <w:p w14:paraId="12A7EF92">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数据采集人员：</w:t>
            </w:r>
          </w:p>
        </w:tc>
        <w:tc>
          <w:tcPr>
            <w:tcW w:w="1710" w:type="pct"/>
            <w:gridSpan w:val="10"/>
            <w:tcBorders>
              <w:top w:val="single" w:color="000000" w:sz="4" w:space="0"/>
              <w:left w:val="single" w:color="auto" w:sz="4" w:space="0"/>
              <w:bottom w:val="single" w:color="000000" w:sz="4" w:space="0"/>
              <w:right w:val="single" w:color="000000" w:sz="4" w:space="0"/>
            </w:tcBorders>
            <w:shd w:val="clear" w:color="auto" w:fill="auto"/>
            <w:vAlign w:val="center"/>
          </w:tcPr>
          <w:p w14:paraId="40DA0691">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审核人员：</w:t>
            </w:r>
          </w:p>
        </w:tc>
        <w:tc>
          <w:tcPr>
            <w:tcW w:w="1622"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4D9ED1AE">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审批人员：</w:t>
            </w:r>
          </w:p>
        </w:tc>
      </w:tr>
    </w:tbl>
    <w:p w14:paraId="16EF3067">
      <w:pPr>
        <w:pStyle w:val="43"/>
        <w:ind w:firstLine="0" w:firstLineChars="0"/>
        <w:jc w:val="center"/>
        <w:rPr>
          <w:rFonts w:hAnsi="宋体"/>
        </w:rPr>
      </w:pPr>
    </w:p>
    <w:p w14:paraId="3306346A">
      <w:pPr>
        <w:rPr>
          <w:rFonts w:ascii="宋体" w:hAnsi="宋体"/>
        </w:rPr>
      </w:pPr>
      <w:r>
        <w:rPr>
          <w:rFonts w:hint="eastAsia" w:ascii="宋体" w:hAnsi="宋体"/>
        </w:rPr>
        <w:br w:type="page"/>
      </w:r>
    </w:p>
    <w:p w14:paraId="6A70D8C0">
      <w:pPr>
        <w:pStyle w:val="108"/>
        <w:numPr>
          <w:ilvl w:val="1"/>
          <w:numId w:val="0"/>
        </w:numPr>
        <w:spacing w:before="157" w:after="157"/>
        <w:rPr>
          <w:rFonts w:ascii="宋体" w:hAnsi="宋体"/>
        </w:rPr>
      </w:pPr>
      <w:r>
        <w:rPr>
          <w:rFonts w:hint="eastAsia" w:ascii="宋体" w:hAnsi="宋体"/>
        </w:rPr>
        <w:t>表G.3硫化氢气体检测报警仪数据采集记录模板</w:t>
      </w:r>
    </w:p>
    <w:tbl>
      <w:tblPr>
        <w:tblStyle w:val="25"/>
        <w:tblW w:w="4997" w:type="pct"/>
        <w:tblInd w:w="0" w:type="dxa"/>
        <w:tblLayout w:type="fixed"/>
        <w:tblCellMar>
          <w:top w:w="0" w:type="dxa"/>
          <w:left w:w="108" w:type="dxa"/>
          <w:bottom w:w="0" w:type="dxa"/>
          <w:right w:w="108" w:type="dxa"/>
        </w:tblCellMar>
      </w:tblPr>
      <w:tblGrid>
        <w:gridCol w:w="574"/>
        <w:gridCol w:w="117"/>
        <w:gridCol w:w="494"/>
        <w:gridCol w:w="197"/>
        <w:gridCol w:w="485"/>
        <w:gridCol w:w="78"/>
        <w:gridCol w:w="608"/>
        <w:gridCol w:w="719"/>
        <w:gridCol w:w="771"/>
        <w:gridCol w:w="366"/>
        <w:gridCol w:w="214"/>
        <w:gridCol w:w="128"/>
        <w:gridCol w:w="716"/>
        <w:gridCol w:w="757"/>
        <w:gridCol w:w="83"/>
        <w:gridCol w:w="638"/>
        <w:gridCol w:w="510"/>
        <w:gridCol w:w="227"/>
        <w:gridCol w:w="780"/>
        <w:gridCol w:w="721"/>
        <w:gridCol w:w="752"/>
        <w:gridCol w:w="719"/>
        <w:gridCol w:w="377"/>
        <w:gridCol w:w="341"/>
        <w:gridCol w:w="649"/>
        <w:gridCol w:w="527"/>
        <w:gridCol w:w="122"/>
        <w:gridCol w:w="649"/>
        <w:gridCol w:w="552"/>
      </w:tblGrid>
      <w:tr w14:paraId="25F65A8C">
        <w:tblPrEx>
          <w:tblCellMar>
            <w:top w:w="0" w:type="dxa"/>
            <w:left w:w="108" w:type="dxa"/>
            <w:bottom w:w="0" w:type="dxa"/>
            <w:right w:w="108" w:type="dxa"/>
          </w:tblCellMar>
        </w:tblPrEx>
        <w:trPr>
          <w:trHeight w:val="520" w:hRule="atLeast"/>
        </w:trPr>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85CE0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检验设备</w:t>
            </w: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892D58">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2EDAD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名称</w:t>
            </w: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54C9A0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9846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67630A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不确定度/准确度等级/最大允许误差</w:t>
            </w: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F86A1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有效期至</w:t>
            </w: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63F2A8">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溯源机构</w:t>
            </w: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FAD613">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证书编号</w:t>
            </w: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424ED4">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作业者或承包者</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04EDE0">
            <w:pPr>
              <w:widowControl/>
              <w:jc w:val="center"/>
              <w:textAlignment w:val="center"/>
              <w:rPr>
                <w:rFonts w:ascii="宋体" w:hAnsi="宋体" w:eastAsia="宋体" w:cs="宋体"/>
                <w:color w:val="000000"/>
                <w:kern w:val="0"/>
                <w:sz w:val="18"/>
                <w:szCs w:val="18"/>
              </w:rPr>
            </w:pPr>
          </w:p>
        </w:tc>
      </w:tr>
      <w:tr w14:paraId="4362B25B">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1A4EA">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6271C6">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6BD48B">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CEE239">
            <w:pPr>
              <w:jc w:val="center"/>
              <w:rPr>
                <w:rFonts w:ascii="宋体" w:hAnsi="宋体" w:eastAsia="宋体" w:cs="宋体"/>
                <w:color w:val="FF0000"/>
                <w:sz w:val="16"/>
                <w:szCs w:val="16"/>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F88D6F">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610327A">
            <w:pPr>
              <w:jc w:val="center"/>
              <w:rPr>
                <w:rFonts w:ascii="宋体" w:hAnsi="宋体" w:eastAsia="宋体" w:cs="宋体"/>
                <w:i/>
                <w:iCs/>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853A5A">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833B65">
            <w:pPr>
              <w:jc w:val="center"/>
              <w:rPr>
                <w:rFonts w:ascii="宋体" w:hAnsi="宋体" w:eastAsia="宋体" w:cs="宋体"/>
                <w:color w:val="FF0000"/>
                <w:sz w:val="18"/>
                <w:szCs w:val="18"/>
              </w:rPr>
            </w:pP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3663E2">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2670E1">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所属设施</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09A8F0">
            <w:pPr>
              <w:widowControl/>
              <w:jc w:val="center"/>
              <w:textAlignment w:val="center"/>
              <w:rPr>
                <w:rFonts w:ascii="宋体" w:hAnsi="宋体" w:eastAsia="宋体" w:cs="宋体"/>
                <w:color w:val="000000"/>
                <w:kern w:val="0"/>
                <w:sz w:val="18"/>
                <w:szCs w:val="18"/>
              </w:rPr>
            </w:pPr>
          </w:p>
        </w:tc>
      </w:tr>
      <w:tr w14:paraId="018A5CE6">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62DE9D">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B2BD65">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B5713">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B86DE8">
            <w:pPr>
              <w:jc w:val="center"/>
              <w:rPr>
                <w:rFonts w:ascii="宋体" w:hAnsi="宋体" w:eastAsia="宋体" w:cs="宋体"/>
                <w:color w:val="FF0000"/>
                <w:sz w:val="18"/>
                <w:szCs w:val="18"/>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322EE">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15B5CAD">
            <w:pPr>
              <w:jc w:val="center"/>
              <w:rPr>
                <w:rFonts w:ascii="宋体" w:hAnsi="宋体" w:eastAsia="宋体" w:cs="宋体"/>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D734A6">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2C33A82">
            <w:pPr>
              <w:jc w:val="center"/>
              <w:rPr>
                <w:rFonts w:ascii="宋体" w:hAnsi="宋体" w:eastAsia="宋体" w:cs="宋体"/>
                <w:color w:val="FF0000"/>
                <w:sz w:val="18"/>
                <w:szCs w:val="18"/>
              </w:rPr>
            </w:pP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4F6CF2">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FB5C0B">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被检设备名称</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A90E964">
            <w:pPr>
              <w:widowControl/>
              <w:jc w:val="center"/>
              <w:textAlignment w:val="center"/>
              <w:rPr>
                <w:rFonts w:ascii="宋体" w:hAnsi="宋体" w:eastAsia="宋体" w:cs="宋体"/>
                <w:color w:val="000000"/>
                <w:kern w:val="0"/>
                <w:sz w:val="18"/>
                <w:szCs w:val="18"/>
              </w:rPr>
            </w:pPr>
          </w:p>
        </w:tc>
      </w:tr>
      <w:tr w14:paraId="6B58535F">
        <w:tblPrEx>
          <w:tblCellMar>
            <w:top w:w="0" w:type="dxa"/>
            <w:left w:w="108" w:type="dxa"/>
            <w:bottom w:w="0" w:type="dxa"/>
            <w:right w:w="108" w:type="dxa"/>
          </w:tblCellMar>
        </w:tblPrEx>
        <w:trPr>
          <w:trHeight w:val="400" w:hRule="atLeast"/>
        </w:trPr>
        <w:tc>
          <w:tcPr>
            <w:tcW w:w="5000" w:type="pct"/>
            <w:gridSpan w:val="29"/>
            <w:tcBorders>
              <w:top w:val="single" w:color="000000" w:sz="4" w:space="0"/>
              <w:left w:val="single" w:color="000000" w:sz="4" w:space="0"/>
              <w:bottom w:val="single" w:color="000000" w:sz="4" w:space="0"/>
              <w:right w:val="single" w:color="000000" w:sz="4" w:space="0"/>
            </w:tcBorders>
            <w:shd w:val="clear" w:color="auto" w:fill="auto"/>
            <w:vAlign w:val="center"/>
          </w:tcPr>
          <w:p w14:paraId="03E288D1">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检测检验依据</w:t>
            </w:r>
          </w:p>
        </w:tc>
      </w:tr>
      <w:tr w14:paraId="14FF48DC">
        <w:tblPrEx>
          <w:tblCellMar>
            <w:top w:w="0" w:type="dxa"/>
            <w:left w:w="108" w:type="dxa"/>
            <w:bottom w:w="0" w:type="dxa"/>
            <w:right w:w="108" w:type="dxa"/>
          </w:tblCellMar>
        </w:tblPrEx>
        <w:trPr>
          <w:trHeight w:val="400" w:hRule="atLeast"/>
        </w:trPr>
        <w:tc>
          <w:tcPr>
            <w:tcW w:w="5000" w:type="pct"/>
            <w:gridSpan w:val="29"/>
            <w:tcBorders>
              <w:top w:val="single" w:color="000000" w:sz="4" w:space="0"/>
              <w:left w:val="single" w:color="000000" w:sz="4" w:space="0"/>
              <w:bottom w:val="single" w:color="000000" w:sz="4" w:space="0"/>
              <w:right w:val="single" w:color="000000" w:sz="4" w:space="0"/>
            </w:tcBorders>
            <w:shd w:val="clear" w:color="auto" w:fill="auto"/>
            <w:vAlign w:val="center"/>
          </w:tcPr>
          <w:p w14:paraId="44D29FB4">
            <w:pPr>
              <w:widowControl/>
              <w:jc w:val="center"/>
              <w:textAlignment w:val="center"/>
              <w:rPr>
                <w:rFonts w:ascii="宋体" w:hAnsi="宋体" w:eastAsia="黑体" w:cs="黑体"/>
                <w:color w:val="000000"/>
                <w:kern w:val="0"/>
                <w:sz w:val="18"/>
                <w:szCs w:val="18"/>
              </w:rPr>
            </w:pPr>
          </w:p>
        </w:tc>
      </w:tr>
      <w:tr w14:paraId="65591637">
        <w:tblPrEx>
          <w:tblCellMar>
            <w:top w:w="0" w:type="dxa"/>
            <w:left w:w="108" w:type="dxa"/>
            <w:bottom w:w="0" w:type="dxa"/>
            <w:right w:w="108" w:type="dxa"/>
          </w:tblCellMar>
        </w:tblPrEx>
        <w:trPr>
          <w:trHeight w:val="315" w:hRule="atLeast"/>
        </w:trPr>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4807C0AF">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4F60D47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制造厂商</w:t>
            </w:r>
          </w:p>
        </w:tc>
        <w:tc>
          <w:tcPr>
            <w:tcW w:w="203" w:type="pct"/>
            <w:gridSpan w:val="2"/>
            <w:vMerge w:val="restart"/>
            <w:tcBorders>
              <w:top w:val="single" w:color="000000" w:sz="4" w:space="0"/>
              <w:left w:val="single" w:color="auto" w:sz="4" w:space="0"/>
              <w:right w:val="single" w:color="000000" w:sz="4" w:space="0"/>
            </w:tcBorders>
            <w:shd w:val="clear" w:color="auto" w:fill="auto"/>
            <w:vAlign w:val="center"/>
          </w:tcPr>
          <w:p w14:paraId="78EFC45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型号</w:t>
            </w:r>
          </w:p>
        </w:tc>
        <w:tc>
          <w:tcPr>
            <w:tcW w:w="219" w:type="pct"/>
            <w:vMerge w:val="restart"/>
            <w:tcBorders>
              <w:top w:val="single" w:color="000000" w:sz="4" w:space="0"/>
              <w:left w:val="single" w:color="auto" w:sz="4" w:space="0"/>
              <w:right w:val="single" w:color="000000" w:sz="4" w:space="0"/>
            </w:tcBorders>
            <w:shd w:val="clear" w:color="auto" w:fill="auto"/>
            <w:vAlign w:val="center"/>
          </w:tcPr>
          <w:p w14:paraId="35D9DBC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10879DB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位号/位置</w:t>
            </w:r>
          </w:p>
        </w:tc>
        <w:tc>
          <w:tcPr>
            <w:tcW w:w="278" w:type="pct"/>
            <w:tcBorders>
              <w:top w:val="single" w:color="000000" w:sz="4" w:space="0"/>
              <w:left w:val="single" w:color="auto" w:sz="4" w:space="0"/>
              <w:bottom w:val="single" w:color="auto" w:sz="4" w:space="0"/>
              <w:right w:val="single" w:color="000000" w:sz="4" w:space="0"/>
            </w:tcBorders>
            <w:shd w:val="clear" w:color="auto" w:fill="auto"/>
            <w:vAlign w:val="center"/>
          </w:tcPr>
          <w:p w14:paraId="2CC19C53">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43D0627F">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报警值</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5EFDE17F">
            <w:pPr>
              <w:jc w:val="center"/>
              <w:rPr>
                <w:rFonts w:ascii="宋体" w:hAnsi="宋体" w:eastAsia="黑体" w:cs="黑体"/>
                <w:color w:val="000000"/>
                <w:sz w:val="18"/>
                <w:szCs w:val="18"/>
              </w:rPr>
            </w:pPr>
            <w:r>
              <w:rPr>
                <w:rFonts w:hint="eastAsia" w:ascii="宋体" w:hAnsi="宋体" w:eastAsia="黑体" w:cs="黑体"/>
                <w:color w:val="000000"/>
                <w:sz w:val="18"/>
                <w:szCs w:val="18"/>
              </w:rPr>
              <w:t>外观检查</w:t>
            </w:r>
          </w:p>
        </w:tc>
        <w:tc>
          <w:tcPr>
            <w:tcW w:w="273" w:type="pct"/>
            <w:tcBorders>
              <w:top w:val="single" w:color="000000" w:sz="4" w:space="0"/>
              <w:left w:val="single" w:color="auto" w:sz="4" w:space="0"/>
              <w:bottom w:val="single" w:color="auto" w:sz="4" w:space="0"/>
              <w:right w:val="single" w:color="000000" w:sz="4" w:space="0"/>
            </w:tcBorders>
            <w:shd w:val="clear" w:color="auto" w:fill="auto"/>
            <w:vAlign w:val="center"/>
          </w:tcPr>
          <w:p w14:paraId="799D4518">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标准气浓度</w:t>
            </w:r>
          </w:p>
        </w:tc>
        <w:tc>
          <w:tcPr>
            <w:tcW w:w="260"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5AA716B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示值1</w:t>
            </w:r>
          </w:p>
        </w:tc>
        <w:tc>
          <w:tcPr>
            <w:tcW w:w="266"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090B20C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示值2</w:t>
            </w:r>
          </w:p>
        </w:tc>
        <w:tc>
          <w:tcPr>
            <w:tcW w:w="281" w:type="pct"/>
            <w:tcBorders>
              <w:top w:val="single" w:color="000000" w:sz="4" w:space="0"/>
              <w:left w:val="single" w:color="auto" w:sz="4" w:space="0"/>
              <w:bottom w:val="single" w:color="auto" w:sz="4" w:space="0"/>
              <w:right w:val="single" w:color="000000" w:sz="4" w:space="0"/>
            </w:tcBorders>
            <w:shd w:val="clear" w:color="auto" w:fill="auto"/>
            <w:vAlign w:val="center"/>
          </w:tcPr>
          <w:p w14:paraId="7ACA863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示值3</w:t>
            </w:r>
          </w:p>
        </w:tc>
        <w:tc>
          <w:tcPr>
            <w:tcW w:w="254" w:type="pct"/>
            <w:tcBorders>
              <w:top w:val="single" w:color="000000" w:sz="4" w:space="0"/>
              <w:left w:val="single" w:color="auto" w:sz="4" w:space="0"/>
              <w:bottom w:val="single" w:color="auto" w:sz="4" w:space="0"/>
              <w:right w:val="single" w:color="000000" w:sz="4" w:space="0"/>
            </w:tcBorders>
            <w:shd w:val="clear" w:color="auto" w:fill="auto"/>
            <w:vAlign w:val="center"/>
          </w:tcPr>
          <w:p w14:paraId="3794D15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示值误差</w:t>
            </w:r>
          </w:p>
        </w:tc>
        <w:tc>
          <w:tcPr>
            <w:tcW w:w="271" w:type="pct"/>
            <w:tcBorders>
              <w:top w:val="single" w:color="000000" w:sz="4" w:space="0"/>
              <w:left w:val="single" w:color="auto" w:sz="4" w:space="0"/>
              <w:bottom w:val="single" w:color="auto" w:sz="4" w:space="0"/>
              <w:right w:val="single" w:color="000000" w:sz="4" w:space="0"/>
            </w:tcBorders>
            <w:shd w:val="clear" w:color="auto" w:fill="auto"/>
            <w:vAlign w:val="center"/>
          </w:tcPr>
          <w:p w14:paraId="042105E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时间1</w:t>
            </w:r>
          </w:p>
        </w:tc>
        <w:tc>
          <w:tcPr>
            <w:tcW w:w="259" w:type="pct"/>
            <w:tcBorders>
              <w:top w:val="single" w:color="000000" w:sz="4" w:space="0"/>
              <w:left w:val="single" w:color="auto" w:sz="4" w:space="0"/>
              <w:bottom w:val="single" w:color="auto" w:sz="4" w:space="0"/>
              <w:right w:val="single" w:color="000000" w:sz="4" w:space="0"/>
            </w:tcBorders>
            <w:shd w:val="clear" w:color="auto" w:fill="auto"/>
            <w:vAlign w:val="center"/>
          </w:tcPr>
          <w:p w14:paraId="35BE926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时间2</w:t>
            </w:r>
          </w:p>
        </w:tc>
        <w:tc>
          <w:tcPr>
            <w:tcW w:w="259"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2C0FE49B">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时间3</w:t>
            </w:r>
          </w:p>
        </w:tc>
        <w:tc>
          <w:tcPr>
            <w:tcW w:w="234" w:type="pct"/>
            <w:tcBorders>
              <w:top w:val="single" w:color="000000" w:sz="4" w:space="0"/>
              <w:left w:val="single" w:color="auto" w:sz="4" w:space="0"/>
              <w:bottom w:val="single" w:color="auto" w:sz="4" w:space="0"/>
              <w:right w:val="single" w:color="000000" w:sz="4" w:space="0"/>
            </w:tcBorders>
            <w:shd w:val="clear" w:color="auto" w:fill="auto"/>
            <w:vAlign w:val="center"/>
          </w:tcPr>
          <w:p w14:paraId="35A4D0E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响应时间</w:t>
            </w:r>
          </w:p>
        </w:tc>
        <w:tc>
          <w:tcPr>
            <w:tcW w:w="234" w:type="pct"/>
            <w:gridSpan w:val="2"/>
            <w:vMerge w:val="restart"/>
            <w:tcBorders>
              <w:top w:val="single" w:color="000000" w:sz="4" w:space="0"/>
              <w:left w:val="single" w:color="auto" w:sz="4" w:space="0"/>
              <w:right w:val="single" w:color="000000" w:sz="4" w:space="0"/>
            </w:tcBorders>
            <w:shd w:val="clear" w:color="auto" w:fill="auto"/>
            <w:vAlign w:val="center"/>
          </w:tcPr>
          <w:p w14:paraId="2148E856">
            <w:pPr>
              <w:jc w:val="center"/>
              <w:rPr>
                <w:rFonts w:ascii="宋体" w:hAnsi="宋体" w:eastAsia="黑体" w:cs="黑体"/>
                <w:color w:val="000000"/>
                <w:sz w:val="18"/>
                <w:szCs w:val="18"/>
              </w:rPr>
            </w:pPr>
            <w:r>
              <w:rPr>
                <w:rFonts w:hint="eastAsia" w:ascii="宋体" w:hAnsi="宋体" w:eastAsia="黑体" w:cs="黑体"/>
                <w:color w:val="000000"/>
                <w:sz w:val="18"/>
                <w:szCs w:val="18"/>
              </w:rPr>
              <w:t>报警功能</w:t>
            </w:r>
          </w:p>
        </w:tc>
        <w:tc>
          <w:tcPr>
            <w:tcW w:w="234" w:type="pct"/>
            <w:vMerge w:val="restart"/>
            <w:tcBorders>
              <w:top w:val="single" w:color="000000" w:sz="4" w:space="0"/>
              <w:left w:val="single" w:color="auto" w:sz="4" w:space="0"/>
              <w:right w:val="single" w:color="000000" w:sz="4" w:space="0"/>
            </w:tcBorders>
            <w:shd w:val="clear" w:color="auto" w:fill="auto"/>
            <w:vAlign w:val="center"/>
          </w:tcPr>
          <w:p w14:paraId="44B5549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采集日期</w:t>
            </w:r>
          </w:p>
        </w:tc>
        <w:tc>
          <w:tcPr>
            <w:tcW w:w="195" w:type="pct"/>
            <w:vMerge w:val="restart"/>
            <w:tcBorders>
              <w:top w:val="single" w:color="000000" w:sz="4" w:space="0"/>
              <w:left w:val="single" w:color="auto" w:sz="4" w:space="0"/>
              <w:right w:val="single" w:color="000000" w:sz="4" w:space="0"/>
            </w:tcBorders>
            <w:shd w:val="clear" w:color="auto" w:fill="auto"/>
            <w:vAlign w:val="center"/>
          </w:tcPr>
          <w:p w14:paraId="48B1BF0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备注</w:t>
            </w:r>
          </w:p>
        </w:tc>
      </w:tr>
      <w:tr w14:paraId="160BBA94">
        <w:tblPrEx>
          <w:tblCellMar>
            <w:top w:w="0" w:type="dxa"/>
            <w:left w:w="108" w:type="dxa"/>
            <w:bottom w:w="0" w:type="dxa"/>
            <w:right w:w="108" w:type="dxa"/>
          </w:tblCellMar>
        </w:tblPrEx>
        <w:trPr>
          <w:trHeight w:val="315" w:hRule="atLeast"/>
        </w:trPr>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047EBD51">
            <w:pPr>
              <w:widowControl/>
              <w:jc w:val="center"/>
              <w:textAlignment w:val="center"/>
              <w:rPr>
                <w:rFonts w:ascii="宋体" w:hAnsi="宋体"/>
              </w:rPr>
            </w:pPr>
          </w:p>
        </w:tc>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7BA4D1D5">
            <w:pPr>
              <w:widowControl/>
              <w:jc w:val="center"/>
              <w:textAlignment w:val="center"/>
              <w:rPr>
                <w:rFonts w:ascii="宋体" w:hAnsi="宋体"/>
              </w:rPr>
            </w:pPr>
          </w:p>
        </w:tc>
        <w:tc>
          <w:tcPr>
            <w:tcW w:w="203" w:type="pct"/>
            <w:gridSpan w:val="2"/>
            <w:vMerge w:val="continue"/>
            <w:tcBorders>
              <w:left w:val="single" w:color="auto" w:sz="4" w:space="0"/>
              <w:bottom w:val="single" w:color="auto" w:sz="2" w:space="0"/>
              <w:right w:val="single" w:color="000000" w:sz="4" w:space="0"/>
            </w:tcBorders>
            <w:shd w:val="clear" w:color="auto" w:fill="auto"/>
            <w:vAlign w:val="center"/>
          </w:tcPr>
          <w:p w14:paraId="06D5DABF">
            <w:pPr>
              <w:widowControl/>
              <w:jc w:val="center"/>
              <w:textAlignment w:val="center"/>
              <w:rPr>
                <w:rFonts w:ascii="宋体" w:hAnsi="宋体"/>
              </w:rPr>
            </w:pPr>
          </w:p>
        </w:tc>
        <w:tc>
          <w:tcPr>
            <w:tcW w:w="219" w:type="pct"/>
            <w:vMerge w:val="continue"/>
            <w:tcBorders>
              <w:left w:val="single" w:color="auto" w:sz="4" w:space="0"/>
              <w:bottom w:val="single" w:color="auto" w:sz="2" w:space="0"/>
              <w:right w:val="single" w:color="000000" w:sz="4" w:space="0"/>
            </w:tcBorders>
            <w:shd w:val="clear" w:color="auto" w:fill="auto"/>
            <w:vAlign w:val="center"/>
          </w:tcPr>
          <w:p w14:paraId="5BF39156">
            <w:pPr>
              <w:widowControl/>
              <w:jc w:val="center"/>
              <w:textAlignment w:val="center"/>
              <w:rPr>
                <w:rFonts w:ascii="宋体" w:hAnsi="宋体"/>
              </w:rPr>
            </w:pP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46123066">
            <w:pPr>
              <w:widowControl/>
              <w:jc w:val="center"/>
              <w:textAlignment w:val="center"/>
              <w:rPr>
                <w:rFonts w:ascii="宋体" w:hAnsi="宋体"/>
              </w:rPr>
            </w:pPr>
          </w:p>
        </w:tc>
        <w:tc>
          <w:tcPr>
            <w:tcW w:w="278" w:type="pct"/>
            <w:tcBorders>
              <w:top w:val="single" w:color="auto" w:sz="4" w:space="0"/>
              <w:left w:val="single" w:color="auto" w:sz="4" w:space="0"/>
              <w:bottom w:val="single" w:color="auto" w:sz="2" w:space="0"/>
              <w:right w:val="single" w:color="000000" w:sz="4" w:space="0"/>
            </w:tcBorders>
            <w:shd w:val="clear" w:color="auto" w:fill="auto"/>
            <w:vAlign w:val="center"/>
          </w:tcPr>
          <w:p w14:paraId="6920C2E1">
            <w:pPr>
              <w:widowControl/>
              <w:jc w:val="center"/>
              <w:textAlignment w:val="center"/>
              <w:rPr>
                <w:rFonts w:ascii="宋体" w:hAnsi="宋体"/>
              </w:rPr>
            </w:pPr>
            <w:r>
              <w:rPr>
                <w:rFonts w:ascii="宋体" w:hAnsi="宋体" w:eastAsia="宋体" w:cs="Times New Roman"/>
                <w:color w:val="000000"/>
                <w:kern w:val="0"/>
                <w:sz w:val="18"/>
                <w:szCs w:val="18"/>
              </w:rPr>
              <w:t>μmol/mol</w:t>
            </w: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0AB5CDAF">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33D258D6">
            <w:pPr>
              <w:widowControl/>
              <w:jc w:val="center"/>
              <w:textAlignment w:val="center"/>
              <w:rPr>
                <w:rFonts w:ascii="宋体" w:hAnsi="宋体" w:eastAsia="黑体" w:cs="黑体"/>
                <w:color w:val="000000"/>
                <w:kern w:val="0"/>
                <w:sz w:val="18"/>
                <w:szCs w:val="18"/>
              </w:rPr>
            </w:pPr>
          </w:p>
        </w:tc>
        <w:tc>
          <w:tcPr>
            <w:tcW w:w="273" w:type="pct"/>
            <w:tcBorders>
              <w:top w:val="single" w:color="auto" w:sz="4" w:space="0"/>
              <w:left w:val="single" w:color="auto" w:sz="4" w:space="0"/>
              <w:bottom w:val="single" w:color="auto" w:sz="2" w:space="0"/>
              <w:right w:val="single" w:color="000000" w:sz="4" w:space="0"/>
            </w:tcBorders>
            <w:shd w:val="clear" w:color="auto" w:fill="auto"/>
            <w:vAlign w:val="center"/>
          </w:tcPr>
          <w:p w14:paraId="7678802D">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60"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79A5C214">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66"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5D44DD11">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81" w:type="pct"/>
            <w:tcBorders>
              <w:top w:val="single" w:color="auto" w:sz="4" w:space="0"/>
              <w:left w:val="single" w:color="auto" w:sz="4" w:space="0"/>
              <w:bottom w:val="single" w:color="auto" w:sz="2" w:space="0"/>
              <w:right w:val="single" w:color="000000" w:sz="4" w:space="0"/>
            </w:tcBorders>
            <w:shd w:val="clear" w:color="auto" w:fill="auto"/>
            <w:vAlign w:val="center"/>
          </w:tcPr>
          <w:p w14:paraId="0F50BEFE">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54" w:type="pct"/>
            <w:tcBorders>
              <w:top w:val="single" w:color="auto" w:sz="4" w:space="0"/>
              <w:left w:val="single" w:color="auto" w:sz="4" w:space="0"/>
              <w:bottom w:val="single" w:color="auto" w:sz="2" w:space="0"/>
              <w:right w:val="single" w:color="000000" w:sz="4" w:space="0"/>
            </w:tcBorders>
            <w:shd w:val="clear" w:color="auto" w:fill="auto"/>
            <w:vAlign w:val="center"/>
          </w:tcPr>
          <w:p w14:paraId="1D601143">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71" w:type="pct"/>
            <w:tcBorders>
              <w:top w:val="single" w:color="auto" w:sz="4" w:space="0"/>
              <w:left w:val="single" w:color="auto" w:sz="4" w:space="0"/>
              <w:bottom w:val="single" w:color="auto" w:sz="2" w:space="0"/>
              <w:right w:val="single" w:color="000000" w:sz="4" w:space="0"/>
            </w:tcBorders>
            <w:shd w:val="clear" w:color="auto" w:fill="auto"/>
            <w:vAlign w:val="center"/>
          </w:tcPr>
          <w:p w14:paraId="1B8FF896">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9" w:type="pct"/>
            <w:tcBorders>
              <w:top w:val="single" w:color="auto" w:sz="4" w:space="0"/>
              <w:left w:val="single" w:color="auto" w:sz="4" w:space="0"/>
              <w:bottom w:val="single" w:color="auto" w:sz="2" w:space="0"/>
              <w:right w:val="single" w:color="000000" w:sz="4" w:space="0"/>
            </w:tcBorders>
            <w:shd w:val="clear" w:color="auto" w:fill="auto"/>
            <w:vAlign w:val="center"/>
          </w:tcPr>
          <w:p w14:paraId="4826B4B1">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1BC857F3">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tcBorders>
              <w:top w:val="single" w:color="auto" w:sz="4" w:space="0"/>
              <w:left w:val="single" w:color="auto" w:sz="4" w:space="0"/>
              <w:bottom w:val="single" w:color="auto" w:sz="2" w:space="0"/>
              <w:right w:val="single" w:color="000000" w:sz="4" w:space="0"/>
            </w:tcBorders>
            <w:shd w:val="clear" w:color="auto" w:fill="auto"/>
            <w:vAlign w:val="center"/>
          </w:tcPr>
          <w:p w14:paraId="1B2F171E">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gridSpan w:val="2"/>
            <w:vMerge w:val="continue"/>
            <w:tcBorders>
              <w:left w:val="single" w:color="auto" w:sz="4" w:space="0"/>
              <w:bottom w:val="single" w:color="auto" w:sz="2" w:space="0"/>
              <w:right w:val="single" w:color="000000" w:sz="4" w:space="0"/>
            </w:tcBorders>
            <w:shd w:val="clear" w:color="auto" w:fill="auto"/>
            <w:vAlign w:val="center"/>
          </w:tcPr>
          <w:p w14:paraId="22C4798D">
            <w:pPr>
              <w:widowControl/>
              <w:jc w:val="center"/>
              <w:textAlignment w:val="center"/>
              <w:rPr>
                <w:rFonts w:ascii="宋体" w:hAnsi="宋体" w:eastAsia="黑体" w:cs="黑体"/>
                <w:color w:val="000000"/>
                <w:kern w:val="0"/>
                <w:sz w:val="18"/>
                <w:szCs w:val="18"/>
              </w:rPr>
            </w:pPr>
          </w:p>
        </w:tc>
        <w:tc>
          <w:tcPr>
            <w:tcW w:w="234" w:type="pct"/>
            <w:vMerge w:val="continue"/>
            <w:tcBorders>
              <w:left w:val="single" w:color="auto" w:sz="4" w:space="0"/>
              <w:bottom w:val="single" w:color="auto" w:sz="2" w:space="0"/>
              <w:right w:val="single" w:color="000000" w:sz="4" w:space="0"/>
            </w:tcBorders>
            <w:shd w:val="clear" w:color="auto" w:fill="auto"/>
            <w:vAlign w:val="center"/>
          </w:tcPr>
          <w:p w14:paraId="7A446F20">
            <w:pPr>
              <w:widowControl/>
              <w:jc w:val="center"/>
              <w:textAlignment w:val="center"/>
              <w:rPr>
                <w:rFonts w:ascii="宋体" w:hAnsi="宋体" w:eastAsia="黑体" w:cs="黑体"/>
                <w:color w:val="000000"/>
                <w:kern w:val="0"/>
                <w:sz w:val="18"/>
                <w:szCs w:val="18"/>
              </w:rPr>
            </w:pPr>
          </w:p>
        </w:tc>
        <w:tc>
          <w:tcPr>
            <w:tcW w:w="195" w:type="pct"/>
            <w:vMerge w:val="continue"/>
            <w:tcBorders>
              <w:left w:val="single" w:color="auto" w:sz="4" w:space="0"/>
              <w:bottom w:val="single" w:color="auto" w:sz="2" w:space="0"/>
              <w:right w:val="single" w:color="000000" w:sz="4" w:space="0"/>
            </w:tcBorders>
            <w:shd w:val="clear" w:color="auto" w:fill="auto"/>
            <w:vAlign w:val="center"/>
          </w:tcPr>
          <w:p w14:paraId="2ABF8D21">
            <w:pPr>
              <w:widowControl/>
              <w:jc w:val="center"/>
              <w:textAlignment w:val="center"/>
              <w:rPr>
                <w:rFonts w:ascii="宋体" w:hAnsi="宋体" w:eastAsia="黑体" w:cs="黑体"/>
                <w:color w:val="000000"/>
                <w:kern w:val="0"/>
                <w:sz w:val="18"/>
                <w:szCs w:val="18"/>
              </w:rPr>
            </w:pPr>
          </w:p>
        </w:tc>
      </w:tr>
      <w:tr w14:paraId="4875BA54">
        <w:tblPrEx>
          <w:tblCellMar>
            <w:top w:w="0" w:type="dxa"/>
            <w:left w:w="108" w:type="dxa"/>
            <w:bottom w:w="0" w:type="dxa"/>
            <w:right w:w="108" w:type="dxa"/>
          </w:tblCellMar>
        </w:tblPrEx>
        <w:trPr>
          <w:trHeight w:val="75" w:hRule="atLeast"/>
        </w:trPr>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3F279BAF">
            <w:pPr>
              <w:jc w:val="center"/>
              <w:rPr>
                <w:rFonts w:ascii="宋体" w:hAnsi="宋体" w:eastAsia="黑体" w:cs="黑体"/>
                <w:color w:val="000000"/>
                <w:sz w:val="18"/>
                <w:szCs w:val="18"/>
              </w:rPr>
            </w:pPr>
          </w:p>
        </w:tc>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224B18B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B1F920B">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14CDF271">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7185DD7D">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31713E60">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69E48319">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4BFA8236">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29C463CB">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CAD63A4">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E0CC188">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6B555DD2">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70F661E6">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5949AC36">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4D322C4C">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CD62870">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55656C67">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0377BF3">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11520728">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6740DE20">
            <w:pPr>
              <w:jc w:val="center"/>
              <w:rPr>
                <w:rFonts w:ascii="宋体" w:hAnsi="宋体" w:eastAsia="黑体" w:cs="黑体"/>
                <w:color w:val="000000"/>
                <w:sz w:val="18"/>
                <w:szCs w:val="18"/>
              </w:rPr>
            </w:pPr>
          </w:p>
        </w:tc>
      </w:tr>
      <w:tr w14:paraId="0985C7BD">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40E8189">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1DC59E5">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8E9D50C">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0456376F">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752A35B7">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2F1B06BA">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4F01DD9F">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54AD1D1C">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022F3B2D">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A2156CB">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8EF15AB">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4EF81FD7">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5B655B95">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4C6C371B">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207DA1F2">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64EB998">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05F471C9">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2144365">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32310626">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081E1024">
            <w:pPr>
              <w:jc w:val="center"/>
              <w:rPr>
                <w:rFonts w:ascii="宋体" w:hAnsi="宋体" w:eastAsia="黑体" w:cs="黑体"/>
                <w:color w:val="000000"/>
                <w:sz w:val="18"/>
                <w:szCs w:val="18"/>
              </w:rPr>
            </w:pPr>
          </w:p>
        </w:tc>
      </w:tr>
      <w:tr w14:paraId="34161B01">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8D2D1C7">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A2DC3AD">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59677D9">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5FFACFD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0B929D04">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168B7B81">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01F42D0C">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3A15C98B">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586BB687">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19FFEB0">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AD8ACF2">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44429E33">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75497CA4">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535393D3">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024FDF0D">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17D177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3874A7F3">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63D7ABD">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12ACF87D">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5B321CCF">
            <w:pPr>
              <w:jc w:val="center"/>
              <w:rPr>
                <w:rFonts w:ascii="宋体" w:hAnsi="宋体" w:eastAsia="黑体" w:cs="黑体"/>
                <w:color w:val="000000"/>
                <w:sz w:val="18"/>
                <w:szCs w:val="18"/>
              </w:rPr>
            </w:pPr>
          </w:p>
        </w:tc>
      </w:tr>
      <w:tr w14:paraId="329FA3A7">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D0AE24D">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08DCABD">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BF9F29D">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3B8367D4">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1AC7F4C6">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259FF494">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6FB097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7D022B7B">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65B15732">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155F2F5">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237CD98">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3E4F510F">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67A77020">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203C56A4">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787A6EA6">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8A1236F">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0457CA7">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E905F05">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A85FE8E">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3C0394E4">
            <w:pPr>
              <w:jc w:val="center"/>
              <w:rPr>
                <w:rFonts w:ascii="宋体" w:hAnsi="宋体" w:eastAsia="黑体" w:cs="黑体"/>
                <w:color w:val="000000"/>
                <w:sz w:val="18"/>
                <w:szCs w:val="18"/>
              </w:rPr>
            </w:pPr>
          </w:p>
        </w:tc>
      </w:tr>
      <w:tr w14:paraId="7486B494">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136338A">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F594D2C">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358E29B">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222B977C">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20E30ACD">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706A0585">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7174A7C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4BB4C146">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6A978D25">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2220949">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694836E">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02E6D359">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034AAB3F">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36222B33">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75D39CFA">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70EF874">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68340B8">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E2D0832">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30A77939">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41825926">
            <w:pPr>
              <w:jc w:val="center"/>
              <w:rPr>
                <w:rFonts w:ascii="宋体" w:hAnsi="宋体" w:eastAsia="黑体" w:cs="黑体"/>
                <w:color w:val="000000"/>
                <w:sz w:val="18"/>
                <w:szCs w:val="18"/>
              </w:rPr>
            </w:pPr>
          </w:p>
        </w:tc>
      </w:tr>
      <w:tr w14:paraId="38C3D330">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81F72B1">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602550B">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AEA71F7">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3C757932">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54103320">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21F994FB">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2E7F70F4">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2EABB6AE">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27E1A6CF">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B6F777B">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3C0C981">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7540440C">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4CAEB966">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57D606FB">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347EF8EE">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A7F4393">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07E6AAA8">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4F1A64D">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73B4DE36">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0FC23C42">
            <w:pPr>
              <w:jc w:val="center"/>
              <w:rPr>
                <w:rFonts w:ascii="宋体" w:hAnsi="宋体" w:eastAsia="黑体" w:cs="黑体"/>
                <w:color w:val="000000"/>
                <w:sz w:val="18"/>
                <w:szCs w:val="18"/>
              </w:rPr>
            </w:pPr>
          </w:p>
        </w:tc>
      </w:tr>
      <w:tr w14:paraId="5BBB496C">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2119970">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6809A72">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5C7565B">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2DE628B0">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37E5CBEB">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48024C9F">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C61CA8D">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398E3584">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7F0901AC">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02A9000">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3514764">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77FFA49B">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06363CDA">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2EA884FE">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68060C26">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22B313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5AEA8E62">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51AB94B">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6CD5FE63">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7BB8EB73">
            <w:pPr>
              <w:jc w:val="center"/>
              <w:rPr>
                <w:rFonts w:ascii="宋体" w:hAnsi="宋体" w:eastAsia="黑体" w:cs="黑体"/>
                <w:color w:val="000000"/>
                <w:sz w:val="18"/>
                <w:szCs w:val="18"/>
              </w:rPr>
            </w:pPr>
          </w:p>
        </w:tc>
      </w:tr>
      <w:tr w14:paraId="12B6181E">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8C7821C">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6F6F4DC">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EB834E4">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61EA7622">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41A49C6C">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064C90EE">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341B62FE">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6C2EBA61">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029E3314">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BF03617">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464A1F0">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7412C126">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1028A0D0">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36398AF3">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4BA2EEB1">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4C23404">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3AB2A0ED">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F4D76B4">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252E348">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28F10F49">
            <w:pPr>
              <w:jc w:val="center"/>
              <w:rPr>
                <w:rFonts w:ascii="宋体" w:hAnsi="宋体" w:eastAsia="黑体" w:cs="黑体"/>
                <w:color w:val="000000"/>
                <w:sz w:val="18"/>
                <w:szCs w:val="18"/>
              </w:rPr>
            </w:pPr>
          </w:p>
        </w:tc>
      </w:tr>
      <w:tr w14:paraId="03408421">
        <w:tblPrEx>
          <w:tblCellMar>
            <w:top w:w="0" w:type="dxa"/>
            <w:left w:w="108" w:type="dxa"/>
            <w:bottom w:w="0" w:type="dxa"/>
            <w:right w:w="108" w:type="dxa"/>
          </w:tblCellMar>
        </w:tblPrEx>
        <w:trPr>
          <w:trHeight w:val="75" w:hRule="atLeast"/>
        </w:trPr>
        <w:tc>
          <w:tcPr>
            <w:tcW w:w="1666" w:type="pct"/>
            <w:gridSpan w:val="11"/>
            <w:tcBorders>
              <w:top w:val="single" w:color="000000" w:sz="4" w:space="0"/>
              <w:left w:val="single" w:color="auto" w:sz="4" w:space="0"/>
              <w:bottom w:val="single" w:color="000000" w:sz="4" w:space="0"/>
              <w:right w:val="single" w:color="000000" w:sz="4" w:space="0"/>
            </w:tcBorders>
            <w:shd w:val="clear" w:color="auto" w:fill="auto"/>
            <w:vAlign w:val="center"/>
          </w:tcPr>
          <w:p w14:paraId="6A477B8D">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数据采集人员：</w:t>
            </w:r>
          </w:p>
        </w:tc>
        <w:tc>
          <w:tcPr>
            <w:tcW w:w="1644"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7230F62E">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审核人员：</w:t>
            </w:r>
          </w:p>
        </w:tc>
        <w:tc>
          <w:tcPr>
            <w:tcW w:w="1688"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776B4746">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审批人员：</w:t>
            </w:r>
          </w:p>
        </w:tc>
      </w:tr>
    </w:tbl>
    <w:p w14:paraId="79553CFD">
      <w:pPr>
        <w:rPr>
          <w:rFonts w:ascii="宋体" w:hAnsi="宋体"/>
        </w:rPr>
      </w:pPr>
      <w:r>
        <w:rPr>
          <w:rFonts w:hint="eastAsia" w:ascii="宋体" w:hAnsi="宋体"/>
        </w:rPr>
        <w:br w:type="page"/>
      </w:r>
    </w:p>
    <w:p w14:paraId="2353793D">
      <w:pPr>
        <w:pStyle w:val="108"/>
        <w:numPr>
          <w:ilvl w:val="1"/>
          <w:numId w:val="0"/>
        </w:numPr>
        <w:spacing w:before="157" w:after="157"/>
        <w:rPr>
          <w:rFonts w:ascii="宋体" w:hAnsi="宋体"/>
        </w:rPr>
      </w:pPr>
      <w:r>
        <w:rPr>
          <w:rFonts w:hint="eastAsia" w:ascii="宋体" w:hAnsi="宋体"/>
        </w:rPr>
        <w:t>表G.4氢气检测报警器数据采集记录模板</w:t>
      </w:r>
    </w:p>
    <w:tbl>
      <w:tblPr>
        <w:tblStyle w:val="25"/>
        <w:tblW w:w="4997" w:type="pct"/>
        <w:tblInd w:w="0" w:type="dxa"/>
        <w:tblLayout w:type="fixed"/>
        <w:tblCellMar>
          <w:top w:w="0" w:type="dxa"/>
          <w:left w:w="108" w:type="dxa"/>
          <w:bottom w:w="0" w:type="dxa"/>
          <w:right w:w="108" w:type="dxa"/>
        </w:tblCellMar>
      </w:tblPr>
      <w:tblGrid>
        <w:gridCol w:w="574"/>
        <w:gridCol w:w="117"/>
        <w:gridCol w:w="494"/>
        <w:gridCol w:w="197"/>
        <w:gridCol w:w="485"/>
        <w:gridCol w:w="78"/>
        <w:gridCol w:w="608"/>
        <w:gridCol w:w="719"/>
        <w:gridCol w:w="771"/>
        <w:gridCol w:w="366"/>
        <w:gridCol w:w="214"/>
        <w:gridCol w:w="219"/>
        <w:gridCol w:w="624"/>
        <w:gridCol w:w="757"/>
        <w:gridCol w:w="83"/>
        <w:gridCol w:w="719"/>
        <w:gridCol w:w="430"/>
        <w:gridCol w:w="319"/>
        <w:gridCol w:w="788"/>
        <w:gridCol w:w="610"/>
        <w:gridCol w:w="194"/>
        <w:gridCol w:w="669"/>
        <w:gridCol w:w="619"/>
        <w:gridCol w:w="366"/>
        <w:gridCol w:w="291"/>
        <w:gridCol w:w="707"/>
        <w:gridCol w:w="519"/>
        <w:gridCol w:w="130"/>
        <w:gridCol w:w="649"/>
        <w:gridCol w:w="555"/>
      </w:tblGrid>
      <w:tr w14:paraId="5450A47B">
        <w:tblPrEx>
          <w:tblCellMar>
            <w:top w:w="0" w:type="dxa"/>
            <w:left w:w="108" w:type="dxa"/>
            <w:bottom w:w="0" w:type="dxa"/>
            <w:right w:w="108" w:type="dxa"/>
          </w:tblCellMar>
        </w:tblPrEx>
        <w:trPr>
          <w:trHeight w:val="520" w:hRule="atLeast"/>
        </w:trPr>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6F04AD">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检验设备</w:t>
            </w: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F56A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048D8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名称</w:t>
            </w: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F9F1B8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F7FC9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A2FC98">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不确定度/准确度等级/最大允许误差</w:t>
            </w: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D2802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有效期至</w:t>
            </w: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21634B">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溯源机构</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4A31D0C">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证书编号</w:t>
            </w: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A14D456">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作业者或承包者</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CC54C3">
            <w:pPr>
              <w:widowControl/>
              <w:jc w:val="center"/>
              <w:textAlignment w:val="center"/>
              <w:rPr>
                <w:rFonts w:ascii="宋体" w:hAnsi="宋体" w:eastAsia="宋体" w:cs="宋体"/>
                <w:color w:val="000000"/>
                <w:kern w:val="0"/>
                <w:sz w:val="18"/>
                <w:szCs w:val="18"/>
              </w:rPr>
            </w:pPr>
          </w:p>
        </w:tc>
      </w:tr>
      <w:tr w14:paraId="1FF8A78A">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B6F8E8">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A52AC7">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7CD82D">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5594D6">
            <w:pPr>
              <w:jc w:val="center"/>
              <w:rPr>
                <w:rFonts w:ascii="宋体" w:hAnsi="宋体" w:eastAsia="宋体" w:cs="宋体"/>
                <w:color w:val="FF0000"/>
                <w:sz w:val="16"/>
                <w:szCs w:val="16"/>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140BAA">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4FA870">
            <w:pPr>
              <w:jc w:val="center"/>
              <w:rPr>
                <w:rFonts w:ascii="宋体" w:hAnsi="宋体" w:eastAsia="宋体" w:cs="宋体"/>
                <w:i/>
                <w:iCs/>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DA170A">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276D49A">
            <w:pPr>
              <w:jc w:val="center"/>
              <w:rPr>
                <w:rFonts w:ascii="宋体" w:hAnsi="宋体" w:eastAsia="宋体" w:cs="宋体"/>
                <w:color w:val="FF0000"/>
                <w:sz w:val="18"/>
                <w:szCs w:val="18"/>
              </w:rPr>
            </w:pP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211F9B8">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F0942B">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所属设施</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36BE618">
            <w:pPr>
              <w:widowControl/>
              <w:jc w:val="center"/>
              <w:textAlignment w:val="center"/>
              <w:rPr>
                <w:rFonts w:ascii="宋体" w:hAnsi="宋体" w:eastAsia="宋体" w:cs="宋体"/>
                <w:color w:val="000000"/>
                <w:kern w:val="0"/>
                <w:sz w:val="18"/>
                <w:szCs w:val="18"/>
              </w:rPr>
            </w:pPr>
          </w:p>
        </w:tc>
      </w:tr>
      <w:tr w14:paraId="6305A375">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24BE8">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7C87DD">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97A82D">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9F04E8">
            <w:pPr>
              <w:jc w:val="center"/>
              <w:rPr>
                <w:rFonts w:ascii="宋体" w:hAnsi="宋体" w:eastAsia="宋体" w:cs="宋体"/>
                <w:color w:val="FF0000"/>
                <w:sz w:val="18"/>
                <w:szCs w:val="18"/>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78ECB">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2A8EDC">
            <w:pPr>
              <w:jc w:val="center"/>
              <w:rPr>
                <w:rFonts w:ascii="宋体" w:hAnsi="宋体" w:eastAsia="宋体" w:cs="宋体"/>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29EC2">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CF352CD">
            <w:pPr>
              <w:jc w:val="center"/>
              <w:rPr>
                <w:rFonts w:ascii="宋体" w:hAnsi="宋体" w:eastAsia="宋体" w:cs="宋体"/>
                <w:color w:val="FF0000"/>
                <w:sz w:val="18"/>
                <w:szCs w:val="18"/>
              </w:rPr>
            </w:pP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8E2360C">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A05302">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被检设备名称</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CD43BB8">
            <w:pPr>
              <w:widowControl/>
              <w:jc w:val="center"/>
              <w:textAlignment w:val="center"/>
              <w:rPr>
                <w:rFonts w:ascii="宋体" w:hAnsi="宋体" w:eastAsia="宋体" w:cs="宋体"/>
                <w:color w:val="000000"/>
                <w:kern w:val="0"/>
                <w:sz w:val="18"/>
                <w:szCs w:val="18"/>
              </w:rPr>
            </w:pPr>
          </w:p>
        </w:tc>
      </w:tr>
      <w:tr w14:paraId="43C92EC7">
        <w:tblPrEx>
          <w:tblCellMar>
            <w:top w:w="0" w:type="dxa"/>
            <w:left w:w="108" w:type="dxa"/>
            <w:bottom w:w="0" w:type="dxa"/>
            <w:right w:w="108" w:type="dxa"/>
          </w:tblCellMar>
        </w:tblPrEx>
        <w:trPr>
          <w:trHeight w:val="400" w:hRule="atLeast"/>
        </w:trPr>
        <w:tc>
          <w:tcPr>
            <w:tcW w:w="5000" w:type="pct"/>
            <w:gridSpan w:val="30"/>
            <w:tcBorders>
              <w:top w:val="single" w:color="000000" w:sz="4" w:space="0"/>
              <w:left w:val="single" w:color="000000" w:sz="4" w:space="0"/>
              <w:bottom w:val="single" w:color="000000" w:sz="4" w:space="0"/>
              <w:right w:val="single" w:color="000000" w:sz="4" w:space="0"/>
            </w:tcBorders>
            <w:shd w:val="clear" w:color="auto" w:fill="auto"/>
            <w:vAlign w:val="center"/>
          </w:tcPr>
          <w:p w14:paraId="4351977A">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检测检验依据</w:t>
            </w:r>
          </w:p>
        </w:tc>
      </w:tr>
      <w:tr w14:paraId="309E9012">
        <w:tblPrEx>
          <w:tblCellMar>
            <w:top w:w="0" w:type="dxa"/>
            <w:left w:w="108" w:type="dxa"/>
            <w:bottom w:w="0" w:type="dxa"/>
            <w:right w:w="108" w:type="dxa"/>
          </w:tblCellMar>
        </w:tblPrEx>
        <w:trPr>
          <w:trHeight w:val="400" w:hRule="atLeast"/>
        </w:trPr>
        <w:tc>
          <w:tcPr>
            <w:tcW w:w="5000" w:type="pct"/>
            <w:gridSpan w:val="30"/>
            <w:tcBorders>
              <w:top w:val="single" w:color="000000" w:sz="4" w:space="0"/>
              <w:left w:val="single" w:color="000000" w:sz="4" w:space="0"/>
              <w:bottom w:val="single" w:color="000000" w:sz="4" w:space="0"/>
              <w:right w:val="single" w:color="000000" w:sz="4" w:space="0"/>
            </w:tcBorders>
            <w:shd w:val="clear" w:color="auto" w:fill="auto"/>
            <w:vAlign w:val="center"/>
          </w:tcPr>
          <w:p w14:paraId="23240863">
            <w:pPr>
              <w:widowControl/>
              <w:jc w:val="center"/>
              <w:textAlignment w:val="center"/>
              <w:rPr>
                <w:rFonts w:ascii="宋体" w:hAnsi="宋体" w:eastAsia="黑体" w:cs="黑体"/>
                <w:color w:val="000000"/>
                <w:kern w:val="0"/>
                <w:sz w:val="18"/>
                <w:szCs w:val="18"/>
              </w:rPr>
            </w:pPr>
          </w:p>
        </w:tc>
      </w:tr>
      <w:tr w14:paraId="479C63DA">
        <w:tblPrEx>
          <w:tblCellMar>
            <w:top w:w="0" w:type="dxa"/>
            <w:left w:w="108" w:type="dxa"/>
            <w:bottom w:w="0" w:type="dxa"/>
            <w:right w:w="108" w:type="dxa"/>
          </w:tblCellMar>
        </w:tblPrEx>
        <w:trPr>
          <w:trHeight w:val="315" w:hRule="atLeast"/>
        </w:trPr>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5A1AD0AF">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31277D8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制造厂商</w:t>
            </w:r>
          </w:p>
        </w:tc>
        <w:tc>
          <w:tcPr>
            <w:tcW w:w="203" w:type="pct"/>
            <w:gridSpan w:val="2"/>
            <w:vMerge w:val="restart"/>
            <w:tcBorders>
              <w:top w:val="single" w:color="000000" w:sz="4" w:space="0"/>
              <w:left w:val="single" w:color="auto" w:sz="4" w:space="0"/>
              <w:right w:val="single" w:color="000000" w:sz="4" w:space="0"/>
            </w:tcBorders>
            <w:shd w:val="clear" w:color="auto" w:fill="auto"/>
            <w:vAlign w:val="center"/>
          </w:tcPr>
          <w:p w14:paraId="531C7D4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型号</w:t>
            </w:r>
          </w:p>
        </w:tc>
        <w:tc>
          <w:tcPr>
            <w:tcW w:w="219" w:type="pct"/>
            <w:vMerge w:val="restart"/>
            <w:tcBorders>
              <w:top w:val="single" w:color="000000" w:sz="4" w:space="0"/>
              <w:left w:val="single" w:color="auto" w:sz="4" w:space="0"/>
              <w:right w:val="single" w:color="000000" w:sz="4" w:space="0"/>
            </w:tcBorders>
            <w:shd w:val="clear" w:color="auto" w:fill="auto"/>
            <w:vAlign w:val="center"/>
          </w:tcPr>
          <w:p w14:paraId="6B9EFDC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30A3409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位号/位置</w:t>
            </w:r>
          </w:p>
        </w:tc>
        <w:tc>
          <w:tcPr>
            <w:tcW w:w="278" w:type="pct"/>
            <w:tcBorders>
              <w:top w:val="single" w:color="000000" w:sz="4" w:space="0"/>
              <w:left w:val="single" w:color="auto" w:sz="4" w:space="0"/>
              <w:bottom w:val="single" w:color="auto" w:sz="4" w:space="0"/>
              <w:right w:val="single" w:color="000000" w:sz="4" w:space="0"/>
            </w:tcBorders>
            <w:shd w:val="clear" w:color="auto" w:fill="auto"/>
            <w:vAlign w:val="center"/>
          </w:tcPr>
          <w:p w14:paraId="0C47484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3F5E9B03">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报警值</w:t>
            </w:r>
          </w:p>
        </w:tc>
        <w:tc>
          <w:tcPr>
            <w:tcW w:w="225" w:type="pct"/>
            <w:vMerge w:val="restart"/>
            <w:tcBorders>
              <w:top w:val="single" w:color="000000" w:sz="4" w:space="0"/>
              <w:left w:val="single" w:color="auto" w:sz="4" w:space="0"/>
              <w:right w:val="single" w:color="000000" w:sz="4" w:space="0"/>
            </w:tcBorders>
            <w:shd w:val="clear" w:color="auto" w:fill="auto"/>
            <w:vAlign w:val="center"/>
          </w:tcPr>
          <w:p w14:paraId="789DCB23">
            <w:pPr>
              <w:jc w:val="center"/>
              <w:rPr>
                <w:rFonts w:ascii="宋体" w:hAnsi="宋体" w:eastAsia="黑体" w:cs="黑体"/>
                <w:color w:val="000000"/>
                <w:sz w:val="18"/>
                <w:szCs w:val="18"/>
              </w:rPr>
            </w:pPr>
            <w:r>
              <w:rPr>
                <w:rFonts w:hint="eastAsia" w:ascii="宋体" w:hAnsi="宋体" w:eastAsia="黑体" w:cs="黑体"/>
                <w:color w:val="000000"/>
                <w:sz w:val="18"/>
                <w:szCs w:val="18"/>
              </w:rPr>
              <w:t>外观检查</w:t>
            </w:r>
          </w:p>
        </w:tc>
        <w:tc>
          <w:tcPr>
            <w:tcW w:w="273" w:type="pct"/>
            <w:tcBorders>
              <w:top w:val="single" w:color="000000" w:sz="4" w:space="0"/>
              <w:left w:val="single" w:color="auto" w:sz="4" w:space="0"/>
              <w:bottom w:val="single" w:color="auto" w:sz="4" w:space="0"/>
              <w:right w:val="single" w:color="000000" w:sz="4" w:space="0"/>
            </w:tcBorders>
            <w:shd w:val="clear" w:color="auto" w:fill="auto"/>
            <w:vAlign w:val="center"/>
          </w:tcPr>
          <w:p w14:paraId="3CF2AC5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标准气浓度</w:t>
            </w:r>
          </w:p>
        </w:tc>
        <w:tc>
          <w:tcPr>
            <w:tcW w:w="289"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507A725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示值1</w:t>
            </w:r>
          </w:p>
        </w:tc>
        <w:tc>
          <w:tcPr>
            <w:tcW w:w="270"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6FF4620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示值2</w:t>
            </w:r>
          </w:p>
        </w:tc>
        <w:tc>
          <w:tcPr>
            <w:tcW w:w="284" w:type="pct"/>
            <w:tcBorders>
              <w:top w:val="single" w:color="000000" w:sz="4" w:space="0"/>
              <w:left w:val="single" w:color="auto" w:sz="4" w:space="0"/>
              <w:bottom w:val="single" w:color="auto" w:sz="4" w:space="0"/>
              <w:right w:val="single" w:color="000000" w:sz="4" w:space="0"/>
            </w:tcBorders>
            <w:shd w:val="clear" w:color="auto" w:fill="auto"/>
            <w:vAlign w:val="center"/>
          </w:tcPr>
          <w:p w14:paraId="5125ECBB">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示值3</w:t>
            </w:r>
          </w:p>
        </w:tc>
        <w:tc>
          <w:tcPr>
            <w:tcW w:w="284"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3A0AE6B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示值误差</w:t>
            </w:r>
          </w:p>
        </w:tc>
        <w:tc>
          <w:tcPr>
            <w:tcW w:w="241" w:type="pct"/>
            <w:tcBorders>
              <w:top w:val="single" w:color="000000" w:sz="4" w:space="0"/>
              <w:left w:val="single" w:color="auto" w:sz="4" w:space="0"/>
              <w:bottom w:val="single" w:color="auto" w:sz="4" w:space="0"/>
              <w:right w:val="single" w:color="000000" w:sz="4" w:space="0"/>
            </w:tcBorders>
            <w:shd w:val="clear" w:color="auto" w:fill="auto"/>
            <w:vAlign w:val="center"/>
          </w:tcPr>
          <w:p w14:paraId="62398923">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时间1</w:t>
            </w:r>
          </w:p>
        </w:tc>
        <w:tc>
          <w:tcPr>
            <w:tcW w:w="223" w:type="pct"/>
            <w:tcBorders>
              <w:top w:val="single" w:color="000000" w:sz="4" w:space="0"/>
              <w:left w:val="single" w:color="auto" w:sz="4" w:space="0"/>
              <w:bottom w:val="single" w:color="auto" w:sz="4" w:space="0"/>
              <w:right w:val="single" w:color="000000" w:sz="4" w:space="0"/>
            </w:tcBorders>
            <w:shd w:val="clear" w:color="auto" w:fill="auto"/>
            <w:vAlign w:val="center"/>
          </w:tcPr>
          <w:p w14:paraId="6ECCA3D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时间2</w:t>
            </w:r>
          </w:p>
        </w:tc>
        <w:tc>
          <w:tcPr>
            <w:tcW w:w="237"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3CD4E2B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时间3</w:t>
            </w:r>
          </w:p>
        </w:tc>
        <w:tc>
          <w:tcPr>
            <w:tcW w:w="255" w:type="pct"/>
            <w:tcBorders>
              <w:top w:val="single" w:color="000000" w:sz="4" w:space="0"/>
              <w:left w:val="single" w:color="auto" w:sz="4" w:space="0"/>
              <w:bottom w:val="single" w:color="auto" w:sz="4" w:space="0"/>
              <w:right w:val="single" w:color="000000" w:sz="4" w:space="0"/>
            </w:tcBorders>
            <w:shd w:val="clear" w:color="auto" w:fill="auto"/>
            <w:vAlign w:val="center"/>
          </w:tcPr>
          <w:p w14:paraId="6213F14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响应时间</w:t>
            </w:r>
          </w:p>
        </w:tc>
        <w:tc>
          <w:tcPr>
            <w:tcW w:w="234" w:type="pct"/>
            <w:gridSpan w:val="2"/>
            <w:vMerge w:val="restart"/>
            <w:tcBorders>
              <w:top w:val="single" w:color="000000" w:sz="4" w:space="0"/>
              <w:left w:val="single" w:color="auto" w:sz="4" w:space="0"/>
              <w:right w:val="single" w:color="000000" w:sz="4" w:space="0"/>
            </w:tcBorders>
            <w:shd w:val="clear" w:color="auto" w:fill="auto"/>
            <w:vAlign w:val="center"/>
          </w:tcPr>
          <w:p w14:paraId="161D4EA3">
            <w:pPr>
              <w:jc w:val="center"/>
              <w:rPr>
                <w:rFonts w:ascii="宋体" w:hAnsi="宋体" w:eastAsia="黑体" w:cs="黑体"/>
                <w:color w:val="000000"/>
                <w:sz w:val="18"/>
                <w:szCs w:val="18"/>
              </w:rPr>
            </w:pPr>
            <w:r>
              <w:rPr>
                <w:rFonts w:hint="eastAsia" w:ascii="宋体" w:hAnsi="宋体" w:eastAsia="黑体" w:cs="黑体"/>
                <w:color w:val="000000"/>
                <w:sz w:val="18"/>
                <w:szCs w:val="18"/>
              </w:rPr>
              <w:t>报警功能</w:t>
            </w:r>
          </w:p>
        </w:tc>
        <w:tc>
          <w:tcPr>
            <w:tcW w:w="234" w:type="pct"/>
            <w:vMerge w:val="restart"/>
            <w:tcBorders>
              <w:top w:val="single" w:color="000000" w:sz="4" w:space="0"/>
              <w:left w:val="single" w:color="auto" w:sz="4" w:space="0"/>
              <w:right w:val="single" w:color="000000" w:sz="4" w:space="0"/>
            </w:tcBorders>
            <w:shd w:val="clear" w:color="auto" w:fill="auto"/>
            <w:vAlign w:val="center"/>
          </w:tcPr>
          <w:p w14:paraId="6169C68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采集日期</w:t>
            </w:r>
          </w:p>
        </w:tc>
        <w:tc>
          <w:tcPr>
            <w:tcW w:w="195" w:type="pct"/>
            <w:vMerge w:val="restart"/>
            <w:tcBorders>
              <w:top w:val="single" w:color="000000" w:sz="4" w:space="0"/>
              <w:left w:val="single" w:color="auto" w:sz="4" w:space="0"/>
              <w:right w:val="single" w:color="000000" w:sz="4" w:space="0"/>
            </w:tcBorders>
            <w:shd w:val="clear" w:color="auto" w:fill="auto"/>
            <w:vAlign w:val="center"/>
          </w:tcPr>
          <w:p w14:paraId="075393A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备注</w:t>
            </w:r>
          </w:p>
        </w:tc>
      </w:tr>
      <w:tr w14:paraId="73D26100">
        <w:tblPrEx>
          <w:tblCellMar>
            <w:top w:w="0" w:type="dxa"/>
            <w:left w:w="108" w:type="dxa"/>
            <w:bottom w:w="0" w:type="dxa"/>
            <w:right w:w="108" w:type="dxa"/>
          </w:tblCellMar>
        </w:tblPrEx>
        <w:trPr>
          <w:trHeight w:val="315" w:hRule="atLeast"/>
        </w:trPr>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6C375BA9">
            <w:pPr>
              <w:widowControl/>
              <w:jc w:val="center"/>
              <w:textAlignment w:val="center"/>
              <w:rPr>
                <w:rFonts w:ascii="宋体" w:hAnsi="宋体"/>
              </w:rPr>
            </w:pPr>
          </w:p>
        </w:tc>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22DF80D1">
            <w:pPr>
              <w:widowControl/>
              <w:jc w:val="center"/>
              <w:textAlignment w:val="center"/>
              <w:rPr>
                <w:rFonts w:ascii="宋体" w:hAnsi="宋体"/>
              </w:rPr>
            </w:pPr>
          </w:p>
        </w:tc>
        <w:tc>
          <w:tcPr>
            <w:tcW w:w="203" w:type="pct"/>
            <w:gridSpan w:val="2"/>
            <w:vMerge w:val="continue"/>
            <w:tcBorders>
              <w:left w:val="single" w:color="auto" w:sz="4" w:space="0"/>
              <w:bottom w:val="single" w:color="auto" w:sz="2" w:space="0"/>
              <w:right w:val="single" w:color="000000" w:sz="4" w:space="0"/>
            </w:tcBorders>
            <w:shd w:val="clear" w:color="auto" w:fill="auto"/>
            <w:vAlign w:val="center"/>
          </w:tcPr>
          <w:p w14:paraId="17FB925D">
            <w:pPr>
              <w:widowControl/>
              <w:jc w:val="center"/>
              <w:textAlignment w:val="center"/>
              <w:rPr>
                <w:rFonts w:ascii="宋体" w:hAnsi="宋体"/>
              </w:rPr>
            </w:pPr>
          </w:p>
        </w:tc>
        <w:tc>
          <w:tcPr>
            <w:tcW w:w="219" w:type="pct"/>
            <w:vMerge w:val="continue"/>
            <w:tcBorders>
              <w:left w:val="single" w:color="auto" w:sz="4" w:space="0"/>
              <w:bottom w:val="single" w:color="auto" w:sz="2" w:space="0"/>
              <w:right w:val="single" w:color="000000" w:sz="4" w:space="0"/>
            </w:tcBorders>
            <w:shd w:val="clear" w:color="auto" w:fill="auto"/>
            <w:vAlign w:val="center"/>
          </w:tcPr>
          <w:p w14:paraId="5A2800EE">
            <w:pPr>
              <w:widowControl/>
              <w:jc w:val="center"/>
              <w:textAlignment w:val="center"/>
              <w:rPr>
                <w:rFonts w:ascii="宋体" w:hAnsi="宋体"/>
              </w:rPr>
            </w:pP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387C2777">
            <w:pPr>
              <w:widowControl/>
              <w:jc w:val="center"/>
              <w:textAlignment w:val="center"/>
              <w:rPr>
                <w:rFonts w:ascii="宋体" w:hAnsi="宋体"/>
              </w:rPr>
            </w:pPr>
          </w:p>
        </w:tc>
        <w:tc>
          <w:tcPr>
            <w:tcW w:w="278" w:type="pct"/>
            <w:tcBorders>
              <w:top w:val="single" w:color="auto" w:sz="4" w:space="0"/>
              <w:left w:val="single" w:color="auto" w:sz="4" w:space="0"/>
              <w:bottom w:val="single" w:color="auto" w:sz="2" w:space="0"/>
              <w:right w:val="single" w:color="000000" w:sz="4" w:space="0"/>
            </w:tcBorders>
            <w:shd w:val="clear" w:color="auto" w:fill="auto"/>
            <w:vAlign w:val="center"/>
          </w:tcPr>
          <w:p w14:paraId="4A3870C4">
            <w:pPr>
              <w:widowControl/>
              <w:jc w:val="center"/>
              <w:textAlignment w:val="center"/>
              <w:rPr>
                <w:rFonts w:ascii="宋体" w:hAnsi="宋体"/>
              </w:rPr>
            </w:pPr>
            <w:r>
              <w:rPr>
                <w:rFonts w:ascii="宋体" w:hAnsi="宋体" w:eastAsia="宋体" w:cs="Times New Roman"/>
                <w:color w:val="000000"/>
                <w:kern w:val="0"/>
                <w:sz w:val="18"/>
                <w:szCs w:val="18"/>
              </w:rPr>
              <w:t>%LEL</w:t>
            </w: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78FA614D">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25" w:type="pct"/>
            <w:vMerge w:val="continue"/>
            <w:tcBorders>
              <w:left w:val="single" w:color="auto" w:sz="4" w:space="0"/>
              <w:bottom w:val="single" w:color="auto" w:sz="2" w:space="0"/>
              <w:right w:val="single" w:color="000000" w:sz="4" w:space="0"/>
            </w:tcBorders>
            <w:shd w:val="clear" w:color="auto" w:fill="auto"/>
            <w:vAlign w:val="center"/>
          </w:tcPr>
          <w:p w14:paraId="74787C7D">
            <w:pPr>
              <w:widowControl/>
              <w:jc w:val="center"/>
              <w:textAlignment w:val="center"/>
              <w:rPr>
                <w:rFonts w:ascii="宋体" w:hAnsi="宋体" w:eastAsia="黑体" w:cs="黑体"/>
                <w:color w:val="000000"/>
                <w:kern w:val="0"/>
                <w:sz w:val="18"/>
                <w:szCs w:val="18"/>
              </w:rPr>
            </w:pPr>
          </w:p>
        </w:tc>
        <w:tc>
          <w:tcPr>
            <w:tcW w:w="273" w:type="pct"/>
            <w:tcBorders>
              <w:top w:val="single" w:color="auto" w:sz="4" w:space="0"/>
              <w:left w:val="single" w:color="auto" w:sz="4" w:space="0"/>
              <w:bottom w:val="single" w:color="auto" w:sz="2" w:space="0"/>
              <w:right w:val="single" w:color="000000" w:sz="4" w:space="0"/>
            </w:tcBorders>
            <w:shd w:val="clear" w:color="auto" w:fill="auto"/>
            <w:vAlign w:val="center"/>
          </w:tcPr>
          <w:p w14:paraId="4C7196FC">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8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7A79A3DC">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70"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37FE185E">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84" w:type="pct"/>
            <w:tcBorders>
              <w:top w:val="single" w:color="auto" w:sz="4" w:space="0"/>
              <w:left w:val="single" w:color="auto" w:sz="4" w:space="0"/>
              <w:bottom w:val="single" w:color="auto" w:sz="2" w:space="0"/>
              <w:right w:val="single" w:color="000000" w:sz="4" w:space="0"/>
            </w:tcBorders>
            <w:shd w:val="clear" w:color="auto" w:fill="auto"/>
            <w:vAlign w:val="center"/>
          </w:tcPr>
          <w:p w14:paraId="609096AB">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84"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42E17DD4">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%LEL</w:t>
            </w:r>
          </w:p>
        </w:tc>
        <w:tc>
          <w:tcPr>
            <w:tcW w:w="241" w:type="pct"/>
            <w:tcBorders>
              <w:top w:val="single" w:color="auto" w:sz="4" w:space="0"/>
              <w:left w:val="single" w:color="auto" w:sz="4" w:space="0"/>
              <w:bottom w:val="single" w:color="auto" w:sz="2" w:space="0"/>
              <w:right w:val="single" w:color="000000" w:sz="4" w:space="0"/>
            </w:tcBorders>
            <w:shd w:val="clear" w:color="auto" w:fill="auto"/>
            <w:vAlign w:val="center"/>
          </w:tcPr>
          <w:p w14:paraId="12C12BDD">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23" w:type="pct"/>
            <w:tcBorders>
              <w:top w:val="single" w:color="auto" w:sz="4" w:space="0"/>
              <w:left w:val="single" w:color="auto" w:sz="4" w:space="0"/>
              <w:bottom w:val="single" w:color="auto" w:sz="2" w:space="0"/>
              <w:right w:val="single" w:color="000000" w:sz="4" w:space="0"/>
            </w:tcBorders>
            <w:shd w:val="clear" w:color="auto" w:fill="auto"/>
            <w:vAlign w:val="center"/>
          </w:tcPr>
          <w:p w14:paraId="07A7EFA5">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7"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64194CBC">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5" w:type="pct"/>
            <w:tcBorders>
              <w:top w:val="single" w:color="auto" w:sz="4" w:space="0"/>
              <w:left w:val="single" w:color="auto" w:sz="4" w:space="0"/>
              <w:bottom w:val="single" w:color="auto" w:sz="2" w:space="0"/>
              <w:right w:val="single" w:color="000000" w:sz="4" w:space="0"/>
            </w:tcBorders>
            <w:shd w:val="clear" w:color="auto" w:fill="auto"/>
            <w:vAlign w:val="center"/>
          </w:tcPr>
          <w:p w14:paraId="59448831">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gridSpan w:val="2"/>
            <w:vMerge w:val="continue"/>
            <w:tcBorders>
              <w:left w:val="single" w:color="auto" w:sz="4" w:space="0"/>
              <w:bottom w:val="single" w:color="auto" w:sz="2" w:space="0"/>
              <w:right w:val="single" w:color="000000" w:sz="4" w:space="0"/>
            </w:tcBorders>
            <w:shd w:val="clear" w:color="auto" w:fill="auto"/>
            <w:vAlign w:val="center"/>
          </w:tcPr>
          <w:p w14:paraId="0B684970">
            <w:pPr>
              <w:widowControl/>
              <w:jc w:val="center"/>
              <w:textAlignment w:val="center"/>
              <w:rPr>
                <w:rFonts w:ascii="宋体" w:hAnsi="宋体" w:eastAsia="黑体" w:cs="黑体"/>
                <w:color w:val="000000"/>
                <w:kern w:val="0"/>
                <w:sz w:val="18"/>
                <w:szCs w:val="18"/>
              </w:rPr>
            </w:pPr>
          </w:p>
        </w:tc>
        <w:tc>
          <w:tcPr>
            <w:tcW w:w="234" w:type="pct"/>
            <w:vMerge w:val="continue"/>
            <w:tcBorders>
              <w:left w:val="single" w:color="auto" w:sz="4" w:space="0"/>
              <w:bottom w:val="single" w:color="auto" w:sz="2" w:space="0"/>
              <w:right w:val="single" w:color="000000" w:sz="4" w:space="0"/>
            </w:tcBorders>
            <w:shd w:val="clear" w:color="auto" w:fill="auto"/>
            <w:vAlign w:val="center"/>
          </w:tcPr>
          <w:p w14:paraId="35AFC2AB">
            <w:pPr>
              <w:widowControl/>
              <w:jc w:val="center"/>
              <w:textAlignment w:val="center"/>
              <w:rPr>
                <w:rFonts w:ascii="宋体" w:hAnsi="宋体" w:eastAsia="黑体" w:cs="黑体"/>
                <w:color w:val="000000"/>
                <w:kern w:val="0"/>
                <w:sz w:val="18"/>
                <w:szCs w:val="18"/>
              </w:rPr>
            </w:pPr>
          </w:p>
        </w:tc>
        <w:tc>
          <w:tcPr>
            <w:tcW w:w="195" w:type="pct"/>
            <w:vMerge w:val="continue"/>
            <w:tcBorders>
              <w:left w:val="single" w:color="auto" w:sz="4" w:space="0"/>
              <w:bottom w:val="single" w:color="auto" w:sz="2" w:space="0"/>
              <w:right w:val="single" w:color="000000" w:sz="4" w:space="0"/>
            </w:tcBorders>
            <w:shd w:val="clear" w:color="auto" w:fill="auto"/>
            <w:vAlign w:val="center"/>
          </w:tcPr>
          <w:p w14:paraId="5901749B">
            <w:pPr>
              <w:widowControl/>
              <w:jc w:val="center"/>
              <w:textAlignment w:val="center"/>
              <w:rPr>
                <w:rFonts w:ascii="宋体" w:hAnsi="宋体" w:eastAsia="黑体" w:cs="黑体"/>
                <w:color w:val="000000"/>
                <w:kern w:val="0"/>
                <w:sz w:val="18"/>
                <w:szCs w:val="18"/>
              </w:rPr>
            </w:pPr>
          </w:p>
        </w:tc>
      </w:tr>
      <w:tr w14:paraId="2C4DCAAA">
        <w:tblPrEx>
          <w:tblCellMar>
            <w:top w:w="0" w:type="dxa"/>
            <w:left w:w="108" w:type="dxa"/>
            <w:bottom w:w="0" w:type="dxa"/>
            <w:right w:w="108" w:type="dxa"/>
          </w:tblCellMar>
        </w:tblPrEx>
        <w:trPr>
          <w:trHeight w:val="75" w:hRule="atLeast"/>
        </w:trPr>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4C1DEF60">
            <w:pPr>
              <w:jc w:val="center"/>
              <w:rPr>
                <w:rFonts w:ascii="宋体" w:hAnsi="宋体" w:eastAsia="黑体" w:cs="黑体"/>
                <w:color w:val="000000"/>
                <w:sz w:val="18"/>
                <w:szCs w:val="18"/>
              </w:rPr>
            </w:pPr>
          </w:p>
        </w:tc>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47772EFA">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D1ECF23">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102D62D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17B21C04">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756FE9D3">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14828D46">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56417359">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7CD09DAF">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BBA3344">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D5C6210">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55FEDEC3">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3C2D4DA">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703D09E2">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4007BA99">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D8EE9F8">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12C6A79E">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A48F7A5">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1363B2FC">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58230492">
            <w:pPr>
              <w:jc w:val="center"/>
              <w:rPr>
                <w:rFonts w:ascii="宋体" w:hAnsi="宋体" w:eastAsia="黑体" w:cs="黑体"/>
                <w:color w:val="000000"/>
                <w:sz w:val="18"/>
                <w:szCs w:val="18"/>
              </w:rPr>
            </w:pPr>
          </w:p>
        </w:tc>
      </w:tr>
      <w:tr w14:paraId="1ABF6612">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2D54740">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BEAC8B1">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7C2D007">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0F644904">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455D2915">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74CD4877">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68A6BC46">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77B4D804">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59833EA7">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CBBD58C">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B23129D">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72EF9D69">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BA640F0">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7160B230">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1B3C5C1E">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C5CBEC6">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48698B32">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8A5AA6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6C153A6E">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6EE85F1F">
            <w:pPr>
              <w:jc w:val="center"/>
              <w:rPr>
                <w:rFonts w:ascii="宋体" w:hAnsi="宋体" w:eastAsia="黑体" w:cs="黑体"/>
                <w:color w:val="000000"/>
                <w:sz w:val="18"/>
                <w:szCs w:val="18"/>
              </w:rPr>
            </w:pPr>
          </w:p>
        </w:tc>
      </w:tr>
      <w:tr w14:paraId="238E811F">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EE0BE60">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57D1114">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80F4AC4">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3836F021">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4760D87D">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482A895D">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426C0E10">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72459A6A">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40984279">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DA63467">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9A7DE82">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513AB9C4">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7540526">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7F0475B0">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27B4D489">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37B81CC">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7A3ED77D">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885932F">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32FB4966">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6D20C974">
            <w:pPr>
              <w:jc w:val="center"/>
              <w:rPr>
                <w:rFonts w:ascii="宋体" w:hAnsi="宋体" w:eastAsia="黑体" w:cs="黑体"/>
                <w:color w:val="000000"/>
                <w:sz w:val="18"/>
                <w:szCs w:val="18"/>
              </w:rPr>
            </w:pPr>
          </w:p>
        </w:tc>
      </w:tr>
      <w:tr w14:paraId="289151B6">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27D6F6C">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614F24C">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5830386">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11C728F8">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3444E0E2">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20AE2FB6">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7FE8F338">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1CDDF9E9">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757897D9">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1033093">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0EE8784">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66AD9C60">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496E1B0">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5290506D">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14A0AB8A">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2DAD2E2">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0CCFA49F">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F2BD160">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74A47878">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22C55FFE">
            <w:pPr>
              <w:jc w:val="center"/>
              <w:rPr>
                <w:rFonts w:ascii="宋体" w:hAnsi="宋体" w:eastAsia="黑体" w:cs="黑体"/>
                <w:color w:val="000000"/>
                <w:sz w:val="18"/>
                <w:szCs w:val="18"/>
              </w:rPr>
            </w:pPr>
          </w:p>
        </w:tc>
      </w:tr>
      <w:tr w14:paraId="7D7DC3F6">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DA88281">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ADD4979">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403CB2E">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165164D6">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203AB898">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41455C37">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0DDFB0E2">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32F787F1">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0A40ABC5">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5B26565">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71D4708">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23762009">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03E7021">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1D133216">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5B91AA4D">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C390DD7">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31AE7C6C">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4FD616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DB1EEBF">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5A1E3DEF">
            <w:pPr>
              <w:jc w:val="center"/>
              <w:rPr>
                <w:rFonts w:ascii="宋体" w:hAnsi="宋体" w:eastAsia="黑体" w:cs="黑体"/>
                <w:color w:val="000000"/>
                <w:sz w:val="18"/>
                <w:szCs w:val="18"/>
              </w:rPr>
            </w:pPr>
          </w:p>
        </w:tc>
      </w:tr>
      <w:tr w14:paraId="14074E05">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0DCBCBE">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766DB65">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F784B7E">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7A108576">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350924F">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6556B6A4">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68EBBA32">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62EC1870">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445312C1">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AEE249C">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8FE3177">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7B2498EA">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EE89F0C">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14D71EDB">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4A15965D">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15CDF9C">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157BA1CA">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D0E8833">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C144C6C">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687B0697">
            <w:pPr>
              <w:jc w:val="center"/>
              <w:rPr>
                <w:rFonts w:ascii="宋体" w:hAnsi="宋体" w:eastAsia="黑体" w:cs="黑体"/>
                <w:color w:val="000000"/>
                <w:sz w:val="18"/>
                <w:szCs w:val="18"/>
              </w:rPr>
            </w:pPr>
          </w:p>
        </w:tc>
      </w:tr>
      <w:tr w14:paraId="434EB015">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3514BB3">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1FC9AD9">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62F2F85">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6336DEFF">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4E7F04ED">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14DDD6CC">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967E46A">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0ABF1658">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120A2364">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7D85F6E">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64728CC">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0E02737D">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5BA573E">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35CEE236">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12BAD69C">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D34F674">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3F3C87C3">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61E3E30">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E0CE457">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13399CF4">
            <w:pPr>
              <w:jc w:val="center"/>
              <w:rPr>
                <w:rFonts w:ascii="宋体" w:hAnsi="宋体" w:eastAsia="黑体" w:cs="黑体"/>
                <w:color w:val="000000"/>
                <w:sz w:val="18"/>
                <w:szCs w:val="18"/>
              </w:rPr>
            </w:pPr>
          </w:p>
        </w:tc>
      </w:tr>
      <w:tr w14:paraId="370AA2CF">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792F41A">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C21EE5A">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DD942FF">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4BF603E2">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230BB43D">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443702C7">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591234E">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3FDC6B49">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554E067E">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62D74F0">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38C9B01">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102C4B36">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62EA4EB">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0FD7FC39">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78391F5D">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DA1DFFA">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3511D24A">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7160A34">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D1BEB07">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50F6E8F3">
            <w:pPr>
              <w:jc w:val="center"/>
              <w:rPr>
                <w:rFonts w:ascii="宋体" w:hAnsi="宋体" w:eastAsia="黑体" w:cs="黑体"/>
                <w:color w:val="000000"/>
                <w:sz w:val="18"/>
                <w:szCs w:val="18"/>
              </w:rPr>
            </w:pPr>
          </w:p>
        </w:tc>
      </w:tr>
      <w:tr w14:paraId="265DE9AE">
        <w:tblPrEx>
          <w:tblCellMar>
            <w:top w:w="0" w:type="dxa"/>
            <w:left w:w="108" w:type="dxa"/>
            <w:bottom w:w="0" w:type="dxa"/>
            <w:right w:w="108" w:type="dxa"/>
          </w:tblCellMar>
        </w:tblPrEx>
        <w:trPr>
          <w:trHeight w:val="75" w:hRule="atLeast"/>
        </w:trPr>
        <w:tc>
          <w:tcPr>
            <w:tcW w:w="1666" w:type="pct"/>
            <w:gridSpan w:val="11"/>
            <w:tcBorders>
              <w:top w:val="single" w:color="000000" w:sz="4" w:space="0"/>
              <w:left w:val="single" w:color="auto" w:sz="4" w:space="0"/>
              <w:bottom w:val="single" w:color="000000" w:sz="4" w:space="0"/>
              <w:right w:val="single" w:color="000000" w:sz="4" w:space="0"/>
            </w:tcBorders>
            <w:shd w:val="clear" w:color="auto" w:fill="auto"/>
            <w:vAlign w:val="center"/>
          </w:tcPr>
          <w:p w14:paraId="7129EA98">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数据采集人员：</w:t>
            </w:r>
          </w:p>
        </w:tc>
        <w:tc>
          <w:tcPr>
            <w:tcW w:w="1710" w:type="pct"/>
            <w:gridSpan w:val="10"/>
            <w:tcBorders>
              <w:top w:val="single" w:color="000000" w:sz="4" w:space="0"/>
              <w:left w:val="single" w:color="auto" w:sz="4" w:space="0"/>
              <w:bottom w:val="single" w:color="000000" w:sz="4" w:space="0"/>
              <w:right w:val="single" w:color="000000" w:sz="4" w:space="0"/>
            </w:tcBorders>
            <w:shd w:val="clear" w:color="auto" w:fill="auto"/>
            <w:vAlign w:val="center"/>
          </w:tcPr>
          <w:p w14:paraId="01671171">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审核人员：</w:t>
            </w:r>
          </w:p>
        </w:tc>
        <w:tc>
          <w:tcPr>
            <w:tcW w:w="1622"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7D6069CB">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审批人员：</w:t>
            </w:r>
          </w:p>
        </w:tc>
      </w:tr>
    </w:tbl>
    <w:p w14:paraId="198C464E">
      <w:pPr>
        <w:rPr>
          <w:rFonts w:ascii="宋体" w:hAnsi="宋体"/>
        </w:rPr>
      </w:pPr>
      <w:r>
        <w:rPr>
          <w:rFonts w:hint="eastAsia" w:ascii="宋体" w:hAnsi="宋体"/>
        </w:rPr>
        <w:br w:type="page"/>
      </w:r>
    </w:p>
    <w:p w14:paraId="55CBF341">
      <w:pPr>
        <w:pStyle w:val="108"/>
        <w:numPr>
          <w:ilvl w:val="1"/>
          <w:numId w:val="0"/>
        </w:numPr>
        <w:spacing w:before="157" w:after="157"/>
        <w:rPr>
          <w:rFonts w:ascii="宋体" w:hAnsi="宋体"/>
        </w:rPr>
      </w:pPr>
      <w:r>
        <w:rPr>
          <w:rFonts w:hint="eastAsia" w:ascii="宋体" w:hAnsi="宋体"/>
        </w:rPr>
        <w:t>表G.5一氧化碳检测报警器数据采集记录模板</w:t>
      </w:r>
    </w:p>
    <w:tbl>
      <w:tblPr>
        <w:tblStyle w:val="25"/>
        <w:tblW w:w="4997" w:type="pct"/>
        <w:tblInd w:w="0" w:type="dxa"/>
        <w:tblLayout w:type="fixed"/>
        <w:tblCellMar>
          <w:top w:w="0" w:type="dxa"/>
          <w:left w:w="108" w:type="dxa"/>
          <w:bottom w:w="0" w:type="dxa"/>
          <w:right w:w="108" w:type="dxa"/>
        </w:tblCellMar>
      </w:tblPr>
      <w:tblGrid>
        <w:gridCol w:w="574"/>
        <w:gridCol w:w="117"/>
        <w:gridCol w:w="494"/>
        <w:gridCol w:w="197"/>
        <w:gridCol w:w="485"/>
        <w:gridCol w:w="78"/>
        <w:gridCol w:w="608"/>
        <w:gridCol w:w="719"/>
        <w:gridCol w:w="771"/>
        <w:gridCol w:w="366"/>
        <w:gridCol w:w="214"/>
        <w:gridCol w:w="128"/>
        <w:gridCol w:w="716"/>
        <w:gridCol w:w="757"/>
        <w:gridCol w:w="83"/>
        <w:gridCol w:w="638"/>
        <w:gridCol w:w="510"/>
        <w:gridCol w:w="227"/>
        <w:gridCol w:w="780"/>
        <w:gridCol w:w="721"/>
        <w:gridCol w:w="752"/>
        <w:gridCol w:w="719"/>
        <w:gridCol w:w="377"/>
        <w:gridCol w:w="341"/>
        <w:gridCol w:w="649"/>
        <w:gridCol w:w="527"/>
        <w:gridCol w:w="122"/>
        <w:gridCol w:w="649"/>
        <w:gridCol w:w="552"/>
      </w:tblGrid>
      <w:tr w14:paraId="1456A68F">
        <w:tblPrEx>
          <w:tblCellMar>
            <w:top w:w="0" w:type="dxa"/>
            <w:left w:w="108" w:type="dxa"/>
            <w:bottom w:w="0" w:type="dxa"/>
            <w:right w:w="108" w:type="dxa"/>
          </w:tblCellMar>
        </w:tblPrEx>
        <w:trPr>
          <w:trHeight w:val="520" w:hRule="atLeast"/>
        </w:trPr>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D25F8D">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检验设备</w:t>
            </w: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92CC7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A766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名称</w:t>
            </w: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21A3E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7861AD">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7E7F2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不确定度/准确度等级/最大允许误差</w:t>
            </w: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0E44C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有效期至</w:t>
            </w: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2BFE1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溯源机构</w:t>
            </w: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0BD7B4">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证书编号</w:t>
            </w: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DB90C0">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作业者或承包者</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720046">
            <w:pPr>
              <w:widowControl/>
              <w:jc w:val="center"/>
              <w:textAlignment w:val="center"/>
              <w:rPr>
                <w:rFonts w:ascii="宋体" w:hAnsi="宋体" w:eastAsia="宋体" w:cs="宋体"/>
                <w:color w:val="000000"/>
                <w:kern w:val="0"/>
                <w:sz w:val="18"/>
                <w:szCs w:val="18"/>
              </w:rPr>
            </w:pPr>
          </w:p>
        </w:tc>
      </w:tr>
      <w:tr w14:paraId="37CD1974">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D421E">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9167A">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4BEDCE">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D6F88F">
            <w:pPr>
              <w:jc w:val="center"/>
              <w:rPr>
                <w:rFonts w:ascii="宋体" w:hAnsi="宋体" w:eastAsia="宋体" w:cs="宋体"/>
                <w:color w:val="FF0000"/>
                <w:sz w:val="16"/>
                <w:szCs w:val="16"/>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BFFF91">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50FCF0">
            <w:pPr>
              <w:jc w:val="center"/>
              <w:rPr>
                <w:rFonts w:ascii="宋体" w:hAnsi="宋体" w:eastAsia="宋体" w:cs="宋体"/>
                <w:i/>
                <w:iCs/>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A9008E">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0F9904F">
            <w:pPr>
              <w:jc w:val="center"/>
              <w:rPr>
                <w:rFonts w:ascii="宋体" w:hAnsi="宋体" w:eastAsia="宋体" w:cs="宋体"/>
                <w:color w:val="FF0000"/>
                <w:sz w:val="18"/>
                <w:szCs w:val="18"/>
              </w:rPr>
            </w:pP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2DCD98">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3CDD57A">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所属设施</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074CCF">
            <w:pPr>
              <w:widowControl/>
              <w:jc w:val="center"/>
              <w:textAlignment w:val="center"/>
              <w:rPr>
                <w:rFonts w:ascii="宋体" w:hAnsi="宋体" w:eastAsia="宋体" w:cs="宋体"/>
                <w:color w:val="000000"/>
                <w:kern w:val="0"/>
                <w:sz w:val="18"/>
                <w:szCs w:val="18"/>
              </w:rPr>
            </w:pPr>
          </w:p>
        </w:tc>
      </w:tr>
      <w:tr w14:paraId="0408D6C7">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D167B">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86A3AD">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8C42C">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B50727B">
            <w:pPr>
              <w:jc w:val="center"/>
              <w:rPr>
                <w:rFonts w:ascii="宋体" w:hAnsi="宋体" w:eastAsia="宋体" w:cs="宋体"/>
                <w:color w:val="FF0000"/>
                <w:sz w:val="18"/>
                <w:szCs w:val="18"/>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A67EFC">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0FF496">
            <w:pPr>
              <w:jc w:val="center"/>
              <w:rPr>
                <w:rFonts w:ascii="宋体" w:hAnsi="宋体" w:eastAsia="宋体" w:cs="宋体"/>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39865">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E5D492">
            <w:pPr>
              <w:jc w:val="center"/>
              <w:rPr>
                <w:rFonts w:ascii="宋体" w:hAnsi="宋体" w:eastAsia="宋体" w:cs="宋体"/>
                <w:color w:val="FF0000"/>
                <w:sz w:val="18"/>
                <w:szCs w:val="18"/>
              </w:rPr>
            </w:pP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C0005E">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B9D998">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被检设备名称</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8D07CD">
            <w:pPr>
              <w:widowControl/>
              <w:jc w:val="center"/>
              <w:textAlignment w:val="center"/>
              <w:rPr>
                <w:rFonts w:ascii="宋体" w:hAnsi="宋体" w:eastAsia="宋体" w:cs="宋体"/>
                <w:color w:val="000000"/>
                <w:kern w:val="0"/>
                <w:sz w:val="18"/>
                <w:szCs w:val="18"/>
              </w:rPr>
            </w:pPr>
          </w:p>
        </w:tc>
      </w:tr>
      <w:tr w14:paraId="43B88DA8">
        <w:tblPrEx>
          <w:tblCellMar>
            <w:top w:w="0" w:type="dxa"/>
            <w:left w:w="108" w:type="dxa"/>
            <w:bottom w:w="0" w:type="dxa"/>
            <w:right w:w="108" w:type="dxa"/>
          </w:tblCellMar>
        </w:tblPrEx>
        <w:trPr>
          <w:trHeight w:val="400" w:hRule="atLeast"/>
        </w:trPr>
        <w:tc>
          <w:tcPr>
            <w:tcW w:w="5000" w:type="pct"/>
            <w:gridSpan w:val="29"/>
            <w:tcBorders>
              <w:top w:val="single" w:color="000000" w:sz="4" w:space="0"/>
              <w:left w:val="single" w:color="000000" w:sz="4" w:space="0"/>
              <w:bottom w:val="single" w:color="000000" w:sz="4" w:space="0"/>
              <w:right w:val="single" w:color="000000" w:sz="4" w:space="0"/>
            </w:tcBorders>
            <w:shd w:val="clear" w:color="auto" w:fill="auto"/>
            <w:vAlign w:val="center"/>
          </w:tcPr>
          <w:p w14:paraId="399275F5">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检测检验依据</w:t>
            </w:r>
          </w:p>
        </w:tc>
      </w:tr>
      <w:tr w14:paraId="70AEB963">
        <w:tblPrEx>
          <w:tblCellMar>
            <w:top w:w="0" w:type="dxa"/>
            <w:left w:w="108" w:type="dxa"/>
            <w:bottom w:w="0" w:type="dxa"/>
            <w:right w:w="108" w:type="dxa"/>
          </w:tblCellMar>
        </w:tblPrEx>
        <w:trPr>
          <w:trHeight w:val="400" w:hRule="atLeast"/>
        </w:trPr>
        <w:tc>
          <w:tcPr>
            <w:tcW w:w="5000" w:type="pct"/>
            <w:gridSpan w:val="29"/>
            <w:tcBorders>
              <w:top w:val="single" w:color="000000" w:sz="4" w:space="0"/>
              <w:left w:val="single" w:color="000000" w:sz="4" w:space="0"/>
              <w:bottom w:val="single" w:color="000000" w:sz="4" w:space="0"/>
              <w:right w:val="single" w:color="000000" w:sz="4" w:space="0"/>
            </w:tcBorders>
            <w:shd w:val="clear" w:color="auto" w:fill="auto"/>
            <w:vAlign w:val="center"/>
          </w:tcPr>
          <w:p w14:paraId="170BF560">
            <w:pPr>
              <w:widowControl/>
              <w:jc w:val="center"/>
              <w:textAlignment w:val="center"/>
              <w:rPr>
                <w:rFonts w:ascii="宋体" w:hAnsi="宋体" w:eastAsia="黑体" w:cs="黑体"/>
                <w:color w:val="000000"/>
                <w:kern w:val="0"/>
                <w:sz w:val="18"/>
                <w:szCs w:val="18"/>
              </w:rPr>
            </w:pPr>
          </w:p>
        </w:tc>
      </w:tr>
      <w:tr w14:paraId="743C9A15">
        <w:tblPrEx>
          <w:tblCellMar>
            <w:top w:w="0" w:type="dxa"/>
            <w:left w:w="108" w:type="dxa"/>
            <w:bottom w:w="0" w:type="dxa"/>
            <w:right w:w="108" w:type="dxa"/>
          </w:tblCellMar>
        </w:tblPrEx>
        <w:trPr>
          <w:trHeight w:val="315" w:hRule="atLeast"/>
        </w:trPr>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0A8A96C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41CD654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制造厂商</w:t>
            </w:r>
          </w:p>
        </w:tc>
        <w:tc>
          <w:tcPr>
            <w:tcW w:w="203" w:type="pct"/>
            <w:gridSpan w:val="2"/>
            <w:vMerge w:val="restart"/>
            <w:tcBorders>
              <w:top w:val="single" w:color="000000" w:sz="4" w:space="0"/>
              <w:left w:val="single" w:color="auto" w:sz="4" w:space="0"/>
              <w:right w:val="single" w:color="000000" w:sz="4" w:space="0"/>
            </w:tcBorders>
            <w:shd w:val="clear" w:color="auto" w:fill="auto"/>
            <w:vAlign w:val="center"/>
          </w:tcPr>
          <w:p w14:paraId="531432E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型号</w:t>
            </w:r>
          </w:p>
        </w:tc>
        <w:tc>
          <w:tcPr>
            <w:tcW w:w="219" w:type="pct"/>
            <w:vMerge w:val="restart"/>
            <w:tcBorders>
              <w:top w:val="single" w:color="000000" w:sz="4" w:space="0"/>
              <w:left w:val="single" w:color="auto" w:sz="4" w:space="0"/>
              <w:right w:val="single" w:color="000000" w:sz="4" w:space="0"/>
            </w:tcBorders>
            <w:shd w:val="clear" w:color="auto" w:fill="auto"/>
            <w:vAlign w:val="center"/>
          </w:tcPr>
          <w:p w14:paraId="27A271B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498EDBB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位号/位置</w:t>
            </w:r>
          </w:p>
        </w:tc>
        <w:tc>
          <w:tcPr>
            <w:tcW w:w="278" w:type="pct"/>
            <w:tcBorders>
              <w:top w:val="single" w:color="000000" w:sz="4" w:space="0"/>
              <w:left w:val="single" w:color="auto" w:sz="4" w:space="0"/>
              <w:bottom w:val="single" w:color="auto" w:sz="4" w:space="0"/>
              <w:right w:val="single" w:color="000000" w:sz="4" w:space="0"/>
            </w:tcBorders>
            <w:shd w:val="clear" w:color="auto" w:fill="auto"/>
            <w:vAlign w:val="center"/>
          </w:tcPr>
          <w:p w14:paraId="4D3618C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6BFCAB0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报警值</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7517A0A3">
            <w:pPr>
              <w:jc w:val="center"/>
              <w:rPr>
                <w:rFonts w:ascii="宋体" w:hAnsi="宋体" w:eastAsia="黑体" w:cs="黑体"/>
                <w:color w:val="000000"/>
                <w:sz w:val="18"/>
                <w:szCs w:val="18"/>
              </w:rPr>
            </w:pPr>
            <w:r>
              <w:rPr>
                <w:rFonts w:hint="eastAsia" w:ascii="宋体" w:hAnsi="宋体" w:eastAsia="黑体" w:cs="黑体"/>
                <w:color w:val="000000"/>
                <w:sz w:val="18"/>
                <w:szCs w:val="18"/>
              </w:rPr>
              <w:t>外观检查</w:t>
            </w:r>
          </w:p>
        </w:tc>
        <w:tc>
          <w:tcPr>
            <w:tcW w:w="273" w:type="pct"/>
            <w:tcBorders>
              <w:top w:val="single" w:color="000000" w:sz="4" w:space="0"/>
              <w:left w:val="single" w:color="auto" w:sz="4" w:space="0"/>
              <w:bottom w:val="single" w:color="auto" w:sz="4" w:space="0"/>
              <w:right w:val="single" w:color="000000" w:sz="4" w:space="0"/>
            </w:tcBorders>
            <w:shd w:val="clear" w:color="auto" w:fill="auto"/>
            <w:vAlign w:val="center"/>
          </w:tcPr>
          <w:p w14:paraId="550F395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标准气浓度</w:t>
            </w:r>
          </w:p>
        </w:tc>
        <w:tc>
          <w:tcPr>
            <w:tcW w:w="260"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7A90E95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示值1</w:t>
            </w:r>
          </w:p>
        </w:tc>
        <w:tc>
          <w:tcPr>
            <w:tcW w:w="266"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502ECE4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示值2</w:t>
            </w:r>
          </w:p>
        </w:tc>
        <w:tc>
          <w:tcPr>
            <w:tcW w:w="281" w:type="pct"/>
            <w:tcBorders>
              <w:top w:val="single" w:color="000000" w:sz="4" w:space="0"/>
              <w:left w:val="single" w:color="auto" w:sz="4" w:space="0"/>
              <w:bottom w:val="single" w:color="auto" w:sz="4" w:space="0"/>
              <w:right w:val="single" w:color="000000" w:sz="4" w:space="0"/>
            </w:tcBorders>
            <w:shd w:val="clear" w:color="auto" w:fill="auto"/>
            <w:vAlign w:val="center"/>
          </w:tcPr>
          <w:p w14:paraId="28D8BA8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示值3</w:t>
            </w:r>
          </w:p>
        </w:tc>
        <w:tc>
          <w:tcPr>
            <w:tcW w:w="254" w:type="pct"/>
            <w:tcBorders>
              <w:top w:val="single" w:color="000000" w:sz="4" w:space="0"/>
              <w:left w:val="single" w:color="auto" w:sz="4" w:space="0"/>
              <w:bottom w:val="single" w:color="auto" w:sz="4" w:space="0"/>
              <w:right w:val="single" w:color="000000" w:sz="4" w:space="0"/>
            </w:tcBorders>
            <w:shd w:val="clear" w:color="auto" w:fill="auto"/>
            <w:vAlign w:val="center"/>
          </w:tcPr>
          <w:p w14:paraId="501E7A3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示值误差</w:t>
            </w:r>
          </w:p>
        </w:tc>
        <w:tc>
          <w:tcPr>
            <w:tcW w:w="271" w:type="pct"/>
            <w:tcBorders>
              <w:top w:val="single" w:color="000000" w:sz="4" w:space="0"/>
              <w:left w:val="single" w:color="auto" w:sz="4" w:space="0"/>
              <w:bottom w:val="single" w:color="auto" w:sz="4" w:space="0"/>
              <w:right w:val="single" w:color="000000" w:sz="4" w:space="0"/>
            </w:tcBorders>
            <w:shd w:val="clear" w:color="auto" w:fill="auto"/>
            <w:vAlign w:val="center"/>
          </w:tcPr>
          <w:p w14:paraId="4E0E6A6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时间1</w:t>
            </w:r>
          </w:p>
        </w:tc>
        <w:tc>
          <w:tcPr>
            <w:tcW w:w="259" w:type="pct"/>
            <w:tcBorders>
              <w:top w:val="single" w:color="000000" w:sz="4" w:space="0"/>
              <w:left w:val="single" w:color="auto" w:sz="4" w:space="0"/>
              <w:bottom w:val="single" w:color="auto" w:sz="4" w:space="0"/>
              <w:right w:val="single" w:color="000000" w:sz="4" w:space="0"/>
            </w:tcBorders>
            <w:shd w:val="clear" w:color="auto" w:fill="auto"/>
            <w:vAlign w:val="center"/>
          </w:tcPr>
          <w:p w14:paraId="57483C9D">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时间2</w:t>
            </w:r>
          </w:p>
        </w:tc>
        <w:tc>
          <w:tcPr>
            <w:tcW w:w="259"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58407DE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时间3</w:t>
            </w:r>
          </w:p>
        </w:tc>
        <w:tc>
          <w:tcPr>
            <w:tcW w:w="234" w:type="pct"/>
            <w:tcBorders>
              <w:top w:val="single" w:color="000000" w:sz="4" w:space="0"/>
              <w:left w:val="single" w:color="auto" w:sz="4" w:space="0"/>
              <w:bottom w:val="single" w:color="auto" w:sz="4" w:space="0"/>
              <w:right w:val="single" w:color="000000" w:sz="4" w:space="0"/>
            </w:tcBorders>
            <w:shd w:val="clear" w:color="auto" w:fill="auto"/>
            <w:vAlign w:val="center"/>
          </w:tcPr>
          <w:p w14:paraId="3E8FCA2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响应时间</w:t>
            </w:r>
          </w:p>
        </w:tc>
        <w:tc>
          <w:tcPr>
            <w:tcW w:w="234" w:type="pct"/>
            <w:gridSpan w:val="2"/>
            <w:vMerge w:val="restart"/>
            <w:tcBorders>
              <w:top w:val="single" w:color="000000" w:sz="4" w:space="0"/>
              <w:left w:val="single" w:color="auto" w:sz="4" w:space="0"/>
              <w:right w:val="single" w:color="000000" w:sz="4" w:space="0"/>
            </w:tcBorders>
            <w:shd w:val="clear" w:color="auto" w:fill="auto"/>
            <w:vAlign w:val="center"/>
          </w:tcPr>
          <w:p w14:paraId="3E823FC8">
            <w:pPr>
              <w:jc w:val="center"/>
              <w:rPr>
                <w:rFonts w:ascii="宋体" w:hAnsi="宋体" w:eastAsia="黑体" w:cs="黑体"/>
                <w:color w:val="000000"/>
                <w:sz w:val="18"/>
                <w:szCs w:val="18"/>
              </w:rPr>
            </w:pPr>
            <w:r>
              <w:rPr>
                <w:rFonts w:hint="eastAsia" w:ascii="宋体" w:hAnsi="宋体" w:eastAsia="黑体" w:cs="黑体"/>
                <w:color w:val="000000"/>
                <w:sz w:val="18"/>
                <w:szCs w:val="18"/>
              </w:rPr>
              <w:t>报警功能</w:t>
            </w:r>
          </w:p>
        </w:tc>
        <w:tc>
          <w:tcPr>
            <w:tcW w:w="234" w:type="pct"/>
            <w:vMerge w:val="restart"/>
            <w:tcBorders>
              <w:top w:val="single" w:color="000000" w:sz="4" w:space="0"/>
              <w:left w:val="single" w:color="auto" w:sz="4" w:space="0"/>
              <w:right w:val="single" w:color="000000" w:sz="4" w:space="0"/>
            </w:tcBorders>
            <w:shd w:val="clear" w:color="auto" w:fill="auto"/>
            <w:vAlign w:val="center"/>
          </w:tcPr>
          <w:p w14:paraId="4A62E45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采集日期</w:t>
            </w:r>
          </w:p>
        </w:tc>
        <w:tc>
          <w:tcPr>
            <w:tcW w:w="195" w:type="pct"/>
            <w:vMerge w:val="restart"/>
            <w:tcBorders>
              <w:top w:val="single" w:color="000000" w:sz="4" w:space="0"/>
              <w:left w:val="single" w:color="auto" w:sz="4" w:space="0"/>
              <w:right w:val="single" w:color="000000" w:sz="4" w:space="0"/>
            </w:tcBorders>
            <w:shd w:val="clear" w:color="auto" w:fill="auto"/>
            <w:vAlign w:val="center"/>
          </w:tcPr>
          <w:p w14:paraId="71508A6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备注</w:t>
            </w:r>
          </w:p>
        </w:tc>
      </w:tr>
      <w:tr w14:paraId="76809057">
        <w:tblPrEx>
          <w:tblCellMar>
            <w:top w:w="0" w:type="dxa"/>
            <w:left w:w="108" w:type="dxa"/>
            <w:bottom w:w="0" w:type="dxa"/>
            <w:right w:w="108" w:type="dxa"/>
          </w:tblCellMar>
        </w:tblPrEx>
        <w:trPr>
          <w:trHeight w:val="315" w:hRule="atLeast"/>
        </w:trPr>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076AB967">
            <w:pPr>
              <w:widowControl/>
              <w:jc w:val="center"/>
              <w:textAlignment w:val="center"/>
              <w:rPr>
                <w:rFonts w:ascii="宋体" w:hAnsi="宋体"/>
              </w:rPr>
            </w:pPr>
          </w:p>
        </w:tc>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59E3C9C1">
            <w:pPr>
              <w:widowControl/>
              <w:jc w:val="center"/>
              <w:textAlignment w:val="center"/>
              <w:rPr>
                <w:rFonts w:ascii="宋体" w:hAnsi="宋体"/>
              </w:rPr>
            </w:pPr>
          </w:p>
        </w:tc>
        <w:tc>
          <w:tcPr>
            <w:tcW w:w="203" w:type="pct"/>
            <w:gridSpan w:val="2"/>
            <w:vMerge w:val="continue"/>
            <w:tcBorders>
              <w:left w:val="single" w:color="auto" w:sz="4" w:space="0"/>
              <w:bottom w:val="single" w:color="auto" w:sz="2" w:space="0"/>
              <w:right w:val="single" w:color="000000" w:sz="4" w:space="0"/>
            </w:tcBorders>
            <w:shd w:val="clear" w:color="auto" w:fill="auto"/>
            <w:vAlign w:val="center"/>
          </w:tcPr>
          <w:p w14:paraId="45630E0E">
            <w:pPr>
              <w:widowControl/>
              <w:jc w:val="center"/>
              <w:textAlignment w:val="center"/>
              <w:rPr>
                <w:rFonts w:ascii="宋体" w:hAnsi="宋体"/>
              </w:rPr>
            </w:pPr>
          </w:p>
        </w:tc>
        <w:tc>
          <w:tcPr>
            <w:tcW w:w="219" w:type="pct"/>
            <w:vMerge w:val="continue"/>
            <w:tcBorders>
              <w:left w:val="single" w:color="auto" w:sz="4" w:space="0"/>
              <w:bottom w:val="single" w:color="auto" w:sz="2" w:space="0"/>
              <w:right w:val="single" w:color="000000" w:sz="4" w:space="0"/>
            </w:tcBorders>
            <w:shd w:val="clear" w:color="auto" w:fill="auto"/>
            <w:vAlign w:val="center"/>
          </w:tcPr>
          <w:p w14:paraId="1CB49FAF">
            <w:pPr>
              <w:widowControl/>
              <w:jc w:val="center"/>
              <w:textAlignment w:val="center"/>
              <w:rPr>
                <w:rFonts w:ascii="宋体" w:hAnsi="宋体"/>
              </w:rPr>
            </w:pP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6830751A">
            <w:pPr>
              <w:widowControl/>
              <w:jc w:val="center"/>
              <w:textAlignment w:val="center"/>
              <w:rPr>
                <w:rFonts w:ascii="宋体" w:hAnsi="宋体"/>
              </w:rPr>
            </w:pPr>
          </w:p>
        </w:tc>
        <w:tc>
          <w:tcPr>
            <w:tcW w:w="278" w:type="pct"/>
            <w:tcBorders>
              <w:top w:val="single" w:color="auto" w:sz="4" w:space="0"/>
              <w:left w:val="single" w:color="auto" w:sz="4" w:space="0"/>
              <w:bottom w:val="single" w:color="auto" w:sz="2" w:space="0"/>
              <w:right w:val="single" w:color="000000" w:sz="4" w:space="0"/>
            </w:tcBorders>
            <w:shd w:val="clear" w:color="auto" w:fill="auto"/>
            <w:vAlign w:val="center"/>
          </w:tcPr>
          <w:p w14:paraId="78CEC028">
            <w:pPr>
              <w:widowControl/>
              <w:jc w:val="center"/>
              <w:textAlignment w:val="center"/>
              <w:rPr>
                <w:rFonts w:ascii="宋体" w:hAnsi="宋体"/>
              </w:rPr>
            </w:pPr>
            <w:r>
              <w:rPr>
                <w:rFonts w:ascii="宋体" w:hAnsi="宋体" w:eastAsia="宋体" w:cs="Times New Roman"/>
                <w:color w:val="000000"/>
                <w:kern w:val="0"/>
                <w:sz w:val="18"/>
                <w:szCs w:val="18"/>
              </w:rPr>
              <w:t>μmol/mol</w:t>
            </w: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578E62AE">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5831935B">
            <w:pPr>
              <w:widowControl/>
              <w:jc w:val="center"/>
              <w:textAlignment w:val="center"/>
              <w:rPr>
                <w:rFonts w:ascii="宋体" w:hAnsi="宋体" w:eastAsia="黑体" w:cs="黑体"/>
                <w:color w:val="000000"/>
                <w:kern w:val="0"/>
                <w:sz w:val="18"/>
                <w:szCs w:val="18"/>
              </w:rPr>
            </w:pPr>
          </w:p>
        </w:tc>
        <w:tc>
          <w:tcPr>
            <w:tcW w:w="273" w:type="pct"/>
            <w:tcBorders>
              <w:top w:val="single" w:color="auto" w:sz="4" w:space="0"/>
              <w:left w:val="single" w:color="auto" w:sz="4" w:space="0"/>
              <w:bottom w:val="single" w:color="auto" w:sz="2" w:space="0"/>
              <w:right w:val="single" w:color="000000" w:sz="4" w:space="0"/>
            </w:tcBorders>
            <w:shd w:val="clear" w:color="auto" w:fill="auto"/>
            <w:vAlign w:val="center"/>
          </w:tcPr>
          <w:p w14:paraId="05634879">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60"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0F876A1E">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66"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292A8369">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81" w:type="pct"/>
            <w:tcBorders>
              <w:top w:val="single" w:color="auto" w:sz="4" w:space="0"/>
              <w:left w:val="single" w:color="auto" w:sz="4" w:space="0"/>
              <w:bottom w:val="single" w:color="auto" w:sz="2" w:space="0"/>
              <w:right w:val="single" w:color="000000" w:sz="4" w:space="0"/>
            </w:tcBorders>
            <w:shd w:val="clear" w:color="auto" w:fill="auto"/>
            <w:vAlign w:val="center"/>
          </w:tcPr>
          <w:p w14:paraId="04303847">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54" w:type="pct"/>
            <w:tcBorders>
              <w:top w:val="single" w:color="auto" w:sz="4" w:space="0"/>
              <w:left w:val="single" w:color="auto" w:sz="4" w:space="0"/>
              <w:bottom w:val="single" w:color="auto" w:sz="2" w:space="0"/>
              <w:right w:val="single" w:color="000000" w:sz="4" w:space="0"/>
            </w:tcBorders>
            <w:shd w:val="clear" w:color="auto" w:fill="auto"/>
            <w:vAlign w:val="center"/>
          </w:tcPr>
          <w:p w14:paraId="0407E153">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71" w:type="pct"/>
            <w:tcBorders>
              <w:top w:val="single" w:color="auto" w:sz="4" w:space="0"/>
              <w:left w:val="single" w:color="auto" w:sz="4" w:space="0"/>
              <w:bottom w:val="single" w:color="auto" w:sz="2" w:space="0"/>
              <w:right w:val="single" w:color="000000" w:sz="4" w:space="0"/>
            </w:tcBorders>
            <w:shd w:val="clear" w:color="auto" w:fill="auto"/>
            <w:vAlign w:val="center"/>
          </w:tcPr>
          <w:p w14:paraId="6C745CEA">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9" w:type="pct"/>
            <w:tcBorders>
              <w:top w:val="single" w:color="auto" w:sz="4" w:space="0"/>
              <w:left w:val="single" w:color="auto" w:sz="4" w:space="0"/>
              <w:bottom w:val="single" w:color="auto" w:sz="2" w:space="0"/>
              <w:right w:val="single" w:color="000000" w:sz="4" w:space="0"/>
            </w:tcBorders>
            <w:shd w:val="clear" w:color="auto" w:fill="auto"/>
            <w:vAlign w:val="center"/>
          </w:tcPr>
          <w:p w14:paraId="4B230CDD">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3DE52FE0">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tcBorders>
              <w:top w:val="single" w:color="auto" w:sz="4" w:space="0"/>
              <w:left w:val="single" w:color="auto" w:sz="4" w:space="0"/>
              <w:bottom w:val="single" w:color="auto" w:sz="2" w:space="0"/>
              <w:right w:val="single" w:color="000000" w:sz="4" w:space="0"/>
            </w:tcBorders>
            <w:shd w:val="clear" w:color="auto" w:fill="auto"/>
            <w:vAlign w:val="center"/>
          </w:tcPr>
          <w:p w14:paraId="1B020EF2">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gridSpan w:val="2"/>
            <w:vMerge w:val="continue"/>
            <w:tcBorders>
              <w:left w:val="single" w:color="auto" w:sz="4" w:space="0"/>
              <w:bottom w:val="single" w:color="auto" w:sz="2" w:space="0"/>
              <w:right w:val="single" w:color="000000" w:sz="4" w:space="0"/>
            </w:tcBorders>
            <w:shd w:val="clear" w:color="auto" w:fill="auto"/>
            <w:vAlign w:val="center"/>
          </w:tcPr>
          <w:p w14:paraId="5110852F">
            <w:pPr>
              <w:widowControl/>
              <w:jc w:val="center"/>
              <w:textAlignment w:val="center"/>
              <w:rPr>
                <w:rFonts w:ascii="宋体" w:hAnsi="宋体" w:eastAsia="黑体" w:cs="黑体"/>
                <w:color w:val="000000"/>
                <w:kern w:val="0"/>
                <w:sz w:val="18"/>
                <w:szCs w:val="18"/>
              </w:rPr>
            </w:pPr>
          </w:p>
        </w:tc>
        <w:tc>
          <w:tcPr>
            <w:tcW w:w="234" w:type="pct"/>
            <w:vMerge w:val="continue"/>
            <w:tcBorders>
              <w:left w:val="single" w:color="auto" w:sz="4" w:space="0"/>
              <w:bottom w:val="single" w:color="auto" w:sz="2" w:space="0"/>
              <w:right w:val="single" w:color="000000" w:sz="4" w:space="0"/>
            </w:tcBorders>
            <w:shd w:val="clear" w:color="auto" w:fill="auto"/>
            <w:vAlign w:val="center"/>
          </w:tcPr>
          <w:p w14:paraId="724BEC90">
            <w:pPr>
              <w:widowControl/>
              <w:jc w:val="center"/>
              <w:textAlignment w:val="center"/>
              <w:rPr>
                <w:rFonts w:ascii="宋体" w:hAnsi="宋体" w:eastAsia="黑体" w:cs="黑体"/>
                <w:color w:val="000000"/>
                <w:kern w:val="0"/>
                <w:sz w:val="18"/>
                <w:szCs w:val="18"/>
              </w:rPr>
            </w:pPr>
          </w:p>
        </w:tc>
        <w:tc>
          <w:tcPr>
            <w:tcW w:w="195" w:type="pct"/>
            <w:vMerge w:val="continue"/>
            <w:tcBorders>
              <w:left w:val="single" w:color="auto" w:sz="4" w:space="0"/>
              <w:bottom w:val="single" w:color="auto" w:sz="2" w:space="0"/>
              <w:right w:val="single" w:color="000000" w:sz="4" w:space="0"/>
            </w:tcBorders>
            <w:shd w:val="clear" w:color="auto" w:fill="auto"/>
            <w:vAlign w:val="center"/>
          </w:tcPr>
          <w:p w14:paraId="2AEC94EA">
            <w:pPr>
              <w:widowControl/>
              <w:jc w:val="center"/>
              <w:textAlignment w:val="center"/>
              <w:rPr>
                <w:rFonts w:ascii="宋体" w:hAnsi="宋体" w:eastAsia="黑体" w:cs="黑体"/>
                <w:color w:val="000000"/>
                <w:kern w:val="0"/>
                <w:sz w:val="18"/>
                <w:szCs w:val="18"/>
              </w:rPr>
            </w:pPr>
          </w:p>
        </w:tc>
      </w:tr>
      <w:tr w14:paraId="46B4D87B">
        <w:tblPrEx>
          <w:tblCellMar>
            <w:top w:w="0" w:type="dxa"/>
            <w:left w:w="108" w:type="dxa"/>
            <w:bottom w:w="0" w:type="dxa"/>
            <w:right w:w="108" w:type="dxa"/>
          </w:tblCellMar>
        </w:tblPrEx>
        <w:trPr>
          <w:trHeight w:val="75" w:hRule="atLeast"/>
        </w:trPr>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435182F0">
            <w:pPr>
              <w:jc w:val="center"/>
              <w:rPr>
                <w:rFonts w:ascii="宋体" w:hAnsi="宋体" w:eastAsia="黑体" w:cs="黑体"/>
                <w:color w:val="000000"/>
                <w:sz w:val="18"/>
                <w:szCs w:val="18"/>
              </w:rPr>
            </w:pPr>
          </w:p>
        </w:tc>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0A7B0E0C">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3732936">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151408D4">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679E974F">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3D9165E7">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1513BBC1">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5C03D1D2">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3BE0617F">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EABBF10">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A85C9D9">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3FFF1B5A">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0D518B5D">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2D88EC2C">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718EE8DA">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1EED2E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1DEF4DB9">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8C9B1BD">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0FBF2F7B">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6A3FDD16">
            <w:pPr>
              <w:jc w:val="center"/>
              <w:rPr>
                <w:rFonts w:ascii="宋体" w:hAnsi="宋体" w:eastAsia="黑体" w:cs="黑体"/>
                <w:color w:val="000000"/>
                <w:sz w:val="18"/>
                <w:szCs w:val="18"/>
              </w:rPr>
            </w:pPr>
          </w:p>
        </w:tc>
      </w:tr>
      <w:tr w14:paraId="12519892">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C75BC3B">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0D2A7B9">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38A4229">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76E21B2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68474B9E">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71B2204B">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3A2D32A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27D6EEBC">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4AE79B50">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B9CDD21">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DC0C4D7">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12BF11FD">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7D20C719">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685E0070">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09E6C073">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9230E0D">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680F6A77">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7B1DD17">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78F1234C">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44444580">
            <w:pPr>
              <w:jc w:val="center"/>
              <w:rPr>
                <w:rFonts w:ascii="宋体" w:hAnsi="宋体" w:eastAsia="黑体" w:cs="黑体"/>
                <w:color w:val="000000"/>
                <w:sz w:val="18"/>
                <w:szCs w:val="18"/>
              </w:rPr>
            </w:pPr>
          </w:p>
        </w:tc>
      </w:tr>
      <w:tr w14:paraId="1E6839C5">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B856A32">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168FC20">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818F202">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5E55A572">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34543F21">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36E8E2E6">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7698E991">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5984EB14">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3B94A1F6">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1AC1E35">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C643C31">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587F3A52">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5BAAEB63">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47ED3646">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7A9590BF">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3B4648C">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49548B80">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1463913">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4BA7DD09">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4B247040">
            <w:pPr>
              <w:jc w:val="center"/>
              <w:rPr>
                <w:rFonts w:ascii="宋体" w:hAnsi="宋体" w:eastAsia="黑体" w:cs="黑体"/>
                <w:color w:val="000000"/>
                <w:sz w:val="18"/>
                <w:szCs w:val="18"/>
              </w:rPr>
            </w:pPr>
          </w:p>
        </w:tc>
      </w:tr>
      <w:tr w14:paraId="4D51EA4A">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0B0E92B">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3F170B4">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EB96CB9">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0C11000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B54051C">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200F069F">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3A52E7D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689A5A1B">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2F493B33">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13BF597">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E63BDDF">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5C26DD57">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36A6EB6E">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710D7A1B">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78684F2C">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6817B1C">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FAE9787">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F8262FD">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090C4C51">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2AD36A3E">
            <w:pPr>
              <w:jc w:val="center"/>
              <w:rPr>
                <w:rFonts w:ascii="宋体" w:hAnsi="宋体" w:eastAsia="黑体" w:cs="黑体"/>
                <w:color w:val="000000"/>
                <w:sz w:val="18"/>
                <w:szCs w:val="18"/>
              </w:rPr>
            </w:pPr>
          </w:p>
        </w:tc>
      </w:tr>
      <w:tr w14:paraId="208E87A2">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98E1A77">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8AFD055">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DBDF78C">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5611AECE">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6429A03C">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379191BB">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36102B4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1B17388F">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748E100D">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2363151">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FF55384">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085C912A">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7FD5B942">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346D2998">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2DBAF072">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C99B27C">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04737925">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3F1D968">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3A376D78">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14D3004F">
            <w:pPr>
              <w:jc w:val="center"/>
              <w:rPr>
                <w:rFonts w:ascii="宋体" w:hAnsi="宋体" w:eastAsia="黑体" w:cs="黑体"/>
                <w:color w:val="000000"/>
                <w:sz w:val="18"/>
                <w:szCs w:val="18"/>
              </w:rPr>
            </w:pPr>
          </w:p>
        </w:tc>
      </w:tr>
      <w:tr w14:paraId="0DC7CAA7">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E3A4D72">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047C512">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791B67E">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75A874D1">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3542375B">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602071EA">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558CB8A5">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3B4B1AC1">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2EC9A6DB">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1592CBD">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3B2FD28">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747AF77B">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16750A9E">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3686C1C5">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34351726">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DEE6B8A">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61F544E">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6DD0866">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621A72E3">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1BC59C15">
            <w:pPr>
              <w:jc w:val="center"/>
              <w:rPr>
                <w:rFonts w:ascii="宋体" w:hAnsi="宋体" w:eastAsia="黑体" w:cs="黑体"/>
                <w:color w:val="000000"/>
                <w:sz w:val="18"/>
                <w:szCs w:val="18"/>
              </w:rPr>
            </w:pPr>
          </w:p>
        </w:tc>
      </w:tr>
      <w:tr w14:paraId="26280776">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0332F0D">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17AD7BC">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6D7F831">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58CF57E4">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5AFF4FA4">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4F45C793">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3468CEC4">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5DB33BEE">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5FF94631">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FAAD4D8">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2C04DC6">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3281B556">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4C36DC70">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2D11B582">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3F797EFA">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56A6028">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575C166">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A4EF5F8">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68D3BE9">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3EAC1893">
            <w:pPr>
              <w:jc w:val="center"/>
              <w:rPr>
                <w:rFonts w:ascii="宋体" w:hAnsi="宋体" w:eastAsia="黑体" w:cs="黑体"/>
                <w:color w:val="000000"/>
                <w:sz w:val="18"/>
                <w:szCs w:val="18"/>
              </w:rPr>
            </w:pPr>
          </w:p>
        </w:tc>
      </w:tr>
      <w:tr w14:paraId="60B78D10">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E0FE050">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A733865">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C4C4934">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546860DA">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72814993">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57BD5ABF">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01346F9">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2D4D05D3">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06E19B26">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A5706DF">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2A97A84">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146B1CC4">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7277F651">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0457FE3F">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3563DE3B">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367C38E">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344CAAD7">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6D423DE">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7757AB3">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4641E527">
            <w:pPr>
              <w:jc w:val="center"/>
              <w:rPr>
                <w:rFonts w:ascii="宋体" w:hAnsi="宋体" w:eastAsia="黑体" w:cs="黑体"/>
                <w:color w:val="000000"/>
                <w:sz w:val="18"/>
                <w:szCs w:val="18"/>
              </w:rPr>
            </w:pPr>
          </w:p>
        </w:tc>
      </w:tr>
      <w:tr w14:paraId="0500D9E2">
        <w:tblPrEx>
          <w:tblCellMar>
            <w:top w:w="0" w:type="dxa"/>
            <w:left w:w="108" w:type="dxa"/>
            <w:bottom w:w="0" w:type="dxa"/>
            <w:right w:w="108" w:type="dxa"/>
          </w:tblCellMar>
        </w:tblPrEx>
        <w:trPr>
          <w:trHeight w:val="75" w:hRule="atLeast"/>
        </w:trPr>
        <w:tc>
          <w:tcPr>
            <w:tcW w:w="1666" w:type="pct"/>
            <w:gridSpan w:val="11"/>
            <w:tcBorders>
              <w:top w:val="single" w:color="000000" w:sz="4" w:space="0"/>
              <w:left w:val="single" w:color="auto" w:sz="4" w:space="0"/>
              <w:bottom w:val="single" w:color="000000" w:sz="4" w:space="0"/>
              <w:right w:val="single" w:color="000000" w:sz="4" w:space="0"/>
            </w:tcBorders>
            <w:shd w:val="clear" w:color="auto" w:fill="auto"/>
            <w:vAlign w:val="center"/>
          </w:tcPr>
          <w:p w14:paraId="00161AD1">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数据采集人员：</w:t>
            </w:r>
          </w:p>
        </w:tc>
        <w:tc>
          <w:tcPr>
            <w:tcW w:w="1644"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0F9F4857">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审核人员：</w:t>
            </w:r>
          </w:p>
        </w:tc>
        <w:tc>
          <w:tcPr>
            <w:tcW w:w="1688"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689BE7DF">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审批人员：</w:t>
            </w:r>
          </w:p>
        </w:tc>
      </w:tr>
    </w:tbl>
    <w:p w14:paraId="40F78586">
      <w:pPr>
        <w:rPr>
          <w:rFonts w:ascii="宋体" w:hAnsi="宋体"/>
        </w:rPr>
      </w:pPr>
      <w:r>
        <w:rPr>
          <w:rFonts w:hint="eastAsia" w:ascii="宋体" w:hAnsi="宋体"/>
        </w:rPr>
        <w:br w:type="page"/>
      </w:r>
    </w:p>
    <w:p w14:paraId="3850131D">
      <w:pPr>
        <w:pStyle w:val="108"/>
        <w:numPr>
          <w:ilvl w:val="1"/>
          <w:numId w:val="0"/>
        </w:numPr>
        <w:spacing w:before="157" w:after="157"/>
        <w:rPr>
          <w:rFonts w:ascii="宋体" w:hAnsi="宋体"/>
        </w:rPr>
      </w:pPr>
      <w:r>
        <w:rPr>
          <w:rFonts w:hint="eastAsia" w:ascii="宋体" w:hAnsi="宋体"/>
        </w:rPr>
        <w:t>表G.6二氧化硫气体检测仪数据采集记录模板</w:t>
      </w:r>
    </w:p>
    <w:tbl>
      <w:tblPr>
        <w:tblStyle w:val="25"/>
        <w:tblW w:w="4997" w:type="pct"/>
        <w:tblInd w:w="0" w:type="dxa"/>
        <w:tblLayout w:type="fixed"/>
        <w:tblCellMar>
          <w:top w:w="0" w:type="dxa"/>
          <w:left w:w="108" w:type="dxa"/>
          <w:bottom w:w="0" w:type="dxa"/>
          <w:right w:w="108" w:type="dxa"/>
        </w:tblCellMar>
      </w:tblPr>
      <w:tblGrid>
        <w:gridCol w:w="574"/>
        <w:gridCol w:w="117"/>
        <w:gridCol w:w="494"/>
        <w:gridCol w:w="197"/>
        <w:gridCol w:w="485"/>
        <w:gridCol w:w="78"/>
        <w:gridCol w:w="608"/>
        <w:gridCol w:w="719"/>
        <w:gridCol w:w="771"/>
        <w:gridCol w:w="366"/>
        <w:gridCol w:w="214"/>
        <w:gridCol w:w="128"/>
        <w:gridCol w:w="716"/>
        <w:gridCol w:w="757"/>
        <w:gridCol w:w="83"/>
        <w:gridCol w:w="638"/>
        <w:gridCol w:w="510"/>
        <w:gridCol w:w="227"/>
        <w:gridCol w:w="780"/>
        <w:gridCol w:w="721"/>
        <w:gridCol w:w="752"/>
        <w:gridCol w:w="719"/>
        <w:gridCol w:w="377"/>
        <w:gridCol w:w="341"/>
        <w:gridCol w:w="649"/>
        <w:gridCol w:w="527"/>
        <w:gridCol w:w="122"/>
        <w:gridCol w:w="649"/>
        <w:gridCol w:w="552"/>
      </w:tblGrid>
      <w:tr w14:paraId="64DE0A21">
        <w:tblPrEx>
          <w:tblCellMar>
            <w:top w:w="0" w:type="dxa"/>
            <w:left w:w="108" w:type="dxa"/>
            <w:bottom w:w="0" w:type="dxa"/>
            <w:right w:w="108" w:type="dxa"/>
          </w:tblCellMar>
        </w:tblPrEx>
        <w:trPr>
          <w:trHeight w:val="520" w:hRule="atLeast"/>
        </w:trPr>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869CB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检验设备</w:t>
            </w: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7B8AB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F0E80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名称</w:t>
            </w: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EAF97E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15574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FC1D63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不确定度/准确度等级/最大允许误差</w:t>
            </w: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46E61F">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有效期至</w:t>
            </w: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DD056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溯源机构</w:t>
            </w: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BED8C9">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证书编号</w:t>
            </w: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7DA443">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作业者或承包者</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7E2344">
            <w:pPr>
              <w:widowControl/>
              <w:jc w:val="center"/>
              <w:textAlignment w:val="center"/>
              <w:rPr>
                <w:rFonts w:ascii="宋体" w:hAnsi="宋体" w:eastAsia="宋体" w:cs="宋体"/>
                <w:color w:val="000000"/>
                <w:kern w:val="0"/>
                <w:sz w:val="18"/>
                <w:szCs w:val="18"/>
              </w:rPr>
            </w:pPr>
          </w:p>
        </w:tc>
      </w:tr>
      <w:tr w14:paraId="72D715D2">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8BF59">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337FF">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021079">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BE05E5">
            <w:pPr>
              <w:jc w:val="center"/>
              <w:rPr>
                <w:rFonts w:ascii="宋体" w:hAnsi="宋体" w:eastAsia="宋体" w:cs="宋体"/>
                <w:color w:val="FF0000"/>
                <w:sz w:val="16"/>
                <w:szCs w:val="16"/>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1138FE">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226815F">
            <w:pPr>
              <w:jc w:val="center"/>
              <w:rPr>
                <w:rFonts w:ascii="宋体" w:hAnsi="宋体" w:eastAsia="宋体" w:cs="宋体"/>
                <w:i/>
                <w:iCs/>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ECBFD5">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10054C">
            <w:pPr>
              <w:jc w:val="center"/>
              <w:rPr>
                <w:rFonts w:ascii="宋体" w:hAnsi="宋体" w:eastAsia="宋体" w:cs="宋体"/>
                <w:color w:val="FF0000"/>
                <w:sz w:val="18"/>
                <w:szCs w:val="18"/>
              </w:rPr>
            </w:pP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2CD205">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F325F1D">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所属设施</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6D746F">
            <w:pPr>
              <w:widowControl/>
              <w:jc w:val="center"/>
              <w:textAlignment w:val="center"/>
              <w:rPr>
                <w:rFonts w:ascii="宋体" w:hAnsi="宋体" w:eastAsia="宋体" w:cs="宋体"/>
                <w:color w:val="000000"/>
                <w:kern w:val="0"/>
                <w:sz w:val="18"/>
                <w:szCs w:val="18"/>
              </w:rPr>
            </w:pPr>
          </w:p>
        </w:tc>
      </w:tr>
      <w:tr w14:paraId="09458D63">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19E81">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B1A33D">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E0150F">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AE3715B">
            <w:pPr>
              <w:jc w:val="center"/>
              <w:rPr>
                <w:rFonts w:ascii="宋体" w:hAnsi="宋体" w:eastAsia="宋体" w:cs="宋体"/>
                <w:color w:val="FF0000"/>
                <w:sz w:val="18"/>
                <w:szCs w:val="18"/>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DEFDAF">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93265F">
            <w:pPr>
              <w:jc w:val="center"/>
              <w:rPr>
                <w:rFonts w:ascii="宋体" w:hAnsi="宋体" w:eastAsia="宋体" w:cs="宋体"/>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C4A2EA">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64D55CE">
            <w:pPr>
              <w:jc w:val="center"/>
              <w:rPr>
                <w:rFonts w:ascii="宋体" w:hAnsi="宋体" w:eastAsia="宋体" w:cs="宋体"/>
                <w:color w:val="FF0000"/>
                <w:sz w:val="18"/>
                <w:szCs w:val="18"/>
              </w:rPr>
            </w:pP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4CF9FF">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E629A1">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被检设备名称</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D017E6">
            <w:pPr>
              <w:widowControl/>
              <w:jc w:val="center"/>
              <w:textAlignment w:val="center"/>
              <w:rPr>
                <w:rFonts w:ascii="宋体" w:hAnsi="宋体" w:eastAsia="宋体" w:cs="宋体"/>
                <w:color w:val="000000"/>
                <w:kern w:val="0"/>
                <w:sz w:val="18"/>
                <w:szCs w:val="18"/>
              </w:rPr>
            </w:pPr>
          </w:p>
        </w:tc>
      </w:tr>
      <w:tr w14:paraId="582E1645">
        <w:tblPrEx>
          <w:tblCellMar>
            <w:top w:w="0" w:type="dxa"/>
            <w:left w:w="108" w:type="dxa"/>
            <w:bottom w:w="0" w:type="dxa"/>
            <w:right w:w="108" w:type="dxa"/>
          </w:tblCellMar>
        </w:tblPrEx>
        <w:trPr>
          <w:trHeight w:val="400" w:hRule="atLeast"/>
        </w:trPr>
        <w:tc>
          <w:tcPr>
            <w:tcW w:w="5000" w:type="pct"/>
            <w:gridSpan w:val="29"/>
            <w:tcBorders>
              <w:top w:val="single" w:color="000000" w:sz="4" w:space="0"/>
              <w:left w:val="single" w:color="000000" w:sz="4" w:space="0"/>
              <w:bottom w:val="single" w:color="000000" w:sz="4" w:space="0"/>
              <w:right w:val="single" w:color="000000" w:sz="4" w:space="0"/>
            </w:tcBorders>
            <w:shd w:val="clear" w:color="auto" w:fill="auto"/>
            <w:vAlign w:val="center"/>
          </w:tcPr>
          <w:p w14:paraId="0BBE6FEC">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检测检验依据</w:t>
            </w:r>
          </w:p>
        </w:tc>
      </w:tr>
      <w:tr w14:paraId="60A03241">
        <w:tblPrEx>
          <w:tblCellMar>
            <w:top w:w="0" w:type="dxa"/>
            <w:left w:w="108" w:type="dxa"/>
            <w:bottom w:w="0" w:type="dxa"/>
            <w:right w:w="108" w:type="dxa"/>
          </w:tblCellMar>
        </w:tblPrEx>
        <w:trPr>
          <w:trHeight w:val="400" w:hRule="atLeast"/>
        </w:trPr>
        <w:tc>
          <w:tcPr>
            <w:tcW w:w="5000" w:type="pct"/>
            <w:gridSpan w:val="29"/>
            <w:tcBorders>
              <w:top w:val="single" w:color="000000" w:sz="4" w:space="0"/>
              <w:left w:val="single" w:color="000000" w:sz="4" w:space="0"/>
              <w:bottom w:val="single" w:color="000000" w:sz="4" w:space="0"/>
              <w:right w:val="single" w:color="000000" w:sz="4" w:space="0"/>
            </w:tcBorders>
            <w:shd w:val="clear" w:color="auto" w:fill="auto"/>
            <w:vAlign w:val="center"/>
          </w:tcPr>
          <w:p w14:paraId="5E888186">
            <w:pPr>
              <w:widowControl/>
              <w:jc w:val="center"/>
              <w:textAlignment w:val="center"/>
              <w:rPr>
                <w:rFonts w:ascii="宋体" w:hAnsi="宋体" w:eastAsia="黑体" w:cs="黑体"/>
                <w:color w:val="000000"/>
                <w:kern w:val="0"/>
                <w:sz w:val="18"/>
                <w:szCs w:val="18"/>
              </w:rPr>
            </w:pPr>
          </w:p>
        </w:tc>
      </w:tr>
      <w:tr w14:paraId="3C7D4D43">
        <w:tblPrEx>
          <w:tblCellMar>
            <w:top w:w="0" w:type="dxa"/>
            <w:left w:w="108" w:type="dxa"/>
            <w:bottom w:w="0" w:type="dxa"/>
            <w:right w:w="108" w:type="dxa"/>
          </w:tblCellMar>
        </w:tblPrEx>
        <w:trPr>
          <w:trHeight w:val="315" w:hRule="atLeast"/>
        </w:trPr>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386A4E6F">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1CE6578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制造厂商</w:t>
            </w:r>
          </w:p>
        </w:tc>
        <w:tc>
          <w:tcPr>
            <w:tcW w:w="203" w:type="pct"/>
            <w:gridSpan w:val="2"/>
            <w:vMerge w:val="restart"/>
            <w:tcBorders>
              <w:top w:val="single" w:color="000000" w:sz="4" w:space="0"/>
              <w:left w:val="single" w:color="auto" w:sz="4" w:space="0"/>
              <w:right w:val="single" w:color="000000" w:sz="4" w:space="0"/>
            </w:tcBorders>
            <w:shd w:val="clear" w:color="auto" w:fill="auto"/>
            <w:vAlign w:val="center"/>
          </w:tcPr>
          <w:p w14:paraId="48CDE7E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型号</w:t>
            </w:r>
          </w:p>
        </w:tc>
        <w:tc>
          <w:tcPr>
            <w:tcW w:w="219" w:type="pct"/>
            <w:vMerge w:val="restart"/>
            <w:tcBorders>
              <w:top w:val="single" w:color="000000" w:sz="4" w:space="0"/>
              <w:left w:val="single" w:color="auto" w:sz="4" w:space="0"/>
              <w:right w:val="single" w:color="000000" w:sz="4" w:space="0"/>
            </w:tcBorders>
            <w:shd w:val="clear" w:color="auto" w:fill="auto"/>
            <w:vAlign w:val="center"/>
          </w:tcPr>
          <w:p w14:paraId="14AEAE8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30CEB9E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位号/位置</w:t>
            </w:r>
          </w:p>
        </w:tc>
        <w:tc>
          <w:tcPr>
            <w:tcW w:w="278" w:type="pct"/>
            <w:tcBorders>
              <w:top w:val="single" w:color="000000" w:sz="4" w:space="0"/>
              <w:left w:val="single" w:color="auto" w:sz="4" w:space="0"/>
              <w:bottom w:val="single" w:color="auto" w:sz="4" w:space="0"/>
              <w:right w:val="single" w:color="000000" w:sz="4" w:space="0"/>
            </w:tcBorders>
            <w:shd w:val="clear" w:color="auto" w:fill="auto"/>
            <w:vAlign w:val="center"/>
          </w:tcPr>
          <w:p w14:paraId="562E2E7B">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31656C7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报警值</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1883849E">
            <w:pPr>
              <w:jc w:val="center"/>
              <w:rPr>
                <w:rFonts w:ascii="宋体" w:hAnsi="宋体" w:eastAsia="黑体" w:cs="黑体"/>
                <w:color w:val="000000"/>
                <w:sz w:val="18"/>
                <w:szCs w:val="18"/>
              </w:rPr>
            </w:pPr>
            <w:r>
              <w:rPr>
                <w:rFonts w:hint="eastAsia" w:ascii="宋体" w:hAnsi="宋体" w:eastAsia="黑体" w:cs="黑体"/>
                <w:color w:val="000000"/>
                <w:sz w:val="18"/>
                <w:szCs w:val="18"/>
              </w:rPr>
              <w:t>外观检查</w:t>
            </w:r>
          </w:p>
        </w:tc>
        <w:tc>
          <w:tcPr>
            <w:tcW w:w="273" w:type="pct"/>
            <w:tcBorders>
              <w:top w:val="single" w:color="000000" w:sz="4" w:space="0"/>
              <w:left w:val="single" w:color="auto" w:sz="4" w:space="0"/>
              <w:bottom w:val="single" w:color="auto" w:sz="4" w:space="0"/>
              <w:right w:val="single" w:color="000000" w:sz="4" w:space="0"/>
            </w:tcBorders>
            <w:shd w:val="clear" w:color="auto" w:fill="auto"/>
            <w:vAlign w:val="center"/>
          </w:tcPr>
          <w:p w14:paraId="4526E54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标准气浓度</w:t>
            </w:r>
          </w:p>
        </w:tc>
        <w:tc>
          <w:tcPr>
            <w:tcW w:w="260"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1378537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示值1</w:t>
            </w:r>
          </w:p>
        </w:tc>
        <w:tc>
          <w:tcPr>
            <w:tcW w:w="266"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1A35571B">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示值2</w:t>
            </w:r>
          </w:p>
        </w:tc>
        <w:tc>
          <w:tcPr>
            <w:tcW w:w="281" w:type="pct"/>
            <w:tcBorders>
              <w:top w:val="single" w:color="000000" w:sz="4" w:space="0"/>
              <w:left w:val="single" w:color="auto" w:sz="4" w:space="0"/>
              <w:bottom w:val="single" w:color="auto" w:sz="4" w:space="0"/>
              <w:right w:val="single" w:color="000000" w:sz="4" w:space="0"/>
            </w:tcBorders>
            <w:shd w:val="clear" w:color="auto" w:fill="auto"/>
            <w:vAlign w:val="center"/>
          </w:tcPr>
          <w:p w14:paraId="5357537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示值3</w:t>
            </w:r>
          </w:p>
        </w:tc>
        <w:tc>
          <w:tcPr>
            <w:tcW w:w="254" w:type="pct"/>
            <w:tcBorders>
              <w:top w:val="single" w:color="000000" w:sz="4" w:space="0"/>
              <w:left w:val="single" w:color="auto" w:sz="4" w:space="0"/>
              <w:bottom w:val="single" w:color="auto" w:sz="4" w:space="0"/>
              <w:right w:val="single" w:color="000000" w:sz="4" w:space="0"/>
            </w:tcBorders>
            <w:shd w:val="clear" w:color="auto" w:fill="auto"/>
            <w:vAlign w:val="center"/>
          </w:tcPr>
          <w:p w14:paraId="6CEF8AE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示值误差</w:t>
            </w:r>
          </w:p>
        </w:tc>
        <w:tc>
          <w:tcPr>
            <w:tcW w:w="271" w:type="pct"/>
            <w:tcBorders>
              <w:top w:val="single" w:color="000000" w:sz="4" w:space="0"/>
              <w:left w:val="single" w:color="auto" w:sz="4" w:space="0"/>
              <w:bottom w:val="single" w:color="auto" w:sz="4" w:space="0"/>
              <w:right w:val="single" w:color="000000" w:sz="4" w:space="0"/>
            </w:tcBorders>
            <w:shd w:val="clear" w:color="auto" w:fill="auto"/>
            <w:vAlign w:val="center"/>
          </w:tcPr>
          <w:p w14:paraId="3CFF68C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时间1</w:t>
            </w:r>
          </w:p>
        </w:tc>
        <w:tc>
          <w:tcPr>
            <w:tcW w:w="259" w:type="pct"/>
            <w:tcBorders>
              <w:top w:val="single" w:color="000000" w:sz="4" w:space="0"/>
              <w:left w:val="single" w:color="auto" w:sz="4" w:space="0"/>
              <w:bottom w:val="single" w:color="auto" w:sz="4" w:space="0"/>
              <w:right w:val="single" w:color="000000" w:sz="4" w:space="0"/>
            </w:tcBorders>
            <w:shd w:val="clear" w:color="auto" w:fill="auto"/>
            <w:vAlign w:val="center"/>
          </w:tcPr>
          <w:p w14:paraId="0D2B063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时间2</w:t>
            </w:r>
          </w:p>
        </w:tc>
        <w:tc>
          <w:tcPr>
            <w:tcW w:w="259"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6CE03E8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时间3</w:t>
            </w:r>
          </w:p>
        </w:tc>
        <w:tc>
          <w:tcPr>
            <w:tcW w:w="234" w:type="pct"/>
            <w:tcBorders>
              <w:top w:val="single" w:color="000000" w:sz="4" w:space="0"/>
              <w:left w:val="single" w:color="auto" w:sz="4" w:space="0"/>
              <w:bottom w:val="single" w:color="auto" w:sz="4" w:space="0"/>
              <w:right w:val="single" w:color="000000" w:sz="4" w:space="0"/>
            </w:tcBorders>
            <w:shd w:val="clear" w:color="auto" w:fill="auto"/>
            <w:vAlign w:val="center"/>
          </w:tcPr>
          <w:p w14:paraId="60EC343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响应时间</w:t>
            </w:r>
          </w:p>
        </w:tc>
        <w:tc>
          <w:tcPr>
            <w:tcW w:w="234" w:type="pct"/>
            <w:gridSpan w:val="2"/>
            <w:vMerge w:val="restart"/>
            <w:tcBorders>
              <w:top w:val="single" w:color="000000" w:sz="4" w:space="0"/>
              <w:left w:val="single" w:color="auto" w:sz="4" w:space="0"/>
              <w:right w:val="single" w:color="000000" w:sz="4" w:space="0"/>
            </w:tcBorders>
            <w:shd w:val="clear" w:color="auto" w:fill="auto"/>
            <w:vAlign w:val="center"/>
          </w:tcPr>
          <w:p w14:paraId="32FF1437">
            <w:pPr>
              <w:jc w:val="center"/>
              <w:rPr>
                <w:rFonts w:ascii="宋体" w:hAnsi="宋体" w:eastAsia="黑体" w:cs="黑体"/>
                <w:color w:val="000000"/>
                <w:sz w:val="18"/>
                <w:szCs w:val="18"/>
              </w:rPr>
            </w:pPr>
            <w:r>
              <w:rPr>
                <w:rFonts w:hint="eastAsia" w:ascii="宋体" w:hAnsi="宋体" w:eastAsia="黑体" w:cs="黑体"/>
                <w:color w:val="000000"/>
                <w:sz w:val="18"/>
                <w:szCs w:val="18"/>
              </w:rPr>
              <w:t>报警功能</w:t>
            </w:r>
          </w:p>
        </w:tc>
        <w:tc>
          <w:tcPr>
            <w:tcW w:w="234" w:type="pct"/>
            <w:vMerge w:val="restart"/>
            <w:tcBorders>
              <w:top w:val="single" w:color="000000" w:sz="4" w:space="0"/>
              <w:left w:val="single" w:color="auto" w:sz="4" w:space="0"/>
              <w:right w:val="single" w:color="000000" w:sz="4" w:space="0"/>
            </w:tcBorders>
            <w:shd w:val="clear" w:color="auto" w:fill="auto"/>
            <w:vAlign w:val="center"/>
          </w:tcPr>
          <w:p w14:paraId="210997E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采集日期</w:t>
            </w:r>
          </w:p>
        </w:tc>
        <w:tc>
          <w:tcPr>
            <w:tcW w:w="195" w:type="pct"/>
            <w:vMerge w:val="restart"/>
            <w:tcBorders>
              <w:top w:val="single" w:color="000000" w:sz="4" w:space="0"/>
              <w:left w:val="single" w:color="auto" w:sz="4" w:space="0"/>
              <w:right w:val="single" w:color="000000" w:sz="4" w:space="0"/>
            </w:tcBorders>
            <w:shd w:val="clear" w:color="auto" w:fill="auto"/>
            <w:vAlign w:val="center"/>
          </w:tcPr>
          <w:p w14:paraId="27A1DF0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备注</w:t>
            </w:r>
          </w:p>
        </w:tc>
      </w:tr>
      <w:tr w14:paraId="4465F924">
        <w:tblPrEx>
          <w:tblCellMar>
            <w:top w:w="0" w:type="dxa"/>
            <w:left w:w="108" w:type="dxa"/>
            <w:bottom w:w="0" w:type="dxa"/>
            <w:right w:w="108" w:type="dxa"/>
          </w:tblCellMar>
        </w:tblPrEx>
        <w:trPr>
          <w:trHeight w:val="315" w:hRule="atLeast"/>
        </w:trPr>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66189054">
            <w:pPr>
              <w:widowControl/>
              <w:jc w:val="center"/>
              <w:textAlignment w:val="center"/>
              <w:rPr>
                <w:rFonts w:ascii="宋体" w:hAnsi="宋体"/>
              </w:rPr>
            </w:pPr>
          </w:p>
        </w:tc>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5C16875D">
            <w:pPr>
              <w:widowControl/>
              <w:jc w:val="center"/>
              <w:textAlignment w:val="center"/>
              <w:rPr>
                <w:rFonts w:ascii="宋体" w:hAnsi="宋体"/>
              </w:rPr>
            </w:pPr>
          </w:p>
        </w:tc>
        <w:tc>
          <w:tcPr>
            <w:tcW w:w="203" w:type="pct"/>
            <w:gridSpan w:val="2"/>
            <w:vMerge w:val="continue"/>
            <w:tcBorders>
              <w:left w:val="single" w:color="auto" w:sz="4" w:space="0"/>
              <w:bottom w:val="single" w:color="auto" w:sz="2" w:space="0"/>
              <w:right w:val="single" w:color="000000" w:sz="4" w:space="0"/>
            </w:tcBorders>
            <w:shd w:val="clear" w:color="auto" w:fill="auto"/>
            <w:vAlign w:val="center"/>
          </w:tcPr>
          <w:p w14:paraId="24B8A38F">
            <w:pPr>
              <w:widowControl/>
              <w:jc w:val="center"/>
              <w:textAlignment w:val="center"/>
              <w:rPr>
                <w:rFonts w:ascii="宋体" w:hAnsi="宋体"/>
              </w:rPr>
            </w:pPr>
          </w:p>
        </w:tc>
        <w:tc>
          <w:tcPr>
            <w:tcW w:w="219" w:type="pct"/>
            <w:vMerge w:val="continue"/>
            <w:tcBorders>
              <w:left w:val="single" w:color="auto" w:sz="4" w:space="0"/>
              <w:bottom w:val="single" w:color="auto" w:sz="2" w:space="0"/>
              <w:right w:val="single" w:color="000000" w:sz="4" w:space="0"/>
            </w:tcBorders>
            <w:shd w:val="clear" w:color="auto" w:fill="auto"/>
            <w:vAlign w:val="center"/>
          </w:tcPr>
          <w:p w14:paraId="5A85D308">
            <w:pPr>
              <w:widowControl/>
              <w:jc w:val="center"/>
              <w:textAlignment w:val="center"/>
              <w:rPr>
                <w:rFonts w:ascii="宋体" w:hAnsi="宋体"/>
              </w:rPr>
            </w:pP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5AA42DF4">
            <w:pPr>
              <w:widowControl/>
              <w:jc w:val="center"/>
              <w:textAlignment w:val="center"/>
              <w:rPr>
                <w:rFonts w:ascii="宋体" w:hAnsi="宋体"/>
              </w:rPr>
            </w:pPr>
          </w:p>
        </w:tc>
        <w:tc>
          <w:tcPr>
            <w:tcW w:w="278" w:type="pct"/>
            <w:tcBorders>
              <w:top w:val="single" w:color="auto" w:sz="4" w:space="0"/>
              <w:left w:val="single" w:color="auto" w:sz="4" w:space="0"/>
              <w:bottom w:val="single" w:color="auto" w:sz="2" w:space="0"/>
              <w:right w:val="single" w:color="000000" w:sz="4" w:space="0"/>
            </w:tcBorders>
            <w:shd w:val="clear" w:color="auto" w:fill="auto"/>
            <w:vAlign w:val="center"/>
          </w:tcPr>
          <w:p w14:paraId="3A46494F">
            <w:pPr>
              <w:widowControl/>
              <w:jc w:val="center"/>
              <w:textAlignment w:val="center"/>
              <w:rPr>
                <w:rFonts w:ascii="宋体" w:hAnsi="宋体"/>
              </w:rPr>
            </w:pPr>
            <w:r>
              <w:rPr>
                <w:rFonts w:ascii="宋体" w:hAnsi="宋体" w:eastAsia="宋体" w:cs="Times New Roman"/>
                <w:color w:val="000000"/>
                <w:kern w:val="0"/>
                <w:sz w:val="18"/>
                <w:szCs w:val="18"/>
              </w:rPr>
              <w:t>μmol/mol</w:t>
            </w: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3442C8E6">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723E6CF5">
            <w:pPr>
              <w:widowControl/>
              <w:jc w:val="center"/>
              <w:textAlignment w:val="center"/>
              <w:rPr>
                <w:rFonts w:ascii="宋体" w:hAnsi="宋体" w:eastAsia="黑体" w:cs="黑体"/>
                <w:color w:val="000000"/>
                <w:kern w:val="0"/>
                <w:sz w:val="18"/>
                <w:szCs w:val="18"/>
              </w:rPr>
            </w:pPr>
          </w:p>
        </w:tc>
        <w:tc>
          <w:tcPr>
            <w:tcW w:w="273" w:type="pct"/>
            <w:tcBorders>
              <w:top w:val="single" w:color="auto" w:sz="4" w:space="0"/>
              <w:left w:val="single" w:color="auto" w:sz="4" w:space="0"/>
              <w:bottom w:val="single" w:color="auto" w:sz="2" w:space="0"/>
              <w:right w:val="single" w:color="000000" w:sz="4" w:space="0"/>
            </w:tcBorders>
            <w:shd w:val="clear" w:color="auto" w:fill="auto"/>
            <w:vAlign w:val="center"/>
          </w:tcPr>
          <w:p w14:paraId="61B5F314">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60"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72D2A876">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66"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2F1535F8">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81" w:type="pct"/>
            <w:tcBorders>
              <w:top w:val="single" w:color="auto" w:sz="4" w:space="0"/>
              <w:left w:val="single" w:color="auto" w:sz="4" w:space="0"/>
              <w:bottom w:val="single" w:color="auto" w:sz="2" w:space="0"/>
              <w:right w:val="single" w:color="000000" w:sz="4" w:space="0"/>
            </w:tcBorders>
            <w:shd w:val="clear" w:color="auto" w:fill="auto"/>
            <w:vAlign w:val="center"/>
          </w:tcPr>
          <w:p w14:paraId="6E4CB7D6">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54" w:type="pct"/>
            <w:tcBorders>
              <w:top w:val="single" w:color="auto" w:sz="4" w:space="0"/>
              <w:left w:val="single" w:color="auto" w:sz="4" w:space="0"/>
              <w:bottom w:val="single" w:color="auto" w:sz="2" w:space="0"/>
              <w:right w:val="single" w:color="000000" w:sz="4" w:space="0"/>
            </w:tcBorders>
            <w:shd w:val="clear" w:color="auto" w:fill="auto"/>
            <w:vAlign w:val="center"/>
          </w:tcPr>
          <w:p w14:paraId="67F00E01">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71" w:type="pct"/>
            <w:tcBorders>
              <w:top w:val="single" w:color="auto" w:sz="4" w:space="0"/>
              <w:left w:val="single" w:color="auto" w:sz="4" w:space="0"/>
              <w:bottom w:val="single" w:color="auto" w:sz="2" w:space="0"/>
              <w:right w:val="single" w:color="000000" w:sz="4" w:space="0"/>
            </w:tcBorders>
            <w:shd w:val="clear" w:color="auto" w:fill="auto"/>
            <w:vAlign w:val="center"/>
          </w:tcPr>
          <w:p w14:paraId="38B18A51">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9" w:type="pct"/>
            <w:tcBorders>
              <w:top w:val="single" w:color="auto" w:sz="4" w:space="0"/>
              <w:left w:val="single" w:color="auto" w:sz="4" w:space="0"/>
              <w:bottom w:val="single" w:color="auto" w:sz="2" w:space="0"/>
              <w:right w:val="single" w:color="000000" w:sz="4" w:space="0"/>
            </w:tcBorders>
            <w:shd w:val="clear" w:color="auto" w:fill="auto"/>
            <w:vAlign w:val="center"/>
          </w:tcPr>
          <w:p w14:paraId="39772510">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0BED8207">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tcBorders>
              <w:top w:val="single" w:color="auto" w:sz="4" w:space="0"/>
              <w:left w:val="single" w:color="auto" w:sz="4" w:space="0"/>
              <w:bottom w:val="single" w:color="auto" w:sz="2" w:space="0"/>
              <w:right w:val="single" w:color="000000" w:sz="4" w:space="0"/>
            </w:tcBorders>
            <w:shd w:val="clear" w:color="auto" w:fill="auto"/>
            <w:vAlign w:val="center"/>
          </w:tcPr>
          <w:p w14:paraId="0341AA4E">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gridSpan w:val="2"/>
            <w:vMerge w:val="continue"/>
            <w:tcBorders>
              <w:left w:val="single" w:color="auto" w:sz="4" w:space="0"/>
              <w:bottom w:val="single" w:color="auto" w:sz="2" w:space="0"/>
              <w:right w:val="single" w:color="000000" w:sz="4" w:space="0"/>
            </w:tcBorders>
            <w:shd w:val="clear" w:color="auto" w:fill="auto"/>
            <w:vAlign w:val="center"/>
          </w:tcPr>
          <w:p w14:paraId="0F45330C">
            <w:pPr>
              <w:widowControl/>
              <w:jc w:val="center"/>
              <w:textAlignment w:val="center"/>
              <w:rPr>
                <w:rFonts w:ascii="宋体" w:hAnsi="宋体" w:eastAsia="黑体" w:cs="黑体"/>
                <w:color w:val="000000"/>
                <w:kern w:val="0"/>
                <w:sz w:val="18"/>
                <w:szCs w:val="18"/>
              </w:rPr>
            </w:pPr>
          </w:p>
        </w:tc>
        <w:tc>
          <w:tcPr>
            <w:tcW w:w="234" w:type="pct"/>
            <w:vMerge w:val="continue"/>
            <w:tcBorders>
              <w:left w:val="single" w:color="auto" w:sz="4" w:space="0"/>
              <w:bottom w:val="single" w:color="auto" w:sz="2" w:space="0"/>
              <w:right w:val="single" w:color="000000" w:sz="4" w:space="0"/>
            </w:tcBorders>
            <w:shd w:val="clear" w:color="auto" w:fill="auto"/>
            <w:vAlign w:val="center"/>
          </w:tcPr>
          <w:p w14:paraId="7B64A5A6">
            <w:pPr>
              <w:widowControl/>
              <w:jc w:val="center"/>
              <w:textAlignment w:val="center"/>
              <w:rPr>
                <w:rFonts w:ascii="宋体" w:hAnsi="宋体" w:eastAsia="黑体" w:cs="黑体"/>
                <w:color w:val="000000"/>
                <w:kern w:val="0"/>
                <w:sz w:val="18"/>
                <w:szCs w:val="18"/>
              </w:rPr>
            </w:pPr>
          </w:p>
        </w:tc>
        <w:tc>
          <w:tcPr>
            <w:tcW w:w="195" w:type="pct"/>
            <w:vMerge w:val="continue"/>
            <w:tcBorders>
              <w:left w:val="single" w:color="auto" w:sz="4" w:space="0"/>
              <w:bottom w:val="single" w:color="auto" w:sz="2" w:space="0"/>
              <w:right w:val="single" w:color="000000" w:sz="4" w:space="0"/>
            </w:tcBorders>
            <w:shd w:val="clear" w:color="auto" w:fill="auto"/>
            <w:vAlign w:val="center"/>
          </w:tcPr>
          <w:p w14:paraId="0BF2F634">
            <w:pPr>
              <w:widowControl/>
              <w:jc w:val="center"/>
              <w:textAlignment w:val="center"/>
              <w:rPr>
                <w:rFonts w:ascii="宋体" w:hAnsi="宋体" w:eastAsia="黑体" w:cs="黑体"/>
                <w:color w:val="000000"/>
                <w:kern w:val="0"/>
                <w:sz w:val="18"/>
                <w:szCs w:val="18"/>
              </w:rPr>
            </w:pPr>
          </w:p>
        </w:tc>
      </w:tr>
      <w:tr w14:paraId="24EBFB0F">
        <w:tblPrEx>
          <w:tblCellMar>
            <w:top w:w="0" w:type="dxa"/>
            <w:left w:w="108" w:type="dxa"/>
            <w:bottom w:w="0" w:type="dxa"/>
            <w:right w:w="108" w:type="dxa"/>
          </w:tblCellMar>
        </w:tblPrEx>
        <w:trPr>
          <w:trHeight w:val="75" w:hRule="atLeast"/>
        </w:trPr>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75A98317">
            <w:pPr>
              <w:jc w:val="center"/>
              <w:rPr>
                <w:rFonts w:ascii="宋体" w:hAnsi="宋体" w:eastAsia="黑体" w:cs="黑体"/>
                <w:color w:val="000000"/>
                <w:sz w:val="18"/>
                <w:szCs w:val="18"/>
              </w:rPr>
            </w:pPr>
          </w:p>
        </w:tc>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6F9020B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56CE102">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36D923F3">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08450CA0">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759CBEFC">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62798A1A">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5E5086BA">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2DEABD1A">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24C745D">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29AFBBE">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37852256">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02FD4911">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78FEF908">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3E6177CD">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81AEB44">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618CEDFF">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6CFC925">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65655B74">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58CE43DF">
            <w:pPr>
              <w:jc w:val="center"/>
              <w:rPr>
                <w:rFonts w:ascii="宋体" w:hAnsi="宋体" w:eastAsia="黑体" w:cs="黑体"/>
                <w:color w:val="000000"/>
                <w:sz w:val="18"/>
                <w:szCs w:val="18"/>
              </w:rPr>
            </w:pPr>
          </w:p>
        </w:tc>
      </w:tr>
      <w:tr w14:paraId="570923A3">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E0DE791">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877CC80">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37BD25C">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7F25AA83">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64F31360">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3B9E9025">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09B00B8E">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72E07D50">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71D08252">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40AD666">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7244885">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4EB4A1F2">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005997C1">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7CE2D23B">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01C0B829">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13E690B">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627B5D13">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6C188FB">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791783C8">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4D14FC41">
            <w:pPr>
              <w:jc w:val="center"/>
              <w:rPr>
                <w:rFonts w:ascii="宋体" w:hAnsi="宋体" w:eastAsia="黑体" w:cs="黑体"/>
                <w:color w:val="000000"/>
                <w:sz w:val="18"/>
                <w:szCs w:val="18"/>
              </w:rPr>
            </w:pPr>
          </w:p>
        </w:tc>
      </w:tr>
      <w:tr w14:paraId="1C9FE3FB">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069A1A9">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8321BD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A963F20">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07CEB533">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1A99AEEE">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08114061">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2B1C872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4AE14E80">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44F16519">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2433240">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21CEB8C">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739F283B">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22230AD3">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3AE63484">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07FB6F03">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1631A46">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0FA3D1ED">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3BABD58">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36937812">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12BF79FD">
            <w:pPr>
              <w:jc w:val="center"/>
              <w:rPr>
                <w:rFonts w:ascii="宋体" w:hAnsi="宋体" w:eastAsia="黑体" w:cs="黑体"/>
                <w:color w:val="000000"/>
                <w:sz w:val="18"/>
                <w:szCs w:val="18"/>
              </w:rPr>
            </w:pPr>
          </w:p>
        </w:tc>
      </w:tr>
      <w:tr w14:paraId="58D0F0EC">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57C75D6">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01F102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BBD41E0">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6BA529AC">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63EE32E">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29941C52">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645347C4">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7917EA2">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3AFC9645">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5DE3C96">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3CA6205">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0E766D30">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4D906D8D">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1D6CECAE">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66F4E958">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F066C55">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7D951D4">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8FC891E">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9F5B898">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7B798D51">
            <w:pPr>
              <w:jc w:val="center"/>
              <w:rPr>
                <w:rFonts w:ascii="宋体" w:hAnsi="宋体" w:eastAsia="黑体" w:cs="黑体"/>
                <w:color w:val="000000"/>
                <w:sz w:val="18"/>
                <w:szCs w:val="18"/>
              </w:rPr>
            </w:pPr>
          </w:p>
        </w:tc>
      </w:tr>
      <w:tr w14:paraId="0659CD61">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C242CC2">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B9F1E97">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BC0DCD4">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4A9903F8">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126C6362">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0C7FA637">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5D1B603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4F21479D">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0FF1A597">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369421E">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C1560B9">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0E1C8DE8">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19FCA959">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7DB834E1">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1E28FEFB">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BD1364F">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023F263F">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D831013">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6D39CA56">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2B2F93F2">
            <w:pPr>
              <w:jc w:val="center"/>
              <w:rPr>
                <w:rFonts w:ascii="宋体" w:hAnsi="宋体" w:eastAsia="黑体" w:cs="黑体"/>
                <w:color w:val="000000"/>
                <w:sz w:val="18"/>
                <w:szCs w:val="18"/>
              </w:rPr>
            </w:pPr>
          </w:p>
        </w:tc>
      </w:tr>
      <w:tr w14:paraId="5852CC9C">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091B566">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32546ED">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AFA23FA">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480421E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2AC4749D">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2E9461DC">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8EA2C05">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5DE59595">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06EB0571">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A644116">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8F403ED">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59DAE46D">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50D580DA">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5226F9CF">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19DE4ECC">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2E04C52">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FCA41D3">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883181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D315304">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18F9FA86">
            <w:pPr>
              <w:jc w:val="center"/>
              <w:rPr>
                <w:rFonts w:ascii="宋体" w:hAnsi="宋体" w:eastAsia="黑体" w:cs="黑体"/>
                <w:color w:val="000000"/>
                <w:sz w:val="18"/>
                <w:szCs w:val="18"/>
              </w:rPr>
            </w:pPr>
          </w:p>
        </w:tc>
      </w:tr>
      <w:tr w14:paraId="6ADB3B5B">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374BE52">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351A93C">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9218890">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3AD8FF42">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524B93E8">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31A20FE2">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286F69AC">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0CAD147">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60792125">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0FEF781">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D4E0232">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54AD8941">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7CDF24F1">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5991D299">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0317F9DC">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6A6F36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6A4710C0">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7ED6AB6">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6355A649">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02D6F18E">
            <w:pPr>
              <w:jc w:val="center"/>
              <w:rPr>
                <w:rFonts w:ascii="宋体" w:hAnsi="宋体" w:eastAsia="黑体" w:cs="黑体"/>
                <w:color w:val="000000"/>
                <w:sz w:val="18"/>
                <w:szCs w:val="18"/>
              </w:rPr>
            </w:pPr>
          </w:p>
        </w:tc>
      </w:tr>
      <w:tr w14:paraId="7251FEE3">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750F502">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B85AC84">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E56C9FA">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64A3A8C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72D4D722">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5AE81218">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2EF24CE2">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7F7A26CF">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56A22758">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61C4CC4">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D54EE64">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38B4154E">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5C0F41AF">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3C0B6824">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7D1A0288">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2D6EEE3">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88ED210">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6B592B7">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68942FAA">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4FE388A5">
            <w:pPr>
              <w:jc w:val="center"/>
              <w:rPr>
                <w:rFonts w:ascii="宋体" w:hAnsi="宋体" w:eastAsia="黑体" w:cs="黑体"/>
                <w:color w:val="000000"/>
                <w:sz w:val="18"/>
                <w:szCs w:val="18"/>
              </w:rPr>
            </w:pPr>
          </w:p>
        </w:tc>
      </w:tr>
      <w:tr w14:paraId="6A2CD58C">
        <w:tblPrEx>
          <w:tblCellMar>
            <w:top w:w="0" w:type="dxa"/>
            <w:left w:w="108" w:type="dxa"/>
            <w:bottom w:w="0" w:type="dxa"/>
            <w:right w:w="108" w:type="dxa"/>
          </w:tblCellMar>
        </w:tblPrEx>
        <w:trPr>
          <w:trHeight w:val="75" w:hRule="atLeast"/>
        </w:trPr>
        <w:tc>
          <w:tcPr>
            <w:tcW w:w="1666" w:type="pct"/>
            <w:gridSpan w:val="11"/>
            <w:tcBorders>
              <w:top w:val="single" w:color="000000" w:sz="4" w:space="0"/>
              <w:left w:val="single" w:color="auto" w:sz="4" w:space="0"/>
              <w:bottom w:val="single" w:color="000000" w:sz="4" w:space="0"/>
              <w:right w:val="single" w:color="000000" w:sz="4" w:space="0"/>
            </w:tcBorders>
            <w:shd w:val="clear" w:color="auto" w:fill="auto"/>
            <w:vAlign w:val="center"/>
          </w:tcPr>
          <w:p w14:paraId="50E10F31">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数据采集人员：</w:t>
            </w:r>
          </w:p>
        </w:tc>
        <w:tc>
          <w:tcPr>
            <w:tcW w:w="1644"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7ADFA077">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审核人员：</w:t>
            </w:r>
          </w:p>
        </w:tc>
        <w:tc>
          <w:tcPr>
            <w:tcW w:w="1688"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1D6FC1A8">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审批人员：</w:t>
            </w:r>
          </w:p>
        </w:tc>
      </w:tr>
    </w:tbl>
    <w:p w14:paraId="76AB233D">
      <w:pPr>
        <w:rPr>
          <w:rFonts w:ascii="宋体" w:hAnsi="宋体"/>
        </w:rPr>
      </w:pPr>
      <w:r>
        <w:rPr>
          <w:rFonts w:hint="eastAsia" w:ascii="宋体" w:hAnsi="宋体"/>
        </w:rPr>
        <w:br w:type="page"/>
      </w:r>
    </w:p>
    <w:p w14:paraId="47408A5D">
      <w:pPr>
        <w:pStyle w:val="108"/>
        <w:numPr>
          <w:ilvl w:val="1"/>
          <w:numId w:val="0"/>
        </w:numPr>
        <w:spacing w:before="157" w:after="157"/>
        <w:rPr>
          <w:rFonts w:ascii="宋体" w:hAnsi="宋体"/>
        </w:rPr>
      </w:pPr>
      <w:r>
        <w:rPr>
          <w:rFonts w:hint="eastAsia" w:ascii="宋体" w:hAnsi="宋体"/>
        </w:rPr>
        <w:t>表G.7六氟化硫检测报警仪数据采集记录模板</w:t>
      </w:r>
    </w:p>
    <w:tbl>
      <w:tblPr>
        <w:tblStyle w:val="25"/>
        <w:tblW w:w="4997" w:type="pct"/>
        <w:tblInd w:w="0" w:type="dxa"/>
        <w:tblLayout w:type="fixed"/>
        <w:tblCellMar>
          <w:top w:w="0" w:type="dxa"/>
          <w:left w:w="108" w:type="dxa"/>
          <w:bottom w:w="0" w:type="dxa"/>
          <w:right w:w="108" w:type="dxa"/>
        </w:tblCellMar>
      </w:tblPr>
      <w:tblGrid>
        <w:gridCol w:w="574"/>
        <w:gridCol w:w="117"/>
        <w:gridCol w:w="494"/>
        <w:gridCol w:w="197"/>
        <w:gridCol w:w="485"/>
        <w:gridCol w:w="78"/>
        <w:gridCol w:w="608"/>
        <w:gridCol w:w="719"/>
        <w:gridCol w:w="771"/>
        <w:gridCol w:w="366"/>
        <w:gridCol w:w="214"/>
        <w:gridCol w:w="128"/>
        <w:gridCol w:w="716"/>
        <w:gridCol w:w="757"/>
        <w:gridCol w:w="83"/>
        <w:gridCol w:w="638"/>
        <w:gridCol w:w="510"/>
        <w:gridCol w:w="227"/>
        <w:gridCol w:w="780"/>
        <w:gridCol w:w="721"/>
        <w:gridCol w:w="752"/>
        <w:gridCol w:w="719"/>
        <w:gridCol w:w="377"/>
        <w:gridCol w:w="341"/>
        <w:gridCol w:w="649"/>
        <w:gridCol w:w="527"/>
        <w:gridCol w:w="122"/>
        <w:gridCol w:w="649"/>
        <w:gridCol w:w="552"/>
      </w:tblGrid>
      <w:tr w14:paraId="03E223C9">
        <w:tblPrEx>
          <w:tblCellMar>
            <w:top w:w="0" w:type="dxa"/>
            <w:left w:w="108" w:type="dxa"/>
            <w:bottom w:w="0" w:type="dxa"/>
            <w:right w:w="108" w:type="dxa"/>
          </w:tblCellMar>
        </w:tblPrEx>
        <w:trPr>
          <w:trHeight w:val="520" w:hRule="atLeast"/>
        </w:trPr>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4E326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检验设备</w:t>
            </w: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FBF04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657A8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名称</w:t>
            </w: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15ECF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A974A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CDAAAB">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不确定度/准确度等级/最大允许误差</w:t>
            </w: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F8CE9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有效期至</w:t>
            </w: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AAB59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溯源机构</w:t>
            </w: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2BD563">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证书编号</w:t>
            </w: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4AEDB6">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作业者或承包者</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4F111E">
            <w:pPr>
              <w:widowControl/>
              <w:jc w:val="center"/>
              <w:textAlignment w:val="center"/>
              <w:rPr>
                <w:rFonts w:ascii="宋体" w:hAnsi="宋体" w:eastAsia="宋体" w:cs="宋体"/>
                <w:color w:val="000000"/>
                <w:kern w:val="0"/>
                <w:sz w:val="18"/>
                <w:szCs w:val="18"/>
              </w:rPr>
            </w:pPr>
          </w:p>
        </w:tc>
      </w:tr>
      <w:tr w14:paraId="11516B1A">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19405A">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26B6D6">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FC7919">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43AC398">
            <w:pPr>
              <w:jc w:val="center"/>
              <w:rPr>
                <w:rFonts w:ascii="宋体" w:hAnsi="宋体" w:eastAsia="宋体" w:cs="宋体"/>
                <w:color w:val="FF0000"/>
                <w:sz w:val="16"/>
                <w:szCs w:val="16"/>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0F8B3">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12E30E1">
            <w:pPr>
              <w:jc w:val="center"/>
              <w:rPr>
                <w:rFonts w:ascii="宋体" w:hAnsi="宋体" w:eastAsia="宋体" w:cs="宋体"/>
                <w:i/>
                <w:iCs/>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CFC222">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263BAB">
            <w:pPr>
              <w:jc w:val="center"/>
              <w:rPr>
                <w:rFonts w:ascii="宋体" w:hAnsi="宋体" w:eastAsia="宋体" w:cs="宋体"/>
                <w:color w:val="FF0000"/>
                <w:sz w:val="18"/>
                <w:szCs w:val="18"/>
              </w:rPr>
            </w:pP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A3DAAE">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B4ADD4">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所属设施</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358E68">
            <w:pPr>
              <w:widowControl/>
              <w:jc w:val="center"/>
              <w:textAlignment w:val="center"/>
              <w:rPr>
                <w:rFonts w:ascii="宋体" w:hAnsi="宋体" w:eastAsia="宋体" w:cs="宋体"/>
                <w:color w:val="000000"/>
                <w:kern w:val="0"/>
                <w:sz w:val="18"/>
                <w:szCs w:val="18"/>
              </w:rPr>
            </w:pPr>
          </w:p>
        </w:tc>
      </w:tr>
      <w:tr w14:paraId="48C5E2FF">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6C5DBD">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DDC86">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856D70">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E102B6">
            <w:pPr>
              <w:jc w:val="center"/>
              <w:rPr>
                <w:rFonts w:ascii="宋体" w:hAnsi="宋体" w:eastAsia="宋体" w:cs="宋体"/>
                <w:color w:val="FF0000"/>
                <w:sz w:val="18"/>
                <w:szCs w:val="18"/>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9ABDA3">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9266EF">
            <w:pPr>
              <w:jc w:val="center"/>
              <w:rPr>
                <w:rFonts w:ascii="宋体" w:hAnsi="宋体" w:eastAsia="宋体" w:cs="宋体"/>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FA3251">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750688">
            <w:pPr>
              <w:jc w:val="center"/>
              <w:rPr>
                <w:rFonts w:ascii="宋体" w:hAnsi="宋体" w:eastAsia="宋体" w:cs="宋体"/>
                <w:color w:val="FF0000"/>
                <w:sz w:val="18"/>
                <w:szCs w:val="18"/>
              </w:rPr>
            </w:pPr>
          </w:p>
        </w:tc>
        <w:tc>
          <w:tcPr>
            <w:tcW w:w="6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F42713">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B955427">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被检设备名称</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C0A2323">
            <w:pPr>
              <w:widowControl/>
              <w:jc w:val="center"/>
              <w:textAlignment w:val="center"/>
              <w:rPr>
                <w:rFonts w:ascii="宋体" w:hAnsi="宋体" w:eastAsia="宋体" w:cs="宋体"/>
                <w:color w:val="000000"/>
                <w:kern w:val="0"/>
                <w:sz w:val="18"/>
                <w:szCs w:val="18"/>
              </w:rPr>
            </w:pPr>
          </w:p>
        </w:tc>
      </w:tr>
      <w:tr w14:paraId="2A8AA2DE">
        <w:tblPrEx>
          <w:tblCellMar>
            <w:top w:w="0" w:type="dxa"/>
            <w:left w:w="108" w:type="dxa"/>
            <w:bottom w:w="0" w:type="dxa"/>
            <w:right w:w="108" w:type="dxa"/>
          </w:tblCellMar>
        </w:tblPrEx>
        <w:trPr>
          <w:trHeight w:val="400" w:hRule="atLeast"/>
        </w:trPr>
        <w:tc>
          <w:tcPr>
            <w:tcW w:w="5000" w:type="pct"/>
            <w:gridSpan w:val="29"/>
            <w:tcBorders>
              <w:top w:val="single" w:color="000000" w:sz="4" w:space="0"/>
              <w:left w:val="single" w:color="000000" w:sz="4" w:space="0"/>
              <w:bottom w:val="single" w:color="000000" w:sz="4" w:space="0"/>
              <w:right w:val="single" w:color="000000" w:sz="4" w:space="0"/>
            </w:tcBorders>
            <w:shd w:val="clear" w:color="auto" w:fill="auto"/>
            <w:vAlign w:val="center"/>
          </w:tcPr>
          <w:p w14:paraId="171B7559">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检测检验依据</w:t>
            </w:r>
          </w:p>
        </w:tc>
      </w:tr>
      <w:tr w14:paraId="794FB0AB">
        <w:tblPrEx>
          <w:tblCellMar>
            <w:top w:w="0" w:type="dxa"/>
            <w:left w:w="108" w:type="dxa"/>
            <w:bottom w:w="0" w:type="dxa"/>
            <w:right w:w="108" w:type="dxa"/>
          </w:tblCellMar>
        </w:tblPrEx>
        <w:trPr>
          <w:trHeight w:val="400" w:hRule="atLeast"/>
        </w:trPr>
        <w:tc>
          <w:tcPr>
            <w:tcW w:w="5000" w:type="pct"/>
            <w:gridSpan w:val="29"/>
            <w:tcBorders>
              <w:top w:val="single" w:color="000000" w:sz="4" w:space="0"/>
              <w:left w:val="single" w:color="000000" w:sz="4" w:space="0"/>
              <w:bottom w:val="single" w:color="000000" w:sz="4" w:space="0"/>
              <w:right w:val="single" w:color="000000" w:sz="4" w:space="0"/>
            </w:tcBorders>
            <w:shd w:val="clear" w:color="auto" w:fill="auto"/>
            <w:vAlign w:val="center"/>
          </w:tcPr>
          <w:p w14:paraId="43073E51">
            <w:pPr>
              <w:widowControl/>
              <w:jc w:val="center"/>
              <w:textAlignment w:val="center"/>
              <w:rPr>
                <w:rFonts w:ascii="宋体" w:hAnsi="宋体" w:eastAsia="黑体" w:cs="黑体"/>
                <w:color w:val="000000"/>
                <w:kern w:val="0"/>
                <w:sz w:val="18"/>
                <w:szCs w:val="18"/>
              </w:rPr>
            </w:pPr>
          </w:p>
        </w:tc>
      </w:tr>
      <w:tr w14:paraId="5E447903">
        <w:tblPrEx>
          <w:tblCellMar>
            <w:top w:w="0" w:type="dxa"/>
            <w:left w:w="108" w:type="dxa"/>
            <w:bottom w:w="0" w:type="dxa"/>
            <w:right w:w="108" w:type="dxa"/>
          </w:tblCellMar>
        </w:tblPrEx>
        <w:trPr>
          <w:trHeight w:val="315" w:hRule="atLeast"/>
        </w:trPr>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7D2D3FC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18603A1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制造厂商</w:t>
            </w:r>
          </w:p>
        </w:tc>
        <w:tc>
          <w:tcPr>
            <w:tcW w:w="203" w:type="pct"/>
            <w:gridSpan w:val="2"/>
            <w:vMerge w:val="restart"/>
            <w:tcBorders>
              <w:top w:val="single" w:color="000000" w:sz="4" w:space="0"/>
              <w:left w:val="single" w:color="auto" w:sz="4" w:space="0"/>
              <w:right w:val="single" w:color="000000" w:sz="4" w:space="0"/>
            </w:tcBorders>
            <w:shd w:val="clear" w:color="auto" w:fill="auto"/>
            <w:vAlign w:val="center"/>
          </w:tcPr>
          <w:p w14:paraId="0B3B10E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型号</w:t>
            </w:r>
          </w:p>
        </w:tc>
        <w:tc>
          <w:tcPr>
            <w:tcW w:w="219" w:type="pct"/>
            <w:vMerge w:val="restart"/>
            <w:tcBorders>
              <w:top w:val="single" w:color="000000" w:sz="4" w:space="0"/>
              <w:left w:val="single" w:color="auto" w:sz="4" w:space="0"/>
              <w:right w:val="single" w:color="000000" w:sz="4" w:space="0"/>
            </w:tcBorders>
            <w:shd w:val="clear" w:color="auto" w:fill="auto"/>
            <w:vAlign w:val="center"/>
          </w:tcPr>
          <w:p w14:paraId="4A18CB8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16D1F50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位号/位置</w:t>
            </w:r>
          </w:p>
        </w:tc>
        <w:tc>
          <w:tcPr>
            <w:tcW w:w="278" w:type="pct"/>
            <w:tcBorders>
              <w:top w:val="single" w:color="000000" w:sz="4" w:space="0"/>
              <w:left w:val="single" w:color="auto" w:sz="4" w:space="0"/>
              <w:bottom w:val="single" w:color="auto" w:sz="4" w:space="0"/>
              <w:right w:val="single" w:color="000000" w:sz="4" w:space="0"/>
            </w:tcBorders>
            <w:shd w:val="clear" w:color="auto" w:fill="auto"/>
            <w:vAlign w:val="center"/>
          </w:tcPr>
          <w:p w14:paraId="25B5433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32DC05F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报警值</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4ABCDEB3">
            <w:pPr>
              <w:jc w:val="center"/>
              <w:rPr>
                <w:rFonts w:ascii="宋体" w:hAnsi="宋体" w:eastAsia="黑体" w:cs="黑体"/>
                <w:color w:val="000000"/>
                <w:sz w:val="18"/>
                <w:szCs w:val="18"/>
              </w:rPr>
            </w:pPr>
            <w:r>
              <w:rPr>
                <w:rFonts w:hint="eastAsia" w:ascii="宋体" w:hAnsi="宋体" w:eastAsia="黑体" w:cs="黑体"/>
                <w:color w:val="000000"/>
                <w:sz w:val="18"/>
                <w:szCs w:val="18"/>
              </w:rPr>
              <w:t>外观检查</w:t>
            </w:r>
          </w:p>
        </w:tc>
        <w:tc>
          <w:tcPr>
            <w:tcW w:w="273" w:type="pct"/>
            <w:tcBorders>
              <w:top w:val="single" w:color="000000" w:sz="4" w:space="0"/>
              <w:left w:val="single" w:color="auto" w:sz="4" w:space="0"/>
              <w:bottom w:val="single" w:color="auto" w:sz="4" w:space="0"/>
              <w:right w:val="single" w:color="000000" w:sz="4" w:space="0"/>
            </w:tcBorders>
            <w:shd w:val="clear" w:color="auto" w:fill="auto"/>
            <w:vAlign w:val="center"/>
          </w:tcPr>
          <w:p w14:paraId="67B61EA3">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标准气浓度</w:t>
            </w:r>
          </w:p>
        </w:tc>
        <w:tc>
          <w:tcPr>
            <w:tcW w:w="260"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5558B9C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示值1</w:t>
            </w:r>
          </w:p>
        </w:tc>
        <w:tc>
          <w:tcPr>
            <w:tcW w:w="266"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5679AE0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示值2</w:t>
            </w:r>
          </w:p>
        </w:tc>
        <w:tc>
          <w:tcPr>
            <w:tcW w:w="281" w:type="pct"/>
            <w:tcBorders>
              <w:top w:val="single" w:color="000000" w:sz="4" w:space="0"/>
              <w:left w:val="single" w:color="auto" w:sz="4" w:space="0"/>
              <w:bottom w:val="single" w:color="auto" w:sz="4" w:space="0"/>
              <w:right w:val="single" w:color="000000" w:sz="4" w:space="0"/>
            </w:tcBorders>
            <w:shd w:val="clear" w:color="auto" w:fill="auto"/>
            <w:vAlign w:val="center"/>
          </w:tcPr>
          <w:p w14:paraId="604361F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示值3</w:t>
            </w:r>
          </w:p>
        </w:tc>
        <w:tc>
          <w:tcPr>
            <w:tcW w:w="254" w:type="pct"/>
            <w:tcBorders>
              <w:top w:val="single" w:color="000000" w:sz="4" w:space="0"/>
              <w:left w:val="single" w:color="auto" w:sz="4" w:space="0"/>
              <w:bottom w:val="single" w:color="auto" w:sz="4" w:space="0"/>
              <w:right w:val="single" w:color="000000" w:sz="4" w:space="0"/>
            </w:tcBorders>
            <w:shd w:val="clear" w:color="auto" w:fill="auto"/>
            <w:vAlign w:val="center"/>
          </w:tcPr>
          <w:p w14:paraId="27F9155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示值误差</w:t>
            </w:r>
          </w:p>
        </w:tc>
        <w:tc>
          <w:tcPr>
            <w:tcW w:w="271" w:type="pct"/>
            <w:tcBorders>
              <w:top w:val="single" w:color="000000" w:sz="4" w:space="0"/>
              <w:left w:val="single" w:color="auto" w:sz="4" w:space="0"/>
              <w:bottom w:val="single" w:color="auto" w:sz="4" w:space="0"/>
              <w:right w:val="single" w:color="000000" w:sz="4" w:space="0"/>
            </w:tcBorders>
            <w:shd w:val="clear" w:color="auto" w:fill="auto"/>
            <w:vAlign w:val="center"/>
          </w:tcPr>
          <w:p w14:paraId="40E198E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时间1</w:t>
            </w:r>
          </w:p>
        </w:tc>
        <w:tc>
          <w:tcPr>
            <w:tcW w:w="259" w:type="pct"/>
            <w:tcBorders>
              <w:top w:val="single" w:color="000000" w:sz="4" w:space="0"/>
              <w:left w:val="single" w:color="auto" w:sz="4" w:space="0"/>
              <w:bottom w:val="single" w:color="auto" w:sz="4" w:space="0"/>
              <w:right w:val="single" w:color="000000" w:sz="4" w:space="0"/>
            </w:tcBorders>
            <w:shd w:val="clear" w:color="auto" w:fill="auto"/>
            <w:vAlign w:val="center"/>
          </w:tcPr>
          <w:p w14:paraId="356633F0">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时间2</w:t>
            </w:r>
          </w:p>
        </w:tc>
        <w:tc>
          <w:tcPr>
            <w:tcW w:w="259"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738A61A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时间3</w:t>
            </w:r>
          </w:p>
        </w:tc>
        <w:tc>
          <w:tcPr>
            <w:tcW w:w="234" w:type="pct"/>
            <w:tcBorders>
              <w:top w:val="single" w:color="000000" w:sz="4" w:space="0"/>
              <w:left w:val="single" w:color="auto" w:sz="4" w:space="0"/>
              <w:bottom w:val="single" w:color="auto" w:sz="4" w:space="0"/>
              <w:right w:val="single" w:color="000000" w:sz="4" w:space="0"/>
            </w:tcBorders>
            <w:shd w:val="clear" w:color="auto" w:fill="auto"/>
            <w:vAlign w:val="center"/>
          </w:tcPr>
          <w:p w14:paraId="1F7946B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响应时间</w:t>
            </w:r>
          </w:p>
        </w:tc>
        <w:tc>
          <w:tcPr>
            <w:tcW w:w="234" w:type="pct"/>
            <w:gridSpan w:val="2"/>
            <w:vMerge w:val="restart"/>
            <w:tcBorders>
              <w:top w:val="single" w:color="000000" w:sz="4" w:space="0"/>
              <w:left w:val="single" w:color="auto" w:sz="4" w:space="0"/>
              <w:right w:val="single" w:color="000000" w:sz="4" w:space="0"/>
            </w:tcBorders>
            <w:shd w:val="clear" w:color="auto" w:fill="auto"/>
            <w:vAlign w:val="center"/>
          </w:tcPr>
          <w:p w14:paraId="5BA5703E">
            <w:pPr>
              <w:jc w:val="center"/>
              <w:rPr>
                <w:rFonts w:ascii="宋体" w:hAnsi="宋体" w:eastAsia="黑体" w:cs="黑体"/>
                <w:color w:val="000000"/>
                <w:sz w:val="18"/>
                <w:szCs w:val="18"/>
              </w:rPr>
            </w:pPr>
            <w:r>
              <w:rPr>
                <w:rFonts w:hint="eastAsia" w:ascii="宋体" w:hAnsi="宋体" w:eastAsia="黑体" w:cs="黑体"/>
                <w:color w:val="000000"/>
                <w:sz w:val="18"/>
                <w:szCs w:val="18"/>
              </w:rPr>
              <w:t>报警功能</w:t>
            </w:r>
          </w:p>
        </w:tc>
        <w:tc>
          <w:tcPr>
            <w:tcW w:w="234" w:type="pct"/>
            <w:vMerge w:val="restart"/>
            <w:tcBorders>
              <w:top w:val="single" w:color="000000" w:sz="4" w:space="0"/>
              <w:left w:val="single" w:color="auto" w:sz="4" w:space="0"/>
              <w:right w:val="single" w:color="000000" w:sz="4" w:space="0"/>
            </w:tcBorders>
            <w:shd w:val="clear" w:color="auto" w:fill="auto"/>
            <w:vAlign w:val="center"/>
          </w:tcPr>
          <w:p w14:paraId="15E38AF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采集日期</w:t>
            </w:r>
          </w:p>
        </w:tc>
        <w:tc>
          <w:tcPr>
            <w:tcW w:w="195" w:type="pct"/>
            <w:vMerge w:val="restart"/>
            <w:tcBorders>
              <w:top w:val="single" w:color="000000" w:sz="4" w:space="0"/>
              <w:left w:val="single" w:color="auto" w:sz="4" w:space="0"/>
              <w:right w:val="single" w:color="000000" w:sz="4" w:space="0"/>
            </w:tcBorders>
            <w:shd w:val="clear" w:color="auto" w:fill="auto"/>
            <w:vAlign w:val="center"/>
          </w:tcPr>
          <w:p w14:paraId="4FAD07D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备注</w:t>
            </w:r>
          </w:p>
        </w:tc>
      </w:tr>
      <w:tr w14:paraId="24AA2417">
        <w:tblPrEx>
          <w:tblCellMar>
            <w:top w:w="0" w:type="dxa"/>
            <w:left w:w="108" w:type="dxa"/>
            <w:bottom w:w="0" w:type="dxa"/>
            <w:right w:w="108" w:type="dxa"/>
          </w:tblCellMar>
        </w:tblPrEx>
        <w:trPr>
          <w:trHeight w:val="315" w:hRule="atLeast"/>
        </w:trPr>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47E2DB9E">
            <w:pPr>
              <w:widowControl/>
              <w:jc w:val="center"/>
              <w:textAlignment w:val="center"/>
              <w:rPr>
                <w:rFonts w:ascii="宋体" w:hAnsi="宋体"/>
              </w:rPr>
            </w:pPr>
          </w:p>
        </w:tc>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1B640109">
            <w:pPr>
              <w:widowControl/>
              <w:jc w:val="center"/>
              <w:textAlignment w:val="center"/>
              <w:rPr>
                <w:rFonts w:ascii="宋体" w:hAnsi="宋体"/>
              </w:rPr>
            </w:pPr>
          </w:p>
        </w:tc>
        <w:tc>
          <w:tcPr>
            <w:tcW w:w="203" w:type="pct"/>
            <w:gridSpan w:val="2"/>
            <w:vMerge w:val="continue"/>
            <w:tcBorders>
              <w:left w:val="single" w:color="auto" w:sz="4" w:space="0"/>
              <w:bottom w:val="single" w:color="auto" w:sz="2" w:space="0"/>
              <w:right w:val="single" w:color="000000" w:sz="4" w:space="0"/>
            </w:tcBorders>
            <w:shd w:val="clear" w:color="auto" w:fill="auto"/>
            <w:vAlign w:val="center"/>
          </w:tcPr>
          <w:p w14:paraId="1CB9E111">
            <w:pPr>
              <w:widowControl/>
              <w:jc w:val="center"/>
              <w:textAlignment w:val="center"/>
              <w:rPr>
                <w:rFonts w:ascii="宋体" w:hAnsi="宋体"/>
              </w:rPr>
            </w:pPr>
          </w:p>
        </w:tc>
        <w:tc>
          <w:tcPr>
            <w:tcW w:w="219" w:type="pct"/>
            <w:vMerge w:val="continue"/>
            <w:tcBorders>
              <w:left w:val="single" w:color="auto" w:sz="4" w:space="0"/>
              <w:bottom w:val="single" w:color="auto" w:sz="2" w:space="0"/>
              <w:right w:val="single" w:color="000000" w:sz="4" w:space="0"/>
            </w:tcBorders>
            <w:shd w:val="clear" w:color="auto" w:fill="auto"/>
            <w:vAlign w:val="center"/>
          </w:tcPr>
          <w:p w14:paraId="7C229AC1">
            <w:pPr>
              <w:widowControl/>
              <w:jc w:val="center"/>
              <w:textAlignment w:val="center"/>
              <w:rPr>
                <w:rFonts w:ascii="宋体" w:hAnsi="宋体"/>
              </w:rPr>
            </w:pP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143459C3">
            <w:pPr>
              <w:widowControl/>
              <w:jc w:val="center"/>
              <w:textAlignment w:val="center"/>
              <w:rPr>
                <w:rFonts w:ascii="宋体" w:hAnsi="宋体"/>
              </w:rPr>
            </w:pPr>
          </w:p>
        </w:tc>
        <w:tc>
          <w:tcPr>
            <w:tcW w:w="278" w:type="pct"/>
            <w:tcBorders>
              <w:top w:val="single" w:color="auto" w:sz="4" w:space="0"/>
              <w:left w:val="single" w:color="auto" w:sz="4" w:space="0"/>
              <w:bottom w:val="single" w:color="auto" w:sz="2" w:space="0"/>
              <w:right w:val="single" w:color="000000" w:sz="4" w:space="0"/>
            </w:tcBorders>
            <w:shd w:val="clear" w:color="auto" w:fill="auto"/>
            <w:vAlign w:val="center"/>
          </w:tcPr>
          <w:p w14:paraId="476DB766">
            <w:pPr>
              <w:widowControl/>
              <w:jc w:val="center"/>
              <w:textAlignment w:val="center"/>
              <w:rPr>
                <w:rFonts w:ascii="宋体" w:hAnsi="宋体"/>
              </w:rPr>
            </w:pPr>
            <w:r>
              <w:rPr>
                <w:rFonts w:ascii="宋体" w:hAnsi="宋体" w:eastAsia="宋体" w:cs="Times New Roman"/>
                <w:color w:val="000000"/>
                <w:kern w:val="0"/>
                <w:sz w:val="18"/>
                <w:szCs w:val="18"/>
              </w:rPr>
              <w:t>μmol/mol</w:t>
            </w: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11AEF443">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10B8F10F">
            <w:pPr>
              <w:widowControl/>
              <w:jc w:val="center"/>
              <w:textAlignment w:val="center"/>
              <w:rPr>
                <w:rFonts w:ascii="宋体" w:hAnsi="宋体" w:eastAsia="黑体" w:cs="黑体"/>
                <w:color w:val="000000"/>
                <w:kern w:val="0"/>
                <w:sz w:val="18"/>
                <w:szCs w:val="18"/>
              </w:rPr>
            </w:pPr>
          </w:p>
        </w:tc>
        <w:tc>
          <w:tcPr>
            <w:tcW w:w="273" w:type="pct"/>
            <w:tcBorders>
              <w:top w:val="single" w:color="auto" w:sz="4" w:space="0"/>
              <w:left w:val="single" w:color="auto" w:sz="4" w:space="0"/>
              <w:bottom w:val="single" w:color="auto" w:sz="2" w:space="0"/>
              <w:right w:val="single" w:color="000000" w:sz="4" w:space="0"/>
            </w:tcBorders>
            <w:shd w:val="clear" w:color="auto" w:fill="auto"/>
            <w:vAlign w:val="center"/>
          </w:tcPr>
          <w:p w14:paraId="5610B7FD">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60"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1696FD2A">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66"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5670400D">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81" w:type="pct"/>
            <w:tcBorders>
              <w:top w:val="single" w:color="auto" w:sz="4" w:space="0"/>
              <w:left w:val="single" w:color="auto" w:sz="4" w:space="0"/>
              <w:bottom w:val="single" w:color="auto" w:sz="2" w:space="0"/>
              <w:right w:val="single" w:color="000000" w:sz="4" w:space="0"/>
            </w:tcBorders>
            <w:shd w:val="clear" w:color="auto" w:fill="auto"/>
            <w:vAlign w:val="center"/>
          </w:tcPr>
          <w:p w14:paraId="354BC6AB">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54" w:type="pct"/>
            <w:tcBorders>
              <w:top w:val="single" w:color="auto" w:sz="4" w:space="0"/>
              <w:left w:val="single" w:color="auto" w:sz="4" w:space="0"/>
              <w:bottom w:val="single" w:color="auto" w:sz="2" w:space="0"/>
              <w:right w:val="single" w:color="000000" w:sz="4" w:space="0"/>
            </w:tcBorders>
            <w:shd w:val="clear" w:color="auto" w:fill="auto"/>
            <w:vAlign w:val="center"/>
          </w:tcPr>
          <w:p w14:paraId="4A12511A">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μmol/mol</w:t>
            </w:r>
          </w:p>
        </w:tc>
        <w:tc>
          <w:tcPr>
            <w:tcW w:w="271" w:type="pct"/>
            <w:tcBorders>
              <w:top w:val="single" w:color="auto" w:sz="4" w:space="0"/>
              <w:left w:val="single" w:color="auto" w:sz="4" w:space="0"/>
              <w:bottom w:val="single" w:color="auto" w:sz="2" w:space="0"/>
              <w:right w:val="single" w:color="000000" w:sz="4" w:space="0"/>
            </w:tcBorders>
            <w:shd w:val="clear" w:color="auto" w:fill="auto"/>
            <w:vAlign w:val="center"/>
          </w:tcPr>
          <w:p w14:paraId="077D03FB">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9" w:type="pct"/>
            <w:tcBorders>
              <w:top w:val="single" w:color="auto" w:sz="4" w:space="0"/>
              <w:left w:val="single" w:color="auto" w:sz="4" w:space="0"/>
              <w:bottom w:val="single" w:color="auto" w:sz="2" w:space="0"/>
              <w:right w:val="single" w:color="000000" w:sz="4" w:space="0"/>
            </w:tcBorders>
            <w:shd w:val="clear" w:color="auto" w:fill="auto"/>
            <w:vAlign w:val="center"/>
          </w:tcPr>
          <w:p w14:paraId="5677AF42">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1D0EC12C">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tcBorders>
              <w:top w:val="single" w:color="auto" w:sz="4" w:space="0"/>
              <w:left w:val="single" w:color="auto" w:sz="4" w:space="0"/>
              <w:bottom w:val="single" w:color="auto" w:sz="2" w:space="0"/>
              <w:right w:val="single" w:color="000000" w:sz="4" w:space="0"/>
            </w:tcBorders>
            <w:shd w:val="clear" w:color="auto" w:fill="auto"/>
            <w:vAlign w:val="center"/>
          </w:tcPr>
          <w:p w14:paraId="3733DE49">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gridSpan w:val="2"/>
            <w:vMerge w:val="continue"/>
            <w:tcBorders>
              <w:left w:val="single" w:color="auto" w:sz="4" w:space="0"/>
              <w:bottom w:val="single" w:color="auto" w:sz="2" w:space="0"/>
              <w:right w:val="single" w:color="000000" w:sz="4" w:space="0"/>
            </w:tcBorders>
            <w:shd w:val="clear" w:color="auto" w:fill="auto"/>
            <w:vAlign w:val="center"/>
          </w:tcPr>
          <w:p w14:paraId="3D121748">
            <w:pPr>
              <w:widowControl/>
              <w:jc w:val="center"/>
              <w:textAlignment w:val="center"/>
              <w:rPr>
                <w:rFonts w:ascii="宋体" w:hAnsi="宋体" w:eastAsia="黑体" w:cs="黑体"/>
                <w:color w:val="000000"/>
                <w:kern w:val="0"/>
                <w:sz w:val="18"/>
                <w:szCs w:val="18"/>
              </w:rPr>
            </w:pPr>
          </w:p>
        </w:tc>
        <w:tc>
          <w:tcPr>
            <w:tcW w:w="234" w:type="pct"/>
            <w:vMerge w:val="continue"/>
            <w:tcBorders>
              <w:left w:val="single" w:color="auto" w:sz="4" w:space="0"/>
              <w:bottom w:val="single" w:color="auto" w:sz="2" w:space="0"/>
              <w:right w:val="single" w:color="000000" w:sz="4" w:space="0"/>
            </w:tcBorders>
            <w:shd w:val="clear" w:color="auto" w:fill="auto"/>
            <w:vAlign w:val="center"/>
          </w:tcPr>
          <w:p w14:paraId="3D941765">
            <w:pPr>
              <w:widowControl/>
              <w:jc w:val="center"/>
              <w:textAlignment w:val="center"/>
              <w:rPr>
                <w:rFonts w:ascii="宋体" w:hAnsi="宋体" w:eastAsia="黑体" w:cs="黑体"/>
                <w:color w:val="000000"/>
                <w:kern w:val="0"/>
                <w:sz w:val="18"/>
                <w:szCs w:val="18"/>
              </w:rPr>
            </w:pPr>
          </w:p>
        </w:tc>
        <w:tc>
          <w:tcPr>
            <w:tcW w:w="195" w:type="pct"/>
            <w:vMerge w:val="continue"/>
            <w:tcBorders>
              <w:left w:val="single" w:color="auto" w:sz="4" w:space="0"/>
              <w:bottom w:val="single" w:color="auto" w:sz="2" w:space="0"/>
              <w:right w:val="single" w:color="000000" w:sz="4" w:space="0"/>
            </w:tcBorders>
            <w:shd w:val="clear" w:color="auto" w:fill="auto"/>
            <w:vAlign w:val="center"/>
          </w:tcPr>
          <w:p w14:paraId="3C08EB3D">
            <w:pPr>
              <w:widowControl/>
              <w:jc w:val="center"/>
              <w:textAlignment w:val="center"/>
              <w:rPr>
                <w:rFonts w:ascii="宋体" w:hAnsi="宋体" w:eastAsia="黑体" w:cs="黑体"/>
                <w:color w:val="000000"/>
                <w:kern w:val="0"/>
                <w:sz w:val="18"/>
                <w:szCs w:val="18"/>
              </w:rPr>
            </w:pPr>
          </w:p>
        </w:tc>
      </w:tr>
      <w:tr w14:paraId="5AE3E05B">
        <w:tblPrEx>
          <w:tblCellMar>
            <w:top w:w="0" w:type="dxa"/>
            <w:left w:w="108" w:type="dxa"/>
            <w:bottom w:w="0" w:type="dxa"/>
            <w:right w:w="108" w:type="dxa"/>
          </w:tblCellMar>
        </w:tblPrEx>
        <w:trPr>
          <w:trHeight w:val="75" w:hRule="atLeast"/>
        </w:trPr>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526CF5D6">
            <w:pPr>
              <w:jc w:val="center"/>
              <w:rPr>
                <w:rFonts w:ascii="宋体" w:hAnsi="宋体" w:eastAsia="黑体" w:cs="黑体"/>
                <w:color w:val="000000"/>
                <w:sz w:val="18"/>
                <w:szCs w:val="18"/>
              </w:rPr>
            </w:pPr>
          </w:p>
        </w:tc>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37189486">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3EB0FFD">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2C58E4A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05430592">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4F4D9DDD">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1ED253F6">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145DE686">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4CC3B6F9">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C000B33">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617F376">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54B0D8D4">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364EA39F">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382E12C4">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0662093C">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C308538">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37D92C1A">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2BEA88E">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2EFCACF7">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56DC562D">
            <w:pPr>
              <w:jc w:val="center"/>
              <w:rPr>
                <w:rFonts w:ascii="宋体" w:hAnsi="宋体" w:eastAsia="黑体" w:cs="黑体"/>
                <w:color w:val="000000"/>
                <w:sz w:val="18"/>
                <w:szCs w:val="18"/>
              </w:rPr>
            </w:pPr>
          </w:p>
        </w:tc>
      </w:tr>
      <w:tr w14:paraId="589F9AE6">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1ED26D2">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3AE5C15">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0DD31B7">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70EB6DDF">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07B65CB5">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6EE0E673">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58FDE648">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61B2CC2D">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7167C4F8">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C6D2D30">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80091AF">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4B215C8A">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7BB29DD6">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7416DF02">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119B46AB">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14978AA">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25F6F81D">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7A63A75">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661014FA">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3ECFF482">
            <w:pPr>
              <w:jc w:val="center"/>
              <w:rPr>
                <w:rFonts w:ascii="宋体" w:hAnsi="宋体" w:eastAsia="黑体" w:cs="黑体"/>
                <w:color w:val="000000"/>
                <w:sz w:val="18"/>
                <w:szCs w:val="18"/>
              </w:rPr>
            </w:pPr>
          </w:p>
        </w:tc>
      </w:tr>
      <w:tr w14:paraId="020D69C1">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5E2B8799">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281EEF2">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C6D40E1">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0D7D4BD3">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605F7EEC">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4D671101">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30DD4B90">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37CACA4C">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29DF2D42">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4D59DC0">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F873FBA">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auto" w:sz="2" w:space="0"/>
              <w:right w:val="single" w:color="000000" w:sz="4" w:space="0"/>
            </w:tcBorders>
            <w:shd w:val="clear" w:color="auto" w:fill="auto"/>
            <w:vAlign w:val="center"/>
          </w:tcPr>
          <w:p w14:paraId="1EE0F2F1">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auto" w:sz="2" w:space="0"/>
              <w:right w:val="single" w:color="000000" w:sz="4" w:space="0"/>
            </w:tcBorders>
            <w:shd w:val="clear" w:color="auto" w:fill="auto"/>
            <w:vAlign w:val="center"/>
          </w:tcPr>
          <w:p w14:paraId="3653A3BC">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auto" w:sz="2" w:space="0"/>
              <w:right w:val="single" w:color="000000" w:sz="4" w:space="0"/>
            </w:tcBorders>
            <w:shd w:val="clear" w:color="auto" w:fill="auto"/>
            <w:vAlign w:val="center"/>
          </w:tcPr>
          <w:p w14:paraId="02A196EA">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auto" w:sz="2" w:space="0"/>
              <w:right w:val="single" w:color="000000" w:sz="4" w:space="0"/>
            </w:tcBorders>
            <w:shd w:val="clear" w:color="auto" w:fill="auto"/>
            <w:vAlign w:val="center"/>
          </w:tcPr>
          <w:p w14:paraId="1A05A5EA">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3B55F2E">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6A4CBC68">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0E2BAA4">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0A6CFE52">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13C2D194">
            <w:pPr>
              <w:jc w:val="center"/>
              <w:rPr>
                <w:rFonts w:ascii="宋体" w:hAnsi="宋体" w:eastAsia="黑体" w:cs="黑体"/>
                <w:color w:val="000000"/>
                <w:sz w:val="18"/>
                <w:szCs w:val="18"/>
              </w:rPr>
            </w:pPr>
          </w:p>
        </w:tc>
      </w:tr>
      <w:tr w14:paraId="479EEB55">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B17AFA4">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1E5C8F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52C8057">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5DB49875">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61C08BE4">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462964D2">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701CCD8D">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430B3F6C">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449A275A">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393B723">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D0FEC13">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6CFA26FD">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56029969">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06ADC89A">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79378D63">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408562A">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778EB19E">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4509C9B">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BE6B4A2">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29DCF6F2">
            <w:pPr>
              <w:jc w:val="center"/>
              <w:rPr>
                <w:rFonts w:ascii="宋体" w:hAnsi="宋体" w:eastAsia="黑体" w:cs="黑体"/>
                <w:color w:val="000000"/>
                <w:sz w:val="18"/>
                <w:szCs w:val="18"/>
              </w:rPr>
            </w:pPr>
          </w:p>
        </w:tc>
      </w:tr>
      <w:tr w14:paraId="3C50EBA7">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C862BF4">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A1595C6">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1D5D40E">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348AFC3D">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12455A4">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421564F0">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0B199E67">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4B1F2BF2">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652A47B0">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46A8F32">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4653BE6">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089C7BEB">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4724EE8E">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3B100D27">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6C220AD2">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982E128">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36ACA2A5">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C62F40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7B030B4">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3F7AD6A8">
            <w:pPr>
              <w:jc w:val="center"/>
              <w:rPr>
                <w:rFonts w:ascii="宋体" w:hAnsi="宋体" w:eastAsia="黑体" w:cs="黑体"/>
                <w:color w:val="000000"/>
                <w:sz w:val="18"/>
                <w:szCs w:val="18"/>
              </w:rPr>
            </w:pPr>
          </w:p>
        </w:tc>
      </w:tr>
      <w:tr w14:paraId="58683C61">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C585B96">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2021C8B">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E7EC742">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5EADF5F0">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413F814E">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3C484E30">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0719E4ED">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682E11D">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09E9F8EA">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F50A95B">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59AAF0E">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245E4ED5">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5BFD8CC8">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58BCF109">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09BD088E">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761A33B">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0C74A78E">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A67B989">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1C01C011">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11105EE1">
            <w:pPr>
              <w:jc w:val="center"/>
              <w:rPr>
                <w:rFonts w:ascii="宋体" w:hAnsi="宋体" w:eastAsia="黑体" w:cs="黑体"/>
                <w:color w:val="000000"/>
                <w:sz w:val="18"/>
                <w:szCs w:val="18"/>
              </w:rPr>
            </w:pPr>
          </w:p>
        </w:tc>
      </w:tr>
      <w:tr w14:paraId="54918B97">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A03D34B">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4009BDD">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EB85FDF">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4DA9A6A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67179153">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61F00585">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6054C6D">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08F368D">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7C043FE1">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7CC008A">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26AF133">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142F298C">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12D23237">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13F51A90">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094D0D9E">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811A2C5">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44A9A6A">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08BAA2A">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05D71F0F">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2C0BED01">
            <w:pPr>
              <w:jc w:val="center"/>
              <w:rPr>
                <w:rFonts w:ascii="宋体" w:hAnsi="宋体" w:eastAsia="黑体" w:cs="黑体"/>
                <w:color w:val="000000"/>
                <w:sz w:val="18"/>
                <w:szCs w:val="18"/>
              </w:rPr>
            </w:pPr>
          </w:p>
        </w:tc>
      </w:tr>
      <w:tr w14:paraId="0826E433">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846A170">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8BD15A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3411F63">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370178A6">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1D19A8E1">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658D93E6">
            <w:pPr>
              <w:jc w:val="center"/>
              <w:rPr>
                <w:rFonts w:ascii="宋体" w:hAnsi="宋体" w:eastAsia="黑体" w:cs="黑体"/>
                <w:color w:val="000000"/>
                <w:sz w:val="18"/>
                <w:szCs w:val="18"/>
              </w:rPr>
            </w:pPr>
          </w:p>
        </w:tc>
        <w:tc>
          <w:tcPr>
            <w:tcW w:w="255"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3A103CDF">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2F90986">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4E09A22E">
            <w:pPr>
              <w:jc w:val="center"/>
              <w:rPr>
                <w:rFonts w:ascii="宋体" w:hAnsi="宋体" w:eastAsia="黑体" w:cs="黑体"/>
                <w:color w:val="000000"/>
                <w:sz w:val="18"/>
                <w:szCs w:val="18"/>
              </w:rPr>
            </w:pPr>
          </w:p>
        </w:tc>
        <w:tc>
          <w:tcPr>
            <w:tcW w:w="26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7D502E0">
            <w:pPr>
              <w:jc w:val="center"/>
              <w:rPr>
                <w:rFonts w:ascii="宋体" w:hAnsi="宋体" w:eastAsia="黑体" w:cs="黑体"/>
                <w:color w:val="000000"/>
                <w:sz w:val="18"/>
                <w:szCs w:val="18"/>
              </w:rPr>
            </w:pPr>
          </w:p>
        </w:tc>
        <w:tc>
          <w:tcPr>
            <w:tcW w:w="266"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F846918">
            <w:pPr>
              <w:jc w:val="center"/>
              <w:rPr>
                <w:rFonts w:ascii="宋体" w:hAnsi="宋体" w:eastAsia="黑体" w:cs="黑体"/>
                <w:color w:val="000000"/>
                <w:sz w:val="18"/>
                <w:szCs w:val="18"/>
              </w:rPr>
            </w:pPr>
          </w:p>
        </w:tc>
        <w:tc>
          <w:tcPr>
            <w:tcW w:w="281" w:type="pct"/>
            <w:tcBorders>
              <w:top w:val="single" w:color="000000" w:sz="4" w:space="0"/>
              <w:left w:val="single" w:color="auto" w:sz="4" w:space="0"/>
              <w:bottom w:val="single" w:color="000000" w:sz="4" w:space="0"/>
              <w:right w:val="single" w:color="000000" w:sz="4" w:space="0"/>
            </w:tcBorders>
            <w:shd w:val="clear" w:color="auto" w:fill="auto"/>
            <w:vAlign w:val="center"/>
          </w:tcPr>
          <w:p w14:paraId="5A700CC6">
            <w:pPr>
              <w:jc w:val="center"/>
              <w:rPr>
                <w:rFonts w:ascii="宋体" w:hAnsi="宋体" w:eastAsia="黑体" w:cs="黑体"/>
                <w:color w:val="000000"/>
                <w:sz w:val="18"/>
                <w:szCs w:val="18"/>
              </w:rPr>
            </w:pPr>
          </w:p>
        </w:tc>
        <w:tc>
          <w:tcPr>
            <w:tcW w:w="254" w:type="pct"/>
            <w:tcBorders>
              <w:top w:val="single" w:color="000000" w:sz="4" w:space="0"/>
              <w:left w:val="single" w:color="auto" w:sz="4" w:space="0"/>
              <w:bottom w:val="single" w:color="000000" w:sz="4" w:space="0"/>
              <w:right w:val="single" w:color="000000" w:sz="4" w:space="0"/>
            </w:tcBorders>
            <w:shd w:val="clear" w:color="auto" w:fill="auto"/>
            <w:vAlign w:val="center"/>
          </w:tcPr>
          <w:p w14:paraId="056A8E25">
            <w:pPr>
              <w:jc w:val="center"/>
              <w:rPr>
                <w:rFonts w:ascii="宋体" w:hAnsi="宋体" w:eastAsia="黑体" w:cs="黑体"/>
                <w:color w:val="000000"/>
                <w:sz w:val="18"/>
                <w:szCs w:val="18"/>
              </w:rPr>
            </w:pPr>
          </w:p>
        </w:tc>
        <w:tc>
          <w:tcPr>
            <w:tcW w:w="271" w:type="pct"/>
            <w:tcBorders>
              <w:top w:val="single" w:color="000000" w:sz="4" w:space="0"/>
              <w:left w:val="single" w:color="auto" w:sz="4" w:space="0"/>
              <w:bottom w:val="single" w:color="000000" w:sz="4" w:space="0"/>
              <w:right w:val="single" w:color="000000" w:sz="4" w:space="0"/>
            </w:tcBorders>
            <w:shd w:val="clear" w:color="auto" w:fill="auto"/>
            <w:vAlign w:val="center"/>
          </w:tcPr>
          <w:p w14:paraId="01BF6E1B">
            <w:pPr>
              <w:jc w:val="center"/>
              <w:rPr>
                <w:rFonts w:ascii="宋体" w:hAnsi="宋体" w:eastAsia="黑体" w:cs="黑体"/>
                <w:color w:val="000000"/>
                <w:sz w:val="18"/>
                <w:szCs w:val="18"/>
              </w:rPr>
            </w:pPr>
          </w:p>
        </w:tc>
        <w:tc>
          <w:tcPr>
            <w:tcW w:w="259" w:type="pct"/>
            <w:tcBorders>
              <w:top w:val="single" w:color="000000" w:sz="4" w:space="0"/>
              <w:left w:val="single" w:color="auto" w:sz="4" w:space="0"/>
              <w:bottom w:val="single" w:color="000000" w:sz="4" w:space="0"/>
              <w:right w:val="single" w:color="000000" w:sz="4" w:space="0"/>
            </w:tcBorders>
            <w:shd w:val="clear" w:color="auto" w:fill="auto"/>
            <w:vAlign w:val="center"/>
          </w:tcPr>
          <w:p w14:paraId="61004828">
            <w:pPr>
              <w:jc w:val="center"/>
              <w:rPr>
                <w:rFonts w:ascii="宋体" w:hAnsi="宋体" w:eastAsia="黑体" w:cs="黑体"/>
                <w:color w:val="000000"/>
                <w:sz w:val="18"/>
                <w:szCs w:val="18"/>
              </w:rPr>
            </w:pPr>
          </w:p>
        </w:tc>
        <w:tc>
          <w:tcPr>
            <w:tcW w:w="25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66478E1">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0C45C2F4">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0104E89">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08D77757">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49F599E6">
            <w:pPr>
              <w:jc w:val="center"/>
              <w:rPr>
                <w:rFonts w:ascii="宋体" w:hAnsi="宋体" w:eastAsia="黑体" w:cs="黑体"/>
                <w:color w:val="000000"/>
                <w:sz w:val="18"/>
                <w:szCs w:val="18"/>
              </w:rPr>
            </w:pPr>
          </w:p>
        </w:tc>
      </w:tr>
      <w:tr w14:paraId="63CAD2DF">
        <w:tblPrEx>
          <w:tblCellMar>
            <w:top w:w="0" w:type="dxa"/>
            <w:left w:w="108" w:type="dxa"/>
            <w:bottom w:w="0" w:type="dxa"/>
            <w:right w:w="108" w:type="dxa"/>
          </w:tblCellMar>
        </w:tblPrEx>
        <w:trPr>
          <w:trHeight w:val="75" w:hRule="atLeast"/>
        </w:trPr>
        <w:tc>
          <w:tcPr>
            <w:tcW w:w="1666" w:type="pct"/>
            <w:gridSpan w:val="11"/>
            <w:tcBorders>
              <w:top w:val="single" w:color="000000" w:sz="4" w:space="0"/>
              <w:left w:val="single" w:color="auto" w:sz="4" w:space="0"/>
              <w:bottom w:val="single" w:color="000000" w:sz="4" w:space="0"/>
              <w:right w:val="single" w:color="000000" w:sz="4" w:space="0"/>
            </w:tcBorders>
            <w:shd w:val="clear" w:color="auto" w:fill="auto"/>
            <w:vAlign w:val="center"/>
          </w:tcPr>
          <w:p w14:paraId="443140BB">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数据采集人员：</w:t>
            </w:r>
          </w:p>
        </w:tc>
        <w:tc>
          <w:tcPr>
            <w:tcW w:w="1644"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31316A59">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审核人员：</w:t>
            </w:r>
          </w:p>
        </w:tc>
        <w:tc>
          <w:tcPr>
            <w:tcW w:w="1688"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69A278B9">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审批人员：</w:t>
            </w:r>
          </w:p>
        </w:tc>
      </w:tr>
    </w:tbl>
    <w:p w14:paraId="24D5348E">
      <w:pPr>
        <w:rPr>
          <w:rFonts w:ascii="宋体" w:hAnsi="宋体"/>
        </w:rPr>
      </w:pPr>
      <w:r>
        <w:rPr>
          <w:rFonts w:hint="eastAsia" w:ascii="宋体" w:hAnsi="宋体"/>
        </w:rPr>
        <w:br w:type="page"/>
      </w:r>
    </w:p>
    <w:p w14:paraId="5023CE6F">
      <w:pPr>
        <w:pStyle w:val="108"/>
        <w:numPr>
          <w:ilvl w:val="1"/>
          <w:numId w:val="0"/>
        </w:numPr>
        <w:spacing w:before="157" w:after="157"/>
        <w:rPr>
          <w:rFonts w:ascii="宋体" w:hAnsi="宋体"/>
        </w:rPr>
      </w:pPr>
      <w:r>
        <w:rPr>
          <w:rFonts w:hint="eastAsia" w:ascii="宋体" w:hAnsi="宋体"/>
        </w:rPr>
        <w:t>表G.8电化学氧测定仪数据采集记录模板</w:t>
      </w:r>
    </w:p>
    <w:tbl>
      <w:tblPr>
        <w:tblStyle w:val="25"/>
        <w:tblW w:w="4997" w:type="pct"/>
        <w:tblInd w:w="0" w:type="dxa"/>
        <w:tblLayout w:type="fixed"/>
        <w:tblCellMar>
          <w:top w:w="0" w:type="dxa"/>
          <w:left w:w="108" w:type="dxa"/>
          <w:bottom w:w="0" w:type="dxa"/>
          <w:right w:w="108" w:type="dxa"/>
        </w:tblCellMar>
      </w:tblPr>
      <w:tblGrid>
        <w:gridCol w:w="574"/>
        <w:gridCol w:w="117"/>
        <w:gridCol w:w="494"/>
        <w:gridCol w:w="197"/>
        <w:gridCol w:w="485"/>
        <w:gridCol w:w="78"/>
        <w:gridCol w:w="608"/>
        <w:gridCol w:w="719"/>
        <w:gridCol w:w="771"/>
        <w:gridCol w:w="366"/>
        <w:gridCol w:w="214"/>
        <w:gridCol w:w="219"/>
        <w:gridCol w:w="624"/>
        <w:gridCol w:w="757"/>
        <w:gridCol w:w="83"/>
        <w:gridCol w:w="719"/>
        <w:gridCol w:w="430"/>
        <w:gridCol w:w="319"/>
        <w:gridCol w:w="788"/>
        <w:gridCol w:w="610"/>
        <w:gridCol w:w="194"/>
        <w:gridCol w:w="669"/>
        <w:gridCol w:w="619"/>
        <w:gridCol w:w="366"/>
        <w:gridCol w:w="291"/>
        <w:gridCol w:w="707"/>
        <w:gridCol w:w="519"/>
        <w:gridCol w:w="130"/>
        <w:gridCol w:w="649"/>
        <w:gridCol w:w="555"/>
      </w:tblGrid>
      <w:tr w14:paraId="32182B58">
        <w:tblPrEx>
          <w:tblCellMar>
            <w:top w:w="0" w:type="dxa"/>
            <w:left w:w="108" w:type="dxa"/>
            <w:bottom w:w="0" w:type="dxa"/>
            <w:right w:w="108" w:type="dxa"/>
          </w:tblCellMar>
        </w:tblPrEx>
        <w:trPr>
          <w:trHeight w:val="520" w:hRule="atLeast"/>
        </w:trPr>
        <w:tc>
          <w:tcPr>
            <w:tcW w:w="2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1607E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检验设备</w:t>
            </w: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ABECC">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05EA43">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名称</w:t>
            </w: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BC8553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C9B31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AF1B9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不确定度/准确度等级/最大允许误差</w:t>
            </w: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97837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有效期至</w:t>
            </w: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831AFA">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溯源机构</w:t>
            </w: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E2AF967">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证书编号</w:t>
            </w: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54D31C">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作业者或承包者</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0B528D">
            <w:pPr>
              <w:widowControl/>
              <w:jc w:val="center"/>
              <w:textAlignment w:val="center"/>
              <w:rPr>
                <w:rFonts w:ascii="宋体" w:hAnsi="宋体" w:eastAsia="宋体" w:cs="宋体"/>
                <w:color w:val="000000"/>
                <w:kern w:val="0"/>
                <w:sz w:val="18"/>
                <w:szCs w:val="18"/>
              </w:rPr>
            </w:pPr>
          </w:p>
        </w:tc>
      </w:tr>
      <w:tr w14:paraId="07821923">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1B218">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89E16">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FA75E7">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124669">
            <w:pPr>
              <w:jc w:val="center"/>
              <w:rPr>
                <w:rFonts w:ascii="宋体" w:hAnsi="宋体" w:eastAsia="宋体" w:cs="宋体"/>
                <w:color w:val="FF0000"/>
                <w:sz w:val="16"/>
                <w:szCs w:val="16"/>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266FDB">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4C2C097">
            <w:pPr>
              <w:jc w:val="center"/>
              <w:rPr>
                <w:rFonts w:ascii="宋体" w:hAnsi="宋体" w:eastAsia="宋体" w:cs="宋体"/>
                <w:i/>
                <w:iCs/>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3531B">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828CF4">
            <w:pPr>
              <w:jc w:val="center"/>
              <w:rPr>
                <w:rFonts w:ascii="宋体" w:hAnsi="宋体" w:eastAsia="宋体" w:cs="宋体"/>
                <w:color w:val="FF0000"/>
                <w:sz w:val="18"/>
                <w:szCs w:val="18"/>
              </w:rPr>
            </w:pP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214E706">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1D32F02">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所属设施</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724EEF">
            <w:pPr>
              <w:widowControl/>
              <w:jc w:val="center"/>
              <w:textAlignment w:val="center"/>
              <w:rPr>
                <w:rFonts w:ascii="宋体" w:hAnsi="宋体" w:eastAsia="宋体" w:cs="宋体"/>
                <w:color w:val="000000"/>
                <w:kern w:val="0"/>
                <w:sz w:val="18"/>
                <w:szCs w:val="18"/>
              </w:rPr>
            </w:pPr>
          </w:p>
        </w:tc>
      </w:tr>
      <w:tr w14:paraId="3A2B170B">
        <w:tblPrEx>
          <w:tblCellMar>
            <w:top w:w="0" w:type="dxa"/>
            <w:left w:w="108" w:type="dxa"/>
            <w:bottom w:w="0" w:type="dxa"/>
            <w:right w:w="108" w:type="dxa"/>
          </w:tblCellMar>
        </w:tblPrEx>
        <w:trPr>
          <w:trHeight w:val="400" w:hRule="atLeast"/>
        </w:trPr>
        <w:tc>
          <w:tcPr>
            <w:tcW w:w="2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0C844">
            <w:pPr>
              <w:jc w:val="center"/>
              <w:rPr>
                <w:rFonts w:ascii="宋体" w:hAnsi="宋体" w:eastAsia="黑体" w:cs="黑体"/>
                <w:color w:val="000000"/>
                <w:sz w:val="18"/>
                <w:szCs w:val="18"/>
              </w:rPr>
            </w:pPr>
          </w:p>
        </w:tc>
        <w:tc>
          <w:tcPr>
            <w:tcW w:w="22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187483">
            <w:pPr>
              <w:jc w:val="center"/>
              <w:rPr>
                <w:rFonts w:ascii="宋体" w:hAnsi="宋体" w:eastAsia="宋体" w:cs="宋体"/>
                <w:color w:val="000000"/>
                <w:sz w:val="18"/>
                <w:szCs w:val="18"/>
              </w:rPr>
            </w:pPr>
          </w:p>
        </w:tc>
        <w:tc>
          <w:tcPr>
            <w:tcW w:w="24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1411F3">
            <w:pPr>
              <w:jc w:val="center"/>
              <w:rPr>
                <w:rFonts w:ascii="宋体" w:hAnsi="宋体" w:eastAsia="宋体" w:cs="宋体"/>
                <w:color w:val="FF0000"/>
                <w:sz w:val="18"/>
                <w:szCs w:val="18"/>
              </w:rPr>
            </w:pPr>
          </w:p>
        </w:tc>
        <w:tc>
          <w:tcPr>
            <w:tcW w:w="50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6E97F7">
            <w:pPr>
              <w:jc w:val="center"/>
              <w:rPr>
                <w:rFonts w:ascii="宋体" w:hAnsi="宋体" w:eastAsia="宋体" w:cs="宋体"/>
                <w:color w:val="FF0000"/>
                <w:sz w:val="18"/>
                <w:szCs w:val="18"/>
              </w:rPr>
            </w:pPr>
          </w:p>
        </w:tc>
        <w:tc>
          <w:tcPr>
            <w:tcW w:w="41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B3CF25">
            <w:pPr>
              <w:jc w:val="center"/>
              <w:rPr>
                <w:rFonts w:ascii="宋体" w:hAnsi="宋体" w:eastAsia="宋体" w:cs="宋体"/>
                <w:color w:val="FF0000"/>
                <w:sz w:val="18"/>
                <w:szCs w:val="18"/>
              </w:rPr>
            </w:pPr>
          </w:p>
        </w:tc>
        <w:tc>
          <w:tcPr>
            <w:tcW w:w="684"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9E0C67">
            <w:pPr>
              <w:jc w:val="center"/>
              <w:rPr>
                <w:rFonts w:ascii="宋体" w:hAnsi="宋体" w:eastAsia="宋体" w:cs="宋体"/>
                <w:color w:val="FF0000"/>
                <w:sz w:val="18"/>
                <w:szCs w:val="18"/>
              </w:rPr>
            </w:pPr>
          </w:p>
        </w:tc>
        <w:tc>
          <w:tcPr>
            <w:tcW w:w="41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E52BD5">
            <w:pPr>
              <w:jc w:val="center"/>
              <w:rPr>
                <w:rFonts w:ascii="宋体" w:hAnsi="宋体" w:eastAsia="宋体" w:cs="宋体"/>
                <w:color w:val="FF0000"/>
                <w:sz w:val="18"/>
                <w:szCs w:val="18"/>
              </w:rPr>
            </w:pPr>
          </w:p>
        </w:tc>
        <w:tc>
          <w:tcPr>
            <w:tcW w:w="61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6AF5E8">
            <w:pPr>
              <w:jc w:val="center"/>
              <w:rPr>
                <w:rFonts w:ascii="宋体" w:hAnsi="宋体" w:eastAsia="宋体" w:cs="宋体"/>
                <w:color w:val="FF0000"/>
                <w:sz w:val="18"/>
                <w:szCs w:val="18"/>
              </w:rPr>
            </w:pPr>
          </w:p>
        </w:tc>
        <w:tc>
          <w:tcPr>
            <w:tcW w:w="66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9791D3">
            <w:pPr>
              <w:jc w:val="center"/>
              <w:rPr>
                <w:rFonts w:ascii="宋体" w:hAnsi="宋体" w:eastAsia="宋体" w:cs="宋体"/>
                <w:color w:val="FF0000"/>
                <w:sz w:val="18"/>
                <w:szCs w:val="18"/>
              </w:rPr>
            </w:pPr>
          </w:p>
        </w:tc>
        <w:tc>
          <w:tcPr>
            <w:tcW w:w="54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36C8E14">
            <w:pPr>
              <w:widowControl/>
              <w:jc w:val="center"/>
              <w:textAlignment w:val="center"/>
              <w:rPr>
                <w:rFonts w:ascii="宋体" w:hAnsi="宋体" w:eastAsia="宋体" w:cs="宋体"/>
                <w:color w:val="000000"/>
                <w:sz w:val="18"/>
                <w:szCs w:val="18"/>
              </w:rPr>
            </w:pPr>
            <w:r>
              <w:rPr>
                <w:rFonts w:hint="eastAsia" w:ascii="宋体" w:hAnsi="宋体" w:eastAsia="黑体" w:cs="黑体"/>
                <w:color w:val="000000"/>
                <w:kern w:val="0"/>
                <w:sz w:val="18"/>
                <w:szCs w:val="18"/>
              </w:rPr>
              <w:t>被检设备名称</w:t>
            </w:r>
          </w:p>
        </w:tc>
        <w:tc>
          <w:tcPr>
            <w:tcW w:w="473"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35EED0">
            <w:pPr>
              <w:widowControl/>
              <w:jc w:val="center"/>
              <w:textAlignment w:val="center"/>
              <w:rPr>
                <w:rFonts w:ascii="宋体" w:hAnsi="宋体" w:eastAsia="宋体" w:cs="宋体"/>
                <w:color w:val="000000"/>
                <w:kern w:val="0"/>
                <w:sz w:val="18"/>
                <w:szCs w:val="18"/>
              </w:rPr>
            </w:pPr>
          </w:p>
        </w:tc>
      </w:tr>
      <w:tr w14:paraId="101E7124">
        <w:tblPrEx>
          <w:tblCellMar>
            <w:top w:w="0" w:type="dxa"/>
            <w:left w:w="108" w:type="dxa"/>
            <w:bottom w:w="0" w:type="dxa"/>
            <w:right w:w="108" w:type="dxa"/>
          </w:tblCellMar>
        </w:tblPrEx>
        <w:trPr>
          <w:trHeight w:val="400" w:hRule="atLeast"/>
        </w:trPr>
        <w:tc>
          <w:tcPr>
            <w:tcW w:w="5000" w:type="pct"/>
            <w:gridSpan w:val="30"/>
            <w:tcBorders>
              <w:top w:val="single" w:color="000000" w:sz="4" w:space="0"/>
              <w:left w:val="single" w:color="000000" w:sz="4" w:space="0"/>
              <w:bottom w:val="single" w:color="000000" w:sz="4" w:space="0"/>
              <w:right w:val="single" w:color="000000" w:sz="4" w:space="0"/>
            </w:tcBorders>
            <w:shd w:val="clear" w:color="auto" w:fill="auto"/>
            <w:vAlign w:val="center"/>
          </w:tcPr>
          <w:p w14:paraId="6F62D5A1">
            <w:pPr>
              <w:widowControl/>
              <w:jc w:val="center"/>
              <w:textAlignment w:val="center"/>
              <w:rPr>
                <w:rFonts w:ascii="宋体" w:hAnsi="宋体" w:eastAsia="黑体" w:cs="黑体"/>
                <w:color w:val="000000"/>
                <w:kern w:val="0"/>
                <w:sz w:val="18"/>
                <w:szCs w:val="18"/>
              </w:rPr>
            </w:pPr>
            <w:r>
              <w:rPr>
                <w:rFonts w:hint="eastAsia" w:ascii="宋体" w:hAnsi="宋体" w:eastAsia="黑体" w:cs="黑体"/>
                <w:color w:val="000000"/>
                <w:kern w:val="0"/>
                <w:sz w:val="18"/>
                <w:szCs w:val="18"/>
              </w:rPr>
              <w:t>检测检验依据</w:t>
            </w:r>
          </w:p>
        </w:tc>
      </w:tr>
      <w:tr w14:paraId="1D5846B6">
        <w:tblPrEx>
          <w:tblCellMar>
            <w:top w:w="0" w:type="dxa"/>
            <w:left w:w="108" w:type="dxa"/>
            <w:bottom w:w="0" w:type="dxa"/>
            <w:right w:w="108" w:type="dxa"/>
          </w:tblCellMar>
        </w:tblPrEx>
        <w:trPr>
          <w:trHeight w:val="400" w:hRule="atLeast"/>
        </w:trPr>
        <w:tc>
          <w:tcPr>
            <w:tcW w:w="5000" w:type="pct"/>
            <w:gridSpan w:val="30"/>
            <w:tcBorders>
              <w:top w:val="single" w:color="000000" w:sz="4" w:space="0"/>
              <w:left w:val="single" w:color="000000" w:sz="4" w:space="0"/>
              <w:bottom w:val="single" w:color="000000" w:sz="4" w:space="0"/>
              <w:right w:val="single" w:color="000000" w:sz="4" w:space="0"/>
            </w:tcBorders>
            <w:shd w:val="clear" w:color="auto" w:fill="auto"/>
            <w:vAlign w:val="center"/>
          </w:tcPr>
          <w:p w14:paraId="430380F3">
            <w:pPr>
              <w:widowControl/>
              <w:jc w:val="center"/>
              <w:textAlignment w:val="center"/>
              <w:rPr>
                <w:rFonts w:ascii="宋体" w:hAnsi="宋体" w:eastAsia="黑体" w:cs="黑体"/>
                <w:color w:val="000000"/>
                <w:kern w:val="0"/>
                <w:sz w:val="18"/>
                <w:szCs w:val="18"/>
              </w:rPr>
            </w:pPr>
          </w:p>
        </w:tc>
      </w:tr>
      <w:tr w14:paraId="68439205">
        <w:tblPrEx>
          <w:tblCellMar>
            <w:top w:w="0" w:type="dxa"/>
            <w:left w:w="108" w:type="dxa"/>
            <w:bottom w:w="0" w:type="dxa"/>
            <w:right w:w="108" w:type="dxa"/>
          </w:tblCellMar>
        </w:tblPrEx>
        <w:trPr>
          <w:trHeight w:val="315" w:hRule="atLeast"/>
        </w:trPr>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5EFF283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序号</w:t>
            </w:r>
          </w:p>
        </w:tc>
        <w:tc>
          <w:tcPr>
            <w:tcW w:w="249" w:type="pct"/>
            <w:gridSpan w:val="2"/>
            <w:vMerge w:val="restart"/>
            <w:tcBorders>
              <w:top w:val="single" w:color="000000" w:sz="4" w:space="0"/>
              <w:left w:val="single" w:color="auto" w:sz="4" w:space="0"/>
              <w:right w:val="single" w:color="000000" w:sz="4" w:space="0"/>
            </w:tcBorders>
            <w:shd w:val="clear" w:color="auto" w:fill="auto"/>
            <w:vAlign w:val="center"/>
          </w:tcPr>
          <w:p w14:paraId="667EEAF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制造厂商</w:t>
            </w:r>
          </w:p>
        </w:tc>
        <w:tc>
          <w:tcPr>
            <w:tcW w:w="203" w:type="pct"/>
            <w:gridSpan w:val="2"/>
            <w:vMerge w:val="restart"/>
            <w:tcBorders>
              <w:top w:val="single" w:color="000000" w:sz="4" w:space="0"/>
              <w:left w:val="single" w:color="auto" w:sz="4" w:space="0"/>
              <w:right w:val="single" w:color="000000" w:sz="4" w:space="0"/>
            </w:tcBorders>
            <w:shd w:val="clear" w:color="auto" w:fill="auto"/>
            <w:vAlign w:val="center"/>
          </w:tcPr>
          <w:p w14:paraId="2B025D2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型号</w:t>
            </w:r>
          </w:p>
        </w:tc>
        <w:tc>
          <w:tcPr>
            <w:tcW w:w="219" w:type="pct"/>
            <w:vMerge w:val="restart"/>
            <w:tcBorders>
              <w:top w:val="single" w:color="000000" w:sz="4" w:space="0"/>
              <w:left w:val="single" w:color="auto" w:sz="4" w:space="0"/>
              <w:right w:val="single" w:color="000000" w:sz="4" w:space="0"/>
            </w:tcBorders>
            <w:shd w:val="clear" w:color="auto" w:fill="auto"/>
            <w:vAlign w:val="center"/>
          </w:tcPr>
          <w:p w14:paraId="15C8840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出厂编号</w:t>
            </w:r>
          </w:p>
        </w:tc>
        <w:tc>
          <w:tcPr>
            <w:tcW w:w="258" w:type="pct"/>
            <w:vMerge w:val="restart"/>
            <w:tcBorders>
              <w:top w:val="single" w:color="000000" w:sz="4" w:space="0"/>
              <w:left w:val="single" w:color="auto" w:sz="4" w:space="0"/>
              <w:right w:val="single" w:color="000000" w:sz="4" w:space="0"/>
            </w:tcBorders>
            <w:shd w:val="clear" w:color="auto" w:fill="auto"/>
            <w:vAlign w:val="center"/>
          </w:tcPr>
          <w:p w14:paraId="1D73668E">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位号/位置</w:t>
            </w:r>
          </w:p>
        </w:tc>
        <w:tc>
          <w:tcPr>
            <w:tcW w:w="278" w:type="pct"/>
            <w:tcBorders>
              <w:top w:val="single" w:color="000000" w:sz="4" w:space="0"/>
              <w:left w:val="single" w:color="auto" w:sz="4" w:space="0"/>
              <w:bottom w:val="single" w:color="auto" w:sz="4" w:space="0"/>
              <w:right w:val="single" w:color="000000" w:sz="4" w:space="0"/>
            </w:tcBorders>
            <w:shd w:val="clear" w:color="auto" w:fill="auto"/>
            <w:vAlign w:val="center"/>
          </w:tcPr>
          <w:p w14:paraId="5C9EF106">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测量范围</w:t>
            </w: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474AE555">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报警值</w:t>
            </w:r>
          </w:p>
        </w:tc>
        <w:tc>
          <w:tcPr>
            <w:tcW w:w="225" w:type="pct"/>
            <w:vMerge w:val="restart"/>
            <w:tcBorders>
              <w:top w:val="single" w:color="000000" w:sz="4" w:space="0"/>
              <w:left w:val="single" w:color="auto" w:sz="4" w:space="0"/>
              <w:right w:val="single" w:color="000000" w:sz="4" w:space="0"/>
            </w:tcBorders>
            <w:shd w:val="clear" w:color="auto" w:fill="auto"/>
            <w:vAlign w:val="center"/>
          </w:tcPr>
          <w:p w14:paraId="19EA8944">
            <w:pPr>
              <w:jc w:val="center"/>
              <w:rPr>
                <w:rFonts w:ascii="宋体" w:hAnsi="宋体" w:eastAsia="黑体" w:cs="黑体"/>
                <w:color w:val="000000"/>
                <w:sz w:val="18"/>
                <w:szCs w:val="18"/>
              </w:rPr>
            </w:pPr>
            <w:r>
              <w:rPr>
                <w:rFonts w:hint="eastAsia" w:ascii="宋体" w:hAnsi="宋体" w:eastAsia="黑体" w:cs="黑体"/>
                <w:color w:val="000000"/>
                <w:sz w:val="18"/>
                <w:szCs w:val="18"/>
              </w:rPr>
              <w:t>外观检查</w:t>
            </w:r>
          </w:p>
        </w:tc>
        <w:tc>
          <w:tcPr>
            <w:tcW w:w="273" w:type="pct"/>
            <w:tcBorders>
              <w:top w:val="single" w:color="000000" w:sz="4" w:space="0"/>
              <w:left w:val="single" w:color="auto" w:sz="4" w:space="0"/>
              <w:bottom w:val="single" w:color="auto" w:sz="4" w:space="0"/>
              <w:right w:val="single" w:color="000000" w:sz="4" w:space="0"/>
            </w:tcBorders>
            <w:shd w:val="clear" w:color="auto" w:fill="auto"/>
            <w:vAlign w:val="center"/>
          </w:tcPr>
          <w:p w14:paraId="6286BC6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标准气浓度</w:t>
            </w:r>
          </w:p>
        </w:tc>
        <w:tc>
          <w:tcPr>
            <w:tcW w:w="289"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38C7458F">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示值1</w:t>
            </w:r>
          </w:p>
        </w:tc>
        <w:tc>
          <w:tcPr>
            <w:tcW w:w="270"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4EB567B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示值2</w:t>
            </w:r>
          </w:p>
        </w:tc>
        <w:tc>
          <w:tcPr>
            <w:tcW w:w="284" w:type="pct"/>
            <w:tcBorders>
              <w:top w:val="single" w:color="000000" w:sz="4" w:space="0"/>
              <w:left w:val="single" w:color="auto" w:sz="4" w:space="0"/>
              <w:bottom w:val="single" w:color="auto" w:sz="4" w:space="0"/>
              <w:right w:val="single" w:color="000000" w:sz="4" w:space="0"/>
            </w:tcBorders>
            <w:shd w:val="clear" w:color="auto" w:fill="auto"/>
            <w:vAlign w:val="center"/>
          </w:tcPr>
          <w:p w14:paraId="2BCA5691">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示值3</w:t>
            </w:r>
          </w:p>
        </w:tc>
        <w:tc>
          <w:tcPr>
            <w:tcW w:w="284"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068A19E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示值误差</w:t>
            </w:r>
          </w:p>
        </w:tc>
        <w:tc>
          <w:tcPr>
            <w:tcW w:w="241" w:type="pct"/>
            <w:tcBorders>
              <w:top w:val="single" w:color="000000" w:sz="4" w:space="0"/>
              <w:left w:val="single" w:color="auto" w:sz="4" w:space="0"/>
              <w:bottom w:val="single" w:color="auto" w:sz="4" w:space="0"/>
              <w:right w:val="single" w:color="000000" w:sz="4" w:space="0"/>
            </w:tcBorders>
            <w:shd w:val="clear" w:color="auto" w:fill="auto"/>
            <w:vAlign w:val="center"/>
          </w:tcPr>
          <w:p w14:paraId="1BF79817">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时间1</w:t>
            </w:r>
          </w:p>
        </w:tc>
        <w:tc>
          <w:tcPr>
            <w:tcW w:w="223" w:type="pct"/>
            <w:tcBorders>
              <w:top w:val="single" w:color="000000" w:sz="4" w:space="0"/>
              <w:left w:val="single" w:color="auto" w:sz="4" w:space="0"/>
              <w:bottom w:val="single" w:color="auto" w:sz="4" w:space="0"/>
              <w:right w:val="single" w:color="000000" w:sz="4" w:space="0"/>
            </w:tcBorders>
            <w:shd w:val="clear" w:color="auto" w:fill="auto"/>
            <w:vAlign w:val="center"/>
          </w:tcPr>
          <w:p w14:paraId="4E7638BD">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时间2</w:t>
            </w:r>
          </w:p>
        </w:tc>
        <w:tc>
          <w:tcPr>
            <w:tcW w:w="237" w:type="pct"/>
            <w:gridSpan w:val="2"/>
            <w:tcBorders>
              <w:top w:val="single" w:color="000000" w:sz="4" w:space="0"/>
              <w:left w:val="single" w:color="auto" w:sz="4" w:space="0"/>
              <w:bottom w:val="single" w:color="auto" w:sz="4" w:space="0"/>
              <w:right w:val="single" w:color="000000" w:sz="4" w:space="0"/>
            </w:tcBorders>
            <w:shd w:val="clear" w:color="auto" w:fill="auto"/>
            <w:vAlign w:val="center"/>
          </w:tcPr>
          <w:p w14:paraId="6DE57E82">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时间3</w:t>
            </w:r>
          </w:p>
        </w:tc>
        <w:tc>
          <w:tcPr>
            <w:tcW w:w="255" w:type="pct"/>
            <w:tcBorders>
              <w:top w:val="single" w:color="000000" w:sz="4" w:space="0"/>
              <w:left w:val="single" w:color="auto" w:sz="4" w:space="0"/>
              <w:bottom w:val="single" w:color="auto" w:sz="4" w:space="0"/>
              <w:right w:val="single" w:color="000000" w:sz="4" w:space="0"/>
            </w:tcBorders>
            <w:shd w:val="clear" w:color="auto" w:fill="auto"/>
            <w:vAlign w:val="center"/>
          </w:tcPr>
          <w:p w14:paraId="2A0940E4">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响应时间</w:t>
            </w:r>
          </w:p>
        </w:tc>
        <w:tc>
          <w:tcPr>
            <w:tcW w:w="234" w:type="pct"/>
            <w:gridSpan w:val="2"/>
            <w:vMerge w:val="restart"/>
            <w:tcBorders>
              <w:top w:val="single" w:color="000000" w:sz="4" w:space="0"/>
              <w:left w:val="single" w:color="auto" w:sz="4" w:space="0"/>
              <w:right w:val="single" w:color="000000" w:sz="4" w:space="0"/>
            </w:tcBorders>
            <w:shd w:val="clear" w:color="auto" w:fill="auto"/>
            <w:vAlign w:val="center"/>
          </w:tcPr>
          <w:p w14:paraId="352DCB79">
            <w:pPr>
              <w:jc w:val="center"/>
              <w:rPr>
                <w:rFonts w:ascii="宋体" w:hAnsi="宋体" w:eastAsia="黑体" w:cs="黑体"/>
                <w:color w:val="000000"/>
                <w:sz w:val="18"/>
                <w:szCs w:val="18"/>
              </w:rPr>
            </w:pPr>
            <w:r>
              <w:rPr>
                <w:rFonts w:hint="eastAsia" w:ascii="宋体" w:hAnsi="宋体" w:eastAsia="黑体" w:cs="黑体"/>
                <w:color w:val="000000"/>
                <w:sz w:val="18"/>
                <w:szCs w:val="18"/>
              </w:rPr>
              <w:t>报警功能</w:t>
            </w:r>
          </w:p>
        </w:tc>
        <w:tc>
          <w:tcPr>
            <w:tcW w:w="234" w:type="pct"/>
            <w:vMerge w:val="restart"/>
            <w:tcBorders>
              <w:top w:val="single" w:color="000000" w:sz="4" w:space="0"/>
              <w:left w:val="single" w:color="auto" w:sz="4" w:space="0"/>
              <w:right w:val="single" w:color="000000" w:sz="4" w:space="0"/>
            </w:tcBorders>
            <w:shd w:val="clear" w:color="auto" w:fill="auto"/>
            <w:vAlign w:val="center"/>
          </w:tcPr>
          <w:p w14:paraId="59B8CBB9">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采集日期</w:t>
            </w:r>
          </w:p>
        </w:tc>
        <w:tc>
          <w:tcPr>
            <w:tcW w:w="195" w:type="pct"/>
            <w:vMerge w:val="restart"/>
            <w:tcBorders>
              <w:top w:val="single" w:color="000000" w:sz="4" w:space="0"/>
              <w:left w:val="single" w:color="auto" w:sz="4" w:space="0"/>
              <w:right w:val="single" w:color="000000" w:sz="4" w:space="0"/>
            </w:tcBorders>
            <w:shd w:val="clear" w:color="auto" w:fill="auto"/>
            <w:vAlign w:val="center"/>
          </w:tcPr>
          <w:p w14:paraId="459FC4DB">
            <w:pPr>
              <w:widowControl/>
              <w:jc w:val="center"/>
              <w:textAlignment w:val="center"/>
              <w:rPr>
                <w:rFonts w:ascii="宋体" w:hAnsi="宋体" w:eastAsia="黑体" w:cs="黑体"/>
                <w:color w:val="000000"/>
                <w:sz w:val="18"/>
                <w:szCs w:val="18"/>
              </w:rPr>
            </w:pPr>
            <w:r>
              <w:rPr>
                <w:rFonts w:hint="eastAsia" w:ascii="宋体" w:hAnsi="宋体" w:eastAsia="黑体" w:cs="黑体"/>
                <w:color w:val="000000"/>
                <w:kern w:val="0"/>
                <w:sz w:val="18"/>
                <w:szCs w:val="18"/>
              </w:rPr>
              <w:t>备注</w:t>
            </w:r>
          </w:p>
        </w:tc>
      </w:tr>
      <w:tr w14:paraId="15505333">
        <w:tblPrEx>
          <w:tblCellMar>
            <w:top w:w="0" w:type="dxa"/>
            <w:left w:w="108" w:type="dxa"/>
            <w:bottom w:w="0" w:type="dxa"/>
            <w:right w:w="108" w:type="dxa"/>
          </w:tblCellMar>
        </w:tblPrEx>
        <w:trPr>
          <w:trHeight w:val="315" w:hRule="atLeast"/>
        </w:trPr>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4D9D9B46">
            <w:pPr>
              <w:widowControl/>
              <w:jc w:val="center"/>
              <w:textAlignment w:val="center"/>
              <w:rPr>
                <w:rFonts w:ascii="宋体" w:hAnsi="宋体"/>
              </w:rPr>
            </w:pPr>
          </w:p>
        </w:tc>
        <w:tc>
          <w:tcPr>
            <w:tcW w:w="249" w:type="pct"/>
            <w:gridSpan w:val="2"/>
            <w:vMerge w:val="continue"/>
            <w:tcBorders>
              <w:left w:val="single" w:color="auto" w:sz="4" w:space="0"/>
              <w:bottom w:val="single" w:color="auto" w:sz="4" w:space="0"/>
              <w:right w:val="single" w:color="000000" w:sz="4" w:space="0"/>
            </w:tcBorders>
            <w:shd w:val="clear" w:color="auto" w:fill="auto"/>
            <w:vAlign w:val="center"/>
          </w:tcPr>
          <w:p w14:paraId="4CADFDF1">
            <w:pPr>
              <w:widowControl/>
              <w:jc w:val="center"/>
              <w:textAlignment w:val="center"/>
              <w:rPr>
                <w:rFonts w:ascii="宋体" w:hAnsi="宋体"/>
              </w:rPr>
            </w:pPr>
          </w:p>
        </w:tc>
        <w:tc>
          <w:tcPr>
            <w:tcW w:w="203" w:type="pct"/>
            <w:gridSpan w:val="2"/>
            <w:vMerge w:val="continue"/>
            <w:tcBorders>
              <w:left w:val="single" w:color="auto" w:sz="4" w:space="0"/>
              <w:bottom w:val="single" w:color="auto" w:sz="2" w:space="0"/>
              <w:right w:val="single" w:color="000000" w:sz="4" w:space="0"/>
            </w:tcBorders>
            <w:shd w:val="clear" w:color="auto" w:fill="auto"/>
            <w:vAlign w:val="center"/>
          </w:tcPr>
          <w:p w14:paraId="36E34BED">
            <w:pPr>
              <w:widowControl/>
              <w:jc w:val="center"/>
              <w:textAlignment w:val="center"/>
              <w:rPr>
                <w:rFonts w:ascii="宋体" w:hAnsi="宋体"/>
              </w:rPr>
            </w:pPr>
          </w:p>
        </w:tc>
        <w:tc>
          <w:tcPr>
            <w:tcW w:w="219" w:type="pct"/>
            <w:vMerge w:val="continue"/>
            <w:tcBorders>
              <w:left w:val="single" w:color="auto" w:sz="4" w:space="0"/>
              <w:bottom w:val="single" w:color="auto" w:sz="2" w:space="0"/>
              <w:right w:val="single" w:color="000000" w:sz="4" w:space="0"/>
            </w:tcBorders>
            <w:shd w:val="clear" w:color="auto" w:fill="auto"/>
            <w:vAlign w:val="center"/>
          </w:tcPr>
          <w:p w14:paraId="4166E0ED">
            <w:pPr>
              <w:widowControl/>
              <w:jc w:val="center"/>
              <w:textAlignment w:val="center"/>
              <w:rPr>
                <w:rFonts w:ascii="宋体" w:hAnsi="宋体"/>
              </w:rPr>
            </w:pPr>
          </w:p>
        </w:tc>
        <w:tc>
          <w:tcPr>
            <w:tcW w:w="258" w:type="pct"/>
            <w:vMerge w:val="continue"/>
            <w:tcBorders>
              <w:left w:val="single" w:color="auto" w:sz="4" w:space="0"/>
              <w:bottom w:val="single" w:color="auto" w:sz="2" w:space="0"/>
              <w:right w:val="single" w:color="000000" w:sz="4" w:space="0"/>
            </w:tcBorders>
            <w:shd w:val="clear" w:color="auto" w:fill="auto"/>
            <w:vAlign w:val="center"/>
          </w:tcPr>
          <w:p w14:paraId="47058C3E">
            <w:pPr>
              <w:widowControl/>
              <w:jc w:val="center"/>
              <w:textAlignment w:val="center"/>
              <w:rPr>
                <w:rFonts w:ascii="宋体" w:hAnsi="宋体"/>
              </w:rPr>
            </w:pPr>
          </w:p>
        </w:tc>
        <w:tc>
          <w:tcPr>
            <w:tcW w:w="773" w:type="dxa"/>
            <w:tcBorders>
              <w:top w:val="single" w:color="auto" w:sz="4" w:space="0"/>
              <w:left w:val="single" w:color="auto" w:sz="4" w:space="0"/>
              <w:bottom w:val="single" w:color="auto" w:sz="2" w:space="0"/>
              <w:right w:val="single" w:color="000000" w:sz="4" w:space="0"/>
            </w:tcBorders>
            <w:shd w:val="clear" w:color="auto" w:fill="auto"/>
            <w:vAlign w:val="center"/>
          </w:tcPr>
          <w:p w14:paraId="1DA15156">
            <w:pPr>
              <w:widowControl/>
              <w:jc w:val="center"/>
              <w:textAlignment w:val="center"/>
              <w:rPr>
                <w:rFonts w:ascii="宋体" w:hAnsi="宋体"/>
              </w:rPr>
            </w:pPr>
            <w:r>
              <w:rPr>
                <w:rFonts w:ascii="宋体" w:hAnsi="宋体" w:eastAsia="宋体" w:cs="Times New Roman"/>
                <w:color w:val="000000"/>
                <w:kern w:val="0"/>
                <w:sz w:val="18"/>
                <w:szCs w:val="18"/>
              </w:rPr>
              <w:t>%mol/mol</w:t>
            </w:r>
          </w:p>
        </w:tc>
        <w:tc>
          <w:tcPr>
            <w:tcW w:w="800" w:type="dxa"/>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5F251E92">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%mol/mol</w:t>
            </w:r>
          </w:p>
        </w:tc>
        <w:tc>
          <w:tcPr>
            <w:tcW w:w="225" w:type="pct"/>
            <w:vMerge w:val="continue"/>
            <w:tcBorders>
              <w:left w:val="single" w:color="auto" w:sz="4" w:space="0"/>
              <w:bottom w:val="single" w:color="auto" w:sz="2" w:space="0"/>
              <w:right w:val="single" w:color="000000" w:sz="4" w:space="0"/>
            </w:tcBorders>
            <w:shd w:val="clear" w:color="auto" w:fill="auto"/>
            <w:vAlign w:val="center"/>
          </w:tcPr>
          <w:p w14:paraId="21F6BAA5">
            <w:pPr>
              <w:widowControl/>
              <w:jc w:val="center"/>
              <w:textAlignment w:val="center"/>
              <w:rPr>
                <w:rFonts w:ascii="宋体" w:hAnsi="宋体" w:eastAsia="黑体" w:cs="黑体"/>
                <w:color w:val="000000"/>
                <w:kern w:val="0"/>
                <w:sz w:val="18"/>
                <w:szCs w:val="18"/>
              </w:rPr>
            </w:pPr>
          </w:p>
        </w:tc>
        <w:tc>
          <w:tcPr>
            <w:tcW w:w="759" w:type="dxa"/>
            <w:tcBorders>
              <w:top w:val="single" w:color="auto" w:sz="4" w:space="0"/>
              <w:left w:val="single" w:color="auto" w:sz="4" w:space="0"/>
              <w:bottom w:val="single" w:color="auto" w:sz="2" w:space="0"/>
              <w:right w:val="single" w:color="000000" w:sz="4" w:space="0"/>
            </w:tcBorders>
            <w:shd w:val="clear" w:color="auto" w:fill="auto"/>
            <w:vAlign w:val="center"/>
          </w:tcPr>
          <w:p w14:paraId="53FC837A">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%VOL</w:t>
            </w:r>
          </w:p>
        </w:tc>
        <w:tc>
          <w:tcPr>
            <w:tcW w:w="804" w:type="dxa"/>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0545808F">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%VOL</w:t>
            </w:r>
          </w:p>
        </w:tc>
        <w:tc>
          <w:tcPr>
            <w:tcW w:w="750" w:type="dxa"/>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7CE7CEF1">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%VOL</w:t>
            </w:r>
          </w:p>
        </w:tc>
        <w:tc>
          <w:tcPr>
            <w:tcW w:w="790" w:type="dxa"/>
            <w:tcBorders>
              <w:top w:val="single" w:color="auto" w:sz="4" w:space="0"/>
              <w:left w:val="single" w:color="auto" w:sz="4" w:space="0"/>
              <w:bottom w:val="single" w:color="auto" w:sz="2" w:space="0"/>
              <w:right w:val="single" w:color="000000" w:sz="4" w:space="0"/>
            </w:tcBorders>
            <w:shd w:val="clear" w:color="auto" w:fill="auto"/>
            <w:vAlign w:val="center"/>
          </w:tcPr>
          <w:p w14:paraId="1F19973B">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%VOL</w:t>
            </w:r>
          </w:p>
        </w:tc>
        <w:tc>
          <w:tcPr>
            <w:tcW w:w="790" w:type="dxa"/>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35EBBE85">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%VOL</w:t>
            </w:r>
          </w:p>
        </w:tc>
        <w:tc>
          <w:tcPr>
            <w:tcW w:w="241" w:type="pct"/>
            <w:tcBorders>
              <w:top w:val="single" w:color="auto" w:sz="4" w:space="0"/>
              <w:left w:val="single" w:color="auto" w:sz="4" w:space="0"/>
              <w:bottom w:val="single" w:color="auto" w:sz="2" w:space="0"/>
              <w:right w:val="single" w:color="000000" w:sz="4" w:space="0"/>
            </w:tcBorders>
            <w:shd w:val="clear" w:color="auto" w:fill="auto"/>
            <w:vAlign w:val="center"/>
          </w:tcPr>
          <w:p w14:paraId="2FC3A3F8">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23" w:type="pct"/>
            <w:tcBorders>
              <w:top w:val="single" w:color="auto" w:sz="4" w:space="0"/>
              <w:left w:val="single" w:color="auto" w:sz="4" w:space="0"/>
              <w:bottom w:val="single" w:color="auto" w:sz="2" w:space="0"/>
              <w:right w:val="single" w:color="000000" w:sz="4" w:space="0"/>
            </w:tcBorders>
            <w:shd w:val="clear" w:color="auto" w:fill="auto"/>
            <w:vAlign w:val="center"/>
          </w:tcPr>
          <w:p w14:paraId="45FD5EC2">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7"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78F01CC1">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55" w:type="pct"/>
            <w:tcBorders>
              <w:top w:val="single" w:color="auto" w:sz="4" w:space="0"/>
              <w:left w:val="single" w:color="auto" w:sz="4" w:space="0"/>
              <w:bottom w:val="single" w:color="auto" w:sz="2" w:space="0"/>
              <w:right w:val="single" w:color="000000" w:sz="4" w:space="0"/>
            </w:tcBorders>
            <w:shd w:val="clear" w:color="auto" w:fill="auto"/>
            <w:vAlign w:val="center"/>
          </w:tcPr>
          <w:p w14:paraId="4E12F55D">
            <w:pPr>
              <w:widowControl/>
              <w:jc w:val="center"/>
              <w:textAlignment w:val="center"/>
              <w:rPr>
                <w:rFonts w:ascii="宋体" w:hAnsi="宋体" w:eastAsia="黑体" w:cs="黑体"/>
                <w:color w:val="000000"/>
                <w:kern w:val="0"/>
                <w:sz w:val="18"/>
                <w:szCs w:val="18"/>
              </w:rPr>
            </w:pPr>
            <w:r>
              <w:rPr>
                <w:rFonts w:ascii="宋体" w:hAnsi="宋体" w:eastAsia="宋体" w:cs="Times New Roman"/>
                <w:color w:val="000000"/>
                <w:kern w:val="0"/>
                <w:sz w:val="18"/>
                <w:szCs w:val="18"/>
              </w:rPr>
              <w:t>s</w:t>
            </w:r>
          </w:p>
        </w:tc>
        <w:tc>
          <w:tcPr>
            <w:tcW w:w="234" w:type="pct"/>
            <w:gridSpan w:val="2"/>
            <w:vMerge w:val="continue"/>
            <w:tcBorders>
              <w:left w:val="single" w:color="auto" w:sz="4" w:space="0"/>
              <w:bottom w:val="single" w:color="auto" w:sz="2" w:space="0"/>
              <w:right w:val="single" w:color="000000" w:sz="4" w:space="0"/>
            </w:tcBorders>
            <w:shd w:val="clear" w:color="auto" w:fill="auto"/>
            <w:vAlign w:val="center"/>
          </w:tcPr>
          <w:p w14:paraId="23D38EF3">
            <w:pPr>
              <w:widowControl/>
              <w:jc w:val="center"/>
              <w:textAlignment w:val="center"/>
              <w:rPr>
                <w:rFonts w:ascii="宋体" w:hAnsi="宋体" w:eastAsia="黑体" w:cs="黑体"/>
                <w:color w:val="000000"/>
                <w:kern w:val="0"/>
                <w:sz w:val="18"/>
                <w:szCs w:val="18"/>
              </w:rPr>
            </w:pPr>
          </w:p>
        </w:tc>
        <w:tc>
          <w:tcPr>
            <w:tcW w:w="234" w:type="pct"/>
            <w:vMerge w:val="continue"/>
            <w:tcBorders>
              <w:left w:val="single" w:color="auto" w:sz="4" w:space="0"/>
              <w:bottom w:val="single" w:color="auto" w:sz="2" w:space="0"/>
              <w:right w:val="single" w:color="000000" w:sz="4" w:space="0"/>
            </w:tcBorders>
            <w:shd w:val="clear" w:color="auto" w:fill="auto"/>
            <w:vAlign w:val="center"/>
          </w:tcPr>
          <w:p w14:paraId="51AF5D77">
            <w:pPr>
              <w:widowControl/>
              <w:jc w:val="center"/>
              <w:textAlignment w:val="center"/>
              <w:rPr>
                <w:rFonts w:ascii="宋体" w:hAnsi="宋体" w:eastAsia="黑体" w:cs="黑体"/>
                <w:color w:val="000000"/>
                <w:kern w:val="0"/>
                <w:sz w:val="18"/>
                <w:szCs w:val="18"/>
              </w:rPr>
            </w:pPr>
          </w:p>
        </w:tc>
        <w:tc>
          <w:tcPr>
            <w:tcW w:w="195" w:type="pct"/>
            <w:vMerge w:val="continue"/>
            <w:tcBorders>
              <w:left w:val="single" w:color="auto" w:sz="4" w:space="0"/>
              <w:bottom w:val="single" w:color="auto" w:sz="2" w:space="0"/>
              <w:right w:val="single" w:color="000000" w:sz="4" w:space="0"/>
            </w:tcBorders>
            <w:shd w:val="clear" w:color="auto" w:fill="auto"/>
            <w:vAlign w:val="center"/>
          </w:tcPr>
          <w:p w14:paraId="635D6A96">
            <w:pPr>
              <w:widowControl/>
              <w:jc w:val="center"/>
              <w:textAlignment w:val="center"/>
              <w:rPr>
                <w:rFonts w:ascii="宋体" w:hAnsi="宋体" w:eastAsia="黑体" w:cs="黑体"/>
                <w:color w:val="000000"/>
                <w:kern w:val="0"/>
                <w:sz w:val="18"/>
                <w:szCs w:val="18"/>
              </w:rPr>
            </w:pPr>
          </w:p>
        </w:tc>
      </w:tr>
      <w:tr w14:paraId="4639069D">
        <w:tblPrEx>
          <w:tblCellMar>
            <w:top w:w="0" w:type="dxa"/>
            <w:left w:w="108" w:type="dxa"/>
            <w:bottom w:w="0" w:type="dxa"/>
            <w:right w:w="108" w:type="dxa"/>
          </w:tblCellMar>
        </w:tblPrEx>
        <w:trPr>
          <w:trHeight w:val="75" w:hRule="atLeast"/>
        </w:trPr>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53F603E1">
            <w:pPr>
              <w:jc w:val="center"/>
              <w:rPr>
                <w:rFonts w:ascii="宋体" w:hAnsi="宋体" w:eastAsia="黑体" w:cs="黑体"/>
                <w:color w:val="000000"/>
                <w:sz w:val="18"/>
                <w:szCs w:val="18"/>
              </w:rPr>
            </w:pPr>
          </w:p>
        </w:tc>
        <w:tc>
          <w:tcPr>
            <w:tcW w:w="249" w:type="pct"/>
            <w:gridSpan w:val="2"/>
            <w:tcBorders>
              <w:top w:val="single" w:color="auto" w:sz="4" w:space="0"/>
              <w:left w:val="single" w:color="auto" w:sz="4" w:space="0"/>
              <w:bottom w:val="single" w:color="auto" w:sz="2" w:space="0"/>
              <w:right w:val="single" w:color="000000" w:sz="4" w:space="0"/>
            </w:tcBorders>
            <w:shd w:val="clear" w:color="auto" w:fill="auto"/>
            <w:vAlign w:val="center"/>
          </w:tcPr>
          <w:p w14:paraId="3A4FD188">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B537FA5">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41CC8FF3">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116F0342">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2E3ECA85">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1E23F326">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7E7B8735">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67439E66">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D49E70C">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535E14B">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6E1C03FB">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CD1EBC1">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236B6996">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5953C332">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D5DCED5">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3E0407F4">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43E4EF9">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36D045A6">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493A8B90">
            <w:pPr>
              <w:jc w:val="center"/>
              <w:rPr>
                <w:rFonts w:ascii="宋体" w:hAnsi="宋体" w:eastAsia="黑体" w:cs="黑体"/>
                <w:color w:val="000000"/>
                <w:sz w:val="18"/>
                <w:szCs w:val="18"/>
              </w:rPr>
            </w:pPr>
          </w:p>
        </w:tc>
      </w:tr>
      <w:tr w14:paraId="01B720EC">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7336CA6">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DA74E31">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7E3F3EA">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6AEC0E23">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3C682063">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521717E2">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75461E7B">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00325022">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1DC1D1DF">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E41BA72">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B74021C">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70047E3A">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8F9A261">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03502EBC">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1D443C16">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582967F">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6210FDF0">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20A9179C">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11F08A9A">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21BC7DE9">
            <w:pPr>
              <w:jc w:val="center"/>
              <w:rPr>
                <w:rFonts w:ascii="宋体" w:hAnsi="宋体" w:eastAsia="黑体" w:cs="黑体"/>
                <w:color w:val="000000"/>
                <w:sz w:val="18"/>
                <w:szCs w:val="18"/>
              </w:rPr>
            </w:pPr>
          </w:p>
        </w:tc>
      </w:tr>
      <w:tr w14:paraId="1668D778">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1D7706AC">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4D56D17D">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2B8E184">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auto" w:sz="2" w:space="0"/>
              <w:right w:val="single" w:color="000000" w:sz="4" w:space="0"/>
            </w:tcBorders>
            <w:shd w:val="clear" w:color="auto" w:fill="auto"/>
            <w:vAlign w:val="center"/>
          </w:tcPr>
          <w:p w14:paraId="30F65759">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auto" w:sz="2" w:space="0"/>
              <w:right w:val="single" w:color="000000" w:sz="4" w:space="0"/>
            </w:tcBorders>
            <w:shd w:val="clear" w:color="auto" w:fill="auto"/>
            <w:vAlign w:val="center"/>
          </w:tcPr>
          <w:p w14:paraId="4480AD11">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auto" w:sz="2" w:space="0"/>
              <w:right w:val="single" w:color="000000" w:sz="4" w:space="0"/>
            </w:tcBorders>
            <w:shd w:val="clear" w:color="auto" w:fill="auto"/>
            <w:vAlign w:val="center"/>
          </w:tcPr>
          <w:p w14:paraId="61BA9F79">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auto" w:sz="2" w:space="0"/>
              <w:right w:val="single" w:color="000000" w:sz="4" w:space="0"/>
            </w:tcBorders>
            <w:shd w:val="clear" w:color="auto" w:fill="auto"/>
            <w:vAlign w:val="center"/>
          </w:tcPr>
          <w:p w14:paraId="12792B9A">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auto" w:sz="2" w:space="0"/>
              <w:right w:val="single" w:color="000000" w:sz="4" w:space="0"/>
            </w:tcBorders>
            <w:shd w:val="clear" w:color="auto" w:fill="auto"/>
            <w:vAlign w:val="center"/>
          </w:tcPr>
          <w:p w14:paraId="65DB7781">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auto" w:sz="2" w:space="0"/>
              <w:right w:val="single" w:color="000000" w:sz="4" w:space="0"/>
            </w:tcBorders>
            <w:shd w:val="clear" w:color="auto" w:fill="auto"/>
            <w:vAlign w:val="center"/>
          </w:tcPr>
          <w:p w14:paraId="519A509A">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D4101CC">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6CE32076">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auto" w:sz="2" w:space="0"/>
              <w:right w:val="single" w:color="000000" w:sz="4" w:space="0"/>
            </w:tcBorders>
            <w:shd w:val="clear" w:color="auto" w:fill="auto"/>
            <w:vAlign w:val="center"/>
          </w:tcPr>
          <w:p w14:paraId="765879A1">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7FD8287B">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auto" w:sz="2" w:space="0"/>
              <w:right w:val="single" w:color="000000" w:sz="4" w:space="0"/>
            </w:tcBorders>
            <w:shd w:val="clear" w:color="auto" w:fill="auto"/>
            <w:vAlign w:val="center"/>
          </w:tcPr>
          <w:p w14:paraId="1D1D0592">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auto" w:sz="2" w:space="0"/>
              <w:right w:val="single" w:color="000000" w:sz="4" w:space="0"/>
            </w:tcBorders>
            <w:shd w:val="clear" w:color="auto" w:fill="auto"/>
            <w:vAlign w:val="center"/>
          </w:tcPr>
          <w:p w14:paraId="5D2E9808">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0F8C13BD">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auto" w:sz="2" w:space="0"/>
              <w:right w:val="single" w:color="000000" w:sz="4" w:space="0"/>
            </w:tcBorders>
            <w:shd w:val="clear" w:color="auto" w:fill="auto"/>
            <w:vAlign w:val="center"/>
          </w:tcPr>
          <w:p w14:paraId="19211EC8">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auto" w:sz="2" w:space="0"/>
              <w:right w:val="single" w:color="000000" w:sz="4" w:space="0"/>
            </w:tcBorders>
            <w:shd w:val="clear" w:color="auto" w:fill="auto"/>
            <w:vAlign w:val="center"/>
          </w:tcPr>
          <w:p w14:paraId="30396FAA">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auto" w:sz="2" w:space="0"/>
              <w:right w:val="single" w:color="000000" w:sz="4" w:space="0"/>
            </w:tcBorders>
            <w:shd w:val="clear" w:color="auto" w:fill="auto"/>
            <w:vAlign w:val="center"/>
          </w:tcPr>
          <w:p w14:paraId="67DBCF76">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auto" w:sz="2" w:space="0"/>
              <w:right w:val="single" w:color="000000" w:sz="4" w:space="0"/>
            </w:tcBorders>
            <w:shd w:val="clear" w:color="auto" w:fill="auto"/>
            <w:vAlign w:val="center"/>
          </w:tcPr>
          <w:p w14:paraId="0A677086">
            <w:pPr>
              <w:jc w:val="center"/>
              <w:rPr>
                <w:rFonts w:ascii="宋体" w:hAnsi="宋体" w:eastAsia="黑体" w:cs="黑体"/>
                <w:color w:val="000000"/>
                <w:sz w:val="18"/>
                <w:szCs w:val="18"/>
              </w:rPr>
            </w:pPr>
          </w:p>
        </w:tc>
      </w:tr>
      <w:tr w14:paraId="46596529">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90764A3">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1CD17E1">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AD57BE1">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3BE152CC">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7A0A3515">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22E38372">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01A8EE87">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7FE0D0F7">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40222D5E">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C456162">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42820E9">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4171B9B8">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9967D1A">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7DD93298">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555A6E8F">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C896B25">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6C7960E5">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4DE0F4D">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BFFA935">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3B5E77D4">
            <w:pPr>
              <w:jc w:val="center"/>
              <w:rPr>
                <w:rFonts w:ascii="宋体" w:hAnsi="宋体" w:eastAsia="黑体" w:cs="黑体"/>
                <w:color w:val="000000"/>
                <w:sz w:val="18"/>
                <w:szCs w:val="18"/>
              </w:rPr>
            </w:pPr>
          </w:p>
        </w:tc>
      </w:tr>
      <w:tr w14:paraId="4959F393">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D0689CA">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5E98F44">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150D517">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4CD19E0B">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62CEF39B">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5427B2B5">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4FDBAC14">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726110A0">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41CBEABF">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31CEE82">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6247FAAF">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16387514">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BAB192A">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625CBD9E">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079BF9DD">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8E6D51E">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35F80B58">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DF4749E">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51D7B043">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422ADAA6">
            <w:pPr>
              <w:jc w:val="center"/>
              <w:rPr>
                <w:rFonts w:ascii="宋体" w:hAnsi="宋体" w:eastAsia="黑体" w:cs="黑体"/>
                <w:color w:val="000000"/>
                <w:sz w:val="18"/>
                <w:szCs w:val="18"/>
              </w:rPr>
            </w:pPr>
          </w:p>
        </w:tc>
      </w:tr>
      <w:tr w14:paraId="2C9DB4D2">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24AF99E">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65D368D">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301BBDA">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0F913ECA">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B637410">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01A77D09">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1094756E">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3C57EBD9">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3607E511">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C00C8B6">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76B71F7">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71981BB4">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136901F8">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49060DAD">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22438E04">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C2CEBF0">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52FE59C5">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AA2CD3C">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3E775D85">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3DE27AC4">
            <w:pPr>
              <w:jc w:val="center"/>
              <w:rPr>
                <w:rFonts w:ascii="宋体" w:hAnsi="宋体" w:eastAsia="黑体" w:cs="黑体"/>
                <w:color w:val="000000"/>
                <w:sz w:val="18"/>
                <w:szCs w:val="18"/>
              </w:rPr>
            </w:pPr>
          </w:p>
        </w:tc>
      </w:tr>
      <w:tr w14:paraId="19BCD21A">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249F733">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D734BDC">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A1C835B">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27214A40">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481A5099">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6654D7DA">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00AE107D">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13501A42">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7A08BD48">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B2C9B2C">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6F3E26C">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19C65A2B">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8F413D5">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6EA96B92">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3379C684">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3867975A">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10E29010">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39B32BB">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40D59D96">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1D5C39AD">
            <w:pPr>
              <w:jc w:val="center"/>
              <w:rPr>
                <w:rFonts w:ascii="宋体" w:hAnsi="宋体" w:eastAsia="黑体" w:cs="黑体"/>
                <w:color w:val="000000"/>
                <w:sz w:val="18"/>
                <w:szCs w:val="18"/>
              </w:rPr>
            </w:pPr>
          </w:p>
        </w:tc>
      </w:tr>
      <w:tr w14:paraId="38AAFB23">
        <w:tblPrEx>
          <w:tblCellMar>
            <w:top w:w="0" w:type="dxa"/>
            <w:left w:w="108" w:type="dxa"/>
            <w:bottom w:w="0" w:type="dxa"/>
            <w:right w:w="108" w:type="dxa"/>
          </w:tblCellMar>
        </w:tblPrEx>
        <w:trPr>
          <w:trHeight w:val="75" w:hRule="atLeast"/>
        </w:trPr>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1066763">
            <w:pPr>
              <w:jc w:val="center"/>
              <w:rPr>
                <w:rFonts w:ascii="宋体" w:hAnsi="宋体" w:eastAsia="黑体" w:cs="黑体"/>
                <w:color w:val="000000"/>
                <w:sz w:val="18"/>
                <w:szCs w:val="18"/>
              </w:rPr>
            </w:pPr>
          </w:p>
        </w:tc>
        <w:tc>
          <w:tcPr>
            <w:tcW w:w="24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CD6420D">
            <w:pPr>
              <w:jc w:val="center"/>
              <w:rPr>
                <w:rFonts w:ascii="宋体" w:hAnsi="宋体" w:eastAsia="黑体" w:cs="黑体"/>
                <w:color w:val="000000"/>
                <w:sz w:val="18"/>
                <w:szCs w:val="18"/>
              </w:rPr>
            </w:pPr>
          </w:p>
        </w:tc>
        <w:tc>
          <w:tcPr>
            <w:tcW w:w="203"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0ED2B14C">
            <w:pPr>
              <w:jc w:val="center"/>
              <w:rPr>
                <w:rFonts w:ascii="宋体" w:hAnsi="宋体" w:eastAsia="黑体" w:cs="黑体"/>
                <w:color w:val="000000"/>
                <w:sz w:val="18"/>
                <w:szCs w:val="18"/>
              </w:rPr>
            </w:pPr>
          </w:p>
        </w:tc>
        <w:tc>
          <w:tcPr>
            <w:tcW w:w="219" w:type="pct"/>
            <w:tcBorders>
              <w:top w:val="single" w:color="000000" w:sz="4" w:space="0"/>
              <w:left w:val="single" w:color="auto" w:sz="4" w:space="0"/>
              <w:bottom w:val="single" w:color="000000" w:sz="4" w:space="0"/>
              <w:right w:val="single" w:color="000000" w:sz="4" w:space="0"/>
            </w:tcBorders>
            <w:shd w:val="clear" w:color="auto" w:fill="auto"/>
            <w:vAlign w:val="center"/>
          </w:tcPr>
          <w:p w14:paraId="7F89A7BE">
            <w:pPr>
              <w:jc w:val="center"/>
              <w:rPr>
                <w:rFonts w:ascii="宋体" w:hAnsi="宋体" w:eastAsia="黑体" w:cs="黑体"/>
                <w:color w:val="000000"/>
                <w:sz w:val="18"/>
                <w:szCs w:val="18"/>
              </w:rPr>
            </w:pPr>
          </w:p>
        </w:tc>
        <w:tc>
          <w:tcPr>
            <w:tcW w:w="258" w:type="pct"/>
            <w:tcBorders>
              <w:top w:val="single" w:color="000000" w:sz="4" w:space="0"/>
              <w:left w:val="single" w:color="auto" w:sz="4" w:space="0"/>
              <w:bottom w:val="single" w:color="000000" w:sz="4" w:space="0"/>
              <w:right w:val="single" w:color="000000" w:sz="4" w:space="0"/>
            </w:tcBorders>
            <w:shd w:val="clear" w:color="auto" w:fill="auto"/>
            <w:vAlign w:val="center"/>
          </w:tcPr>
          <w:p w14:paraId="04D66162">
            <w:pPr>
              <w:jc w:val="center"/>
              <w:rPr>
                <w:rFonts w:ascii="宋体" w:hAnsi="宋体" w:eastAsia="黑体" w:cs="黑体"/>
                <w:color w:val="000000"/>
                <w:sz w:val="18"/>
                <w:szCs w:val="18"/>
              </w:rPr>
            </w:pPr>
          </w:p>
        </w:tc>
        <w:tc>
          <w:tcPr>
            <w:tcW w:w="278" w:type="pct"/>
            <w:tcBorders>
              <w:top w:val="single" w:color="000000" w:sz="4" w:space="0"/>
              <w:left w:val="single" w:color="auto" w:sz="4" w:space="0"/>
              <w:bottom w:val="single" w:color="000000" w:sz="4" w:space="0"/>
              <w:right w:val="single" w:color="000000" w:sz="4" w:space="0"/>
            </w:tcBorders>
            <w:shd w:val="clear" w:color="auto" w:fill="auto"/>
            <w:vAlign w:val="center"/>
          </w:tcPr>
          <w:p w14:paraId="72A7C06A">
            <w:pPr>
              <w:jc w:val="center"/>
              <w:rPr>
                <w:rFonts w:ascii="宋体" w:hAnsi="宋体" w:eastAsia="黑体" w:cs="黑体"/>
                <w:color w:val="000000"/>
                <w:sz w:val="18"/>
                <w:szCs w:val="18"/>
              </w:rPr>
            </w:pPr>
          </w:p>
        </w:tc>
        <w:tc>
          <w:tcPr>
            <w:tcW w:w="288" w:type="pct"/>
            <w:gridSpan w:val="3"/>
            <w:tcBorders>
              <w:top w:val="single" w:color="000000" w:sz="4" w:space="0"/>
              <w:left w:val="single" w:color="auto" w:sz="4" w:space="0"/>
              <w:bottom w:val="single" w:color="000000" w:sz="4" w:space="0"/>
              <w:right w:val="single" w:color="000000" w:sz="4" w:space="0"/>
            </w:tcBorders>
            <w:shd w:val="clear" w:color="auto" w:fill="auto"/>
            <w:vAlign w:val="center"/>
          </w:tcPr>
          <w:p w14:paraId="65346C34">
            <w:pPr>
              <w:jc w:val="center"/>
              <w:rPr>
                <w:rFonts w:ascii="宋体" w:hAnsi="宋体" w:eastAsia="黑体" w:cs="黑体"/>
                <w:color w:val="000000"/>
                <w:sz w:val="18"/>
                <w:szCs w:val="18"/>
              </w:rPr>
            </w:pPr>
          </w:p>
        </w:tc>
        <w:tc>
          <w:tcPr>
            <w:tcW w:w="225" w:type="pct"/>
            <w:tcBorders>
              <w:top w:val="single" w:color="000000" w:sz="4" w:space="0"/>
              <w:left w:val="single" w:color="auto" w:sz="4" w:space="0"/>
              <w:bottom w:val="single" w:color="000000" w:sz="4" w:space="0"/>
              <w:right w:val="single" w:color="000000" w:sz="4" w:space="0"/>
            </w:tcBorders>
            <w:shd w:val="clear" w:color="auto" w:fill="auto"/>
            <w:vAlign w:val="center"/>
          </w:tcPr>
          <w:p w14:paraId="1ED6AA62">
            <w:pPr>
              <w:jc w:val="center"/>
              <w:rPr>
                <w:rFonts w:ascii="宋体" w:hAnsi="宋体" w:eastAsia="黑体" w:cs="黑体"/>
                <w:color w:val="000000"/>
                <w:sz w:val="18"/>
                <w:szCs w:val="18"/>
              </w:rPr>
            </w:pPr>
          </w:p>
        </w:tc>
        <w:tc>
          <w:tcPr>
            <w:tcW w:w="273" w:type="pct"/>
            <w:tcBorders>
              <w:top w:val="single" w:color="000000" w:sz="4" w:space="0"/>
              <w:left w:val="single" w:color="auto" w:sz="4" w:space="0"/>
              <w:bottom w:val="single" w:color="000000" w:sz="4" w:space="0"/>
              <w:right w:val="single" w:color="000000" w:sz="4" w:space="0"/>
            </w:tcBorders>
            <w:shd w:val="clear" w:color="auto" w:fill="auto"/>
            <w:vAlign w:val="center"/>
          </w:tcPr>
          <w:p w14:paraId="0EE540B6">
            <w:pPr>
              <w:jc w:val="center"/>
              <w:rPr>
                <w:rFonts w:ascii="宋体" w:hAnsi="宋体" w:eastAsia="黑体" w:cs="黑体"/>
                <w:color w:val="000000"/>
                <w:sz w:val="18"/>
                <w:szCs w:val="18"/>
              </w:rPr>
            </w:pPr>
          </w:p>
        </w:tc>
        <w:tc>
          <w:tcPr>
            <w:tcW w:w="289"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43D551B1">
            <w:pPr>
              <w:jc w:val="center"/>
              <w:rPr>
                <w:rFonts w:ascii="宋体" w:hAnsi="宋体" w:eastAsia="黑体" w:cs="黑体"/>
                <w:color w:val="000000"/>
                <w:sz w:val="18"/>
                <w:szCs w:val="18"/>
              </w:rPr>
            </w:pPr>
          </w:p>
        </w:tc>
        <w:tc>
          <w:tcPr>
            <w:tcW w:w="270"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A20C29C">
            <w:pPr>
              <w:jc w:val="center"/>
              <w:rPr>
                <w:rFonts w:ascii="宋体" w:hAnsi="宋体" w:eastAsia="黑体" w:cs="黑体"/>
                <w:color w:val="000000"/>
                <w:sz w:val="18"/>
                <w:szCs w:val="18"/>
              </w:rPr>
            </w:pPr>
          </w:p>
        </w:tc>
        <w:tc>
          <w:tcPr>
            <w:tcW w:w="284" w:type="pct"/>
            <w:tcBorders>
              <w:top w:val="single" w:color="000000" w:sz="4" w:space="0"/>
              <w:left w:val="single" w:color="auto" w:sz="4" w:space="0"/>
              <w:bottom w:val="single" w:color="000000" w:sz="4" w:space="0"/>
              <w:right w:val="single" w:color="000000" w:sz="4" w:space="0"/>
            </w:tcBorders>
            <w:shd w:val="clear" w:color="auto" w:fill="auto"/>
            <w:vAlign w:val="center"/>
          </w:tcPr>
          <w:p w14:paraId="5DCF781B">
            <w:pPr>
              <w:jc w:val="center"/>
              <w:rPr>
                <w:rFonts w:ascii="宋体" w:hAnsi="宋体" w:eastAsia="黑体" w:cs="黑体"/>
                <w:color w:val="000000"/>
                <w:sz w:val="18"/>
                <w:szCs w:val="18"/>
              </w:rPr>
            </w:pPr>
          </w:p>
        </w:tc>
        <w:tc>
          <w:tcPr>
            <w:tcW w:w="28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5E3950CE">
            <w:pPr>
              <w:jc w:val="center"/>
              <w:rPr>
                <w:rFonts w:ascii="宋体" w:hAnsi="宋体" w:eastAsia="黑体" w:cs="黑体"/>
                <w:color w:val="000000"/>
                <w:sz w:val="18"/>
                <w:szCs w:val="18"/>
              </w:rPr>
            </w:pPr>
          </w:p>
        </w:tc>
        <w:tc>
          <w:tcPr>
            <w:tcW w:w="241" w:type="pct"/>
            <w:tcBorders>
              <w:top w:val="single" w:color="000000" w:sz="4" w:space="0"/>
              <w:left w:val="single" w:color="auto" w:sz="4" w:space="0"/>
              <w:bottom w:val="single" w:color="000000" w:sz="4" w:space="0"/>
              <w:right w:val="single" w:color="000000" w:sz="4" w:space="0"/>
            </w:tcBorders>
            <w:shd w:val="clear" w:color="auto" w:fill="auto"/>
            <w:vAlign w:val="center"/>
          </w:tcPr>
          <w:p w14:paraId="3A0C5A14">
            <w:pPr>
              <w:jc w:val="center"/>
              <w:rPr>
                <w:rFonts w:ascii="宋体" w:hAnsi="宋体" w:eastAsia="黑体" w:cs="黑体"/>
                <w:color w:val="000000"/>
                <w:sz w:val="18"/>
                <w:szCs w:val="18"/>
              </w:rPr>
            </w:pPr>
          </w:p>
        </w:tc>
        <w:tc>
          <w:tcPr>
            <w:tcW w:w="223" w:type="pct"/>
            <w:tcBorders>
              <w:top w:val="single" w:color="000000" w:sz="4" w:space="0"/>
              <w:left w:val="single" w:color="auto" w:sz="4" w:space="0"/>
              <w:bottom w:val="single" w:color="000000" w:sz="4" w:space="0"/>
              <w:right w:val="single" w:color="000000" w:sz="4" w:space="0"/>
            </w:tcBorders>
            <w:shd w:val="clear" w:color="auto" w:fill="auto"/>
            <w:vAlign w:val="center"/>
          </w:tcPr>
          <w:p w14:paraId="4DE07EEE">
            <w:pPr>
              <w:jc w:val="center"/>
              <w:rPr>
                <w:rFonts w:ascii="宋体" w:hAnsi="宋体" w:eastAsia="黑体" w:cs="黑体"/>
                <w:color w:val="000000"/>
                <w:sz w:val="18"/>
                <w:szCs w:val="18"/>
              </w:rPr>
            </w:pPr>
          </w:p>
        </w:tc>
        <w:tc>
          <w:tcPr>
            <w:tcW w:w="237"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7907CE0C">
            <w:pPr>
              <w:jc w:val="center"/>
              <w:rPr>
                <w:rFonts w:ascii="宋体" w:hAnsi="宋体" w:eastAsia="黑体" w:cs="黑体"/>
                <w:color w:val="000000"/>
                <w:sz w:val="18"/>
                <w:szCs w:val="18"/>
              </w:rPr>
            </w:pPr>
          </w:p>
        </w:tc>
        <w:tc>
          <w:tcPr>
            <w:tcW w:w="255" w:type="pct"/>
            <w:tcBorders>
              <w:top w:val="single" w:color="000000" w:sz="4" w:space="0"/>
              <w:left w:val="single" w:color="auto" w:sz="4" w:space="0"/>
              <w:bottom w:val="single" w:color="000000" w:sz="4" w:space="0"/>
              <w:right w:val="single" w:color="000000" w:sz="4" w:space="0"/>
            </w:tcBorders>
            <w:shd w:val="clear" w:color="auto" w:fill="auto"/>
            <w:vAlign w:val="center"/>
          </w:tcPr>
          <w:p w14:paraId="0BE4902D">
            <w:pPr>
              <w:jc w:val="center"/>
              <w:rPr>
                <w:rFonts w:ascii="宋体" w:hAnsi="宋体" w:eastAsia="黑体" w:cs="黑体"/>
                <w:color w:val="000000"/>
                <w:sz w:val="18"/>
                <w:szCs w:val="18"/>
              </w:rPr>
            </w:pPr>
          </w:p>
        </w:tc>
        <w:tc>
          <w:tcPr>
            <w:tcW w:w="234" w:type="pct"/>
            <w:gridSpan w:val="2"/>
            <w:tcBorders>
              <w:top w:val="single" w:color="000000" w:sz="4" w:space="0"/>
              <w:left w:val="single" w:color="auto" w:sz="4" w:space="0"/>
              <w:bottom w:val="single" w:color="000000" w:sz="4" w:space="0"/>
              <w:right w:val="single" w:color="000000" w:sz="4" w:space="0"/>
            </w:tcBorders>
            <w:shd w:val="clear" w:color="auto" w:fill="auto"/>
            <w:vAlign w:val="center"/>
          </w:tcPr>
          <w:p w14:paraId="27AE28EA">
            <w:pPr>
              <w:jc w:val="center"/>
              <w:rPr>
                <w:rFonts w:ascii="宋体" w:hAnsi="宋体" w:eastAsia="黑体" w:cs="黑体"/>
                <w:color w:val="000000"/>
                <w:sz w:val="18"/>
                <w:szCs w:val="18"/>
              </w:rPr>
            </w:pPr>
          </w:p>
        </w:tc>
        <w:tc>
          <w:tcPr>
            <w:tcW w:w="234" w:type="pct"/>
            <w:tcBorders>
              <w:top w:val="single" w:color="000000" w:sz="4" w:space="0"/>
              <w:left w:val="single" w:color="auto" w:sz="4" w:space="0"/>
              <w:bottom w:val="single" w:color="000000" w:sz="4" w:space="0"/>
              <w:right w:val="single" w:color="000000" w:sz="4" w:space="0"/>
            </w:tcBorders>
            <w:shd w:val="clear" w:color="auto" w:fill="auto"/>
            <w:vAlign w:val="center"/>
          </w:tcPr>
          <w:p w14:paraId="2940F60D">
            <w:pPr>
              <w:jc w:val="center"/>
              <w:rPr>
                <w:rFonts w:ascii="宋体" w:hAnsi="宋体" w:eastAsia="黑体" w:cs="黑体"/>
                <w:color w:val="000000"/>
                <w:sz w:val="18"/>
                <w:szCs w:val="18"/>
              </w:rPr>
            </w:pPr>
          </w:p>
        </w:tc>
        <w:tc>
          <w:tcPr>
            <w:tcW w:w="195" w:type="pct"/>
            <w:tcBorders>
              <w:top w:val="single" w:color="000000" w:sz="4" w:space="0"/>
              <w:left w:val="single" w:color="auto" w:sz="4" w:space="0"/>
              <w:bottom w:val="single" w:color="000000" w:sz="4" w:space="0"/>
              <w:right w:val="single" w:color="000000" w:sz="4" w:space="0"/>
            </w:tcBorders>
            <w:shd w:val="clear" w:color="auto" w:fill="auto"/>
            <w:vAlign w:val="center"/>
          </w:tcPr>
          <w:p w14:paraId="4287FE0E">
            <w:pPr>
              <w:jc w:val="center"/>
              <w:rPr>
                <w:rFonts w:ascii="宋体" w:hAnsi="宋体" w:eastAsia="黑体" w:cs="黑体"/>
                <w:color w:val="000000"/>
                <w:sz w:val="18"/>
                <w:szCs w:val="18"/>
              </w:rPr>
            </w:pPr>
          </w:p>
        </w:tc>
      </w:tr>
      <w:tr w14:paraId="7A315400">
        <w:tblPrEx>
          <w:tblCellMar>
            <w:top w:w="0" w:type="dxa"/>
            <w:left w:w="108" w:type="dxa"/>
            <w:bottom w:w="0" w:type="dxa"/>
            <w:right w:w="108" w:type="dxa"/>
          </w:tblCellMar>
        </w:tblPrEx>
        <w:trPr>
          <w:trHeight w:val="75" w:hRule="atLeast"/>
        </w:trPr>
        <w:tc>
          <w:tcPr>
            <w:tcW w:w="1666" w:type="pct"/>
            <w:gridSpan w:val="11"/>
            <w:tcBorders>
              <w:top w:val="single" w:color="000000" w:sz="4" w:space="0"/>
              <w:left w:val="single" w:color="auto" w:sz="4" w:space="0"/>
              <w:bottom w:val="single" w:color="000000" w:sz="4" w:space="0"/>
              <w:right w:val="single" w:color="000000" w:sz="4" w:space="0"/>
            </w:tcBorders>
            <w:shd w:val="clear" w:color="auto" w:fill="auto"/>
            <w:vAlign w:val="center"/>
          </w:tcPr>
          <w:p w14:paraId="602A8C38">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数据采集人员：</w:t>
            </w:r>
          </w:p>
        </w:tc>
        <w:tc>
          <w:tcPr>
            <w:tcW w:w="1710" w:type="pct"/>
            <w:gridSpan w:val="10"/>
            <w:tcBorders>
              <w:top w:val="single" w:color="000000" w:sz="4" w:space="0"/>
              <w:left w:val="single" w:color="auto" w:sz="4" w:space="0"/>
              <w:bottom w:val="single" w:color="000000" w:sz="4" w:space="0"/>
              <w:right w:val="single" w:color="000000" w:sz="4" w:space="0"/>
            </w:tcBorders>
            <w:shd w:val="clear" w:color="auto" w:fill="auto"/>
            <w:vAlign w:val="center"/>
          </w:tcPr>
          <w:p w14:paraId="23296616">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审核人员：</w:t>
            </w:r>
          </w:p>
        </w:tc>
        <w:tc>
          <w:tcPr>
            <w:tcW w:w="1622" w:type="pct"/>
            <w:gridSpan w:val="9"/>
            <w:tcBorders>
              <w:top w:val="single" w:color="000000" w:sz="4" w:space="0"/>
              <w:left w:val="single" w:color="auto" w:sz="4" w:space="0"/>
              <w:bottom w:val="single" w:color="000000" w:sz="4" w:space="0"/>
              <w:right w:val="single" w:color="000000" w:sz="4" w:space="0"/>
            </w:tcBorders>
            <w:shd w:val="clear" w:color="auto" w:fill="auto"/>
            <w:vAlign w:val="center"/>
          </w:tcPr>
          <w:p w14:paraId="407D3CE8">
            <w:pPr>
              <w:jc w:val="left"/>
              <w:rPr>
                <w:rFonts w:ascii="宋体" w:hAnsi="宋体" w:eastAsia="黑体" w:cs="黑体"/>
                <w:color w:val="000000" w:themeColor="text1"/>
                <w:sz w:val="18"/>
                <w:szCs w:val="18"/>
              </w:rPr>
            </w:pPr>
            <w:r>
              <w:rPr>
                <w:rFonts w:hint="eastAsia" w:ascii="宋体" w:hAnsi="宋体" w:eastAsia="黑体" w:cs="黑体"/>
                <w:color w:val="000000" w:themeColor="text1"/>
                <w:sz w:val="18"/>
                <w:szCs w:val="18"/>
              </w:rPr>
              <w:t>审批人员：</w:t>
            </w:r>
          </w:p>
        </w:tc>
      </w:tr>
    </w:tbl>
    <w:p w14:paraId="05CB5657">
      <w:pPr>
        <w:pStyle w:val="43"/>
        <w:ind w:firstLine="0" w:firstLineChars="0"/>
        <w:jc w:val="center"/>
        <w:rPr>
          <w:rFonts w:hAnsi="宋体"/>
        </w:rPr>
      </w:pPr>
    </w:p>
    <w:p w14:paraId="59D7037A">
      <w:pPr>
        <w:pStyle w:val="43"/>
        <w:ind w:firstLine="0" w:firstLineChars="0"/>
        <w:jc w:val="center"/>
        <w:rPr>
          <w:rFonts w:hAnsi="宋体"/>
        </w:rPr>
      </w:pPr>
    </w:p>
    <w:p w14:paraId="5A61500D">
      <w:pPr>
        <w:rPr>
          <w:rFonts w:ascii="宋体" w:hAnsi="宋体"/>
        </w:rPr>
        <w:sectPr>
          <w:pgSz w:w="16838" w:h="11906" w:orient="landscape"/>
          <w:pgMar w:top="1587" w:right="1701" w:bottom="1474" w:left="1474" w:header="851" w:footer="992" w:gutter="0"/>
          <w:cols w:space="0" w:num="1"/>
          <w:docGrid w:type="lines" w:linePitch="315" w:charSpace="0"/>
        </w:sectPr>
      </w:pPr>
      <w:r>
        <w:rPr>
          <w:rFonts w:hint="eastAsia" w:ascii="宋体" w:hAnsi="宋体"/>
        </w:rPr>
        <w:br w:type="page"/>
      </w:r>
    </w:p>
    <w:p w14:paraId="4F52DC92">
      <w:pPr>
        <w:pStyle w:val="132"/>
        <w:numPr>
          <w:ilvl w:val="255"/>
          <w:numId w:val="0"/>
        </w:numPr>
        <w:ind w:firstLine="420" w:firstLineChars="200"/>
        <w:rPr>
          <w:rFonts w:ascii="宋体" w:hAnsi="宋体"/>
        </w:rPr>
      </w:pPr>
      <w:bookmarkStart w:id="140" w:name="_Toc2082"/>
      <w:bookmarkStart w:id="141" w:name="_Toc577"/>
      <w:bookmarkStart w:id="142" w:name="_Toc17818"/>
      <w:bookmarkStart w:id="143" w:name="_Toc9156"/>
      <w:bookmarkStart w:id="144" w:name="_Toc17025"/>
      <w:bookmarkStart w:id="145" w:name="_Toc6398"/>
      <w:bookmarkStart w:id="146" w:name="_Toc29522"/>
      <w:bookmarkStart w:id="147" w:name="_Toc26252"/>
      <w:bookmarkStart w:id="148" w:name="_Toc21362"/>
      <w:bookmarkStart w:id="149" w:name="_Toc8167"/>
      <w:bookmarkStart w:id="150" w:name="_Toc20929"/>
      <w:r>
        <w:rPr>
          <w:rFonts w:hint="eastAsia" w:ascii="宋体" w:hAnsi="宋体"/>
        </w:rPr>
        <w:t>参  考  文  献</w:t>
      </w:r>
      <w:bookmarkEnd w:id="140"/>
      <w:bookmarkEnd w:id="141"/>
      <w:bookmarkEnd w:id="142"/>
      <w:bookmarkEnd w:id="143"/>
      <w:bookmarkEnd w:id="144"/>
      <w:bookmarkEnd w:id="145"/>
      <w:bookmarkEnd w:id="146"/>
      <w:bookmarkEnd w:id="147"/>
      <w:bookmarkEnd w:id="148"/>
      <w:bookmarkEnd w:id="149"/>
      <w:bookmarkEnd w:id="150"/>
    </w:p>
    <w:p w14:paraId="488E02E6">
      <w:pPr>
        <w:pStyle w:val="44"/>
        <w:numPr>
          <w:ilvl w:val="0"/>
          <w:numId w:val="29"/>
        </w:numPr>
        <w:ind w:left="416" w:hanging="416" w:hangingChars="200"/>
        <w:rPr>
          <w:rFonts w:hAnsi="宋体" w:cs="宋体"/>
        </w:rPr>
      </w:pPr>
      <w:r>
        <w:rPr>
          <w:rFonts w:hint="eastAsia" w:hAnsi="宋体" w:cs="宋体"/>
          <w:spacing w:val="-1"/>
          <w:szCs w:val="21"/>
        </w:rPr>
        <w:t>人社厅发﹝2020</w:t>
      </w:r>
      <w:r>
        <w:rPr>
          <w:rFonts w:hint="eastAsia" w:hAnsi="宋体" w:cs="宋体"/>
          <w:szCs w:val="21"/>
        </w:rPr>
        <w:t>﹞</w:t>
      </w:r>
      <w:r>
        <w:rPr>
          <w:rFonts w:hint="eastAsia" w:hAnsi="宋体" w:cs="宋体"/>
          <w:spacing w:val="-1"/>
          <w:szCs w:val="21"/>
        </w:rPr>
        <w:t>80号 人力资源社会保障部办公厅关于做好水平评价类技能人员职业资格退出目录有关工作的通知</w:t>
      </w:r>
    </w:p>
    <w:p w14:paraId="53125630">
      <w:pPr>
        <w:pStyle w:val="24"/>
        <w:ind w:firstLine="210"/>
        <w:rPr>
          <w:rFonts w:ascii="宋体" w:hAnsi="宋体"/>
        </w:rPr>
      </w:pPr>
    </w:p>
    <w:p w14:paraId="3D36BF3E">
      <w:pPr>
        <w:pStyle w:val="108"/>
        <w:numPr>
          <w:ilvl w:val="1"/>
          <w:numId w:val="0"/>
        </w:numPr>
        <w:spacing w:before="157" w:after="157"/>
        <w:rPr>
          <w:rFonts w:ascii="宋体" w:hAnsi="宋体"/>
        </w:rPr>
      </w:pPr>
      <w:r>
        <w:rPr>
          <w:rFonts w:ascii="宋体" w:hAnsi="宋体"/>
        </w:rPr>
        <w:drawing>
          <wp:inline distT="0" distB="0" distL="0" distR="0">
            <wp:extent cx="1485900" cy="317500"/>
            <wp:effectExtent l="0" t="0" r="7620" b="2540"/>
            <wp:docPr id="22" name="图片 1"/>
            <wp:cNvGraphicFramePr/>
            <a:graphic xmlns:a="http://schemas.openxmlformats.org/drawingml/2006/main">
              <a:graphicData uri="http://schemas.openxmlformats.org/drawingml/2006/picture">
                <pic:pic xmlns:pic="http://schemas.openxmlformats.org/drawingml/2006/picture">
                  <pic:nvPicPr>
                    <pic:cNvPr id="22" name="图片 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p>
    <w:p w14:paraId="3559932D">
      <w:pPr>
        <w:pStyle w:val="43"/>
        <w:ind w:firstLine="420"/>
        <w:rPr>
          <w:rFonts w:hAnsi="宋体"/>
        </w:rPr>
        <w:sectPr>
          <w:pgSz w:w="11906" w:h="16838"/>
          <w:pgMar w:top="1701" w:right="1474" w:bottom="1474" w:left="1587" w:header="851" w:footer="992" w:gutter="0"/>
          <w:cols w:space="0" w:num="1"/>
          <w:docGrid w:type="lines" w:linePitch="315" w:charSpace="0"/>
        </w:sectPr>
      </w:pPr>
    </w:p>
    <w:bookmarkEnd w:id="136"/>
    <w:p w14:paraId="437F5969">
      <w:pPr>
        <w:pStyle w:val="24"/>
        <w:ind w:firstLine="210"/>
        <w:rPr>
          <w:rFonts w:ascii="宋体" w:hAnsi="宋体"/>
        </w:rPr>
      </w:pPr>
    </w:p>
    <w:p w14:paraId="0708A987">
      <w:pPr>
        <w:rPr>
          <w:rFonts w:ascii="宋体" w:hAnsi="宋体" w:eastAsia="仿宋"/>
          <w:sz w:val="30"/>
          <w:szCs w:val="30"/>
        </w:rPr>
      </w:pPr>
    </w:p>
    <w:p w14:paraId="6BC485AA">
      <w:pPr>
        <w:rPr>
          <w:rFonts w:ascii="宋体" w:hAnsi="宋体" w:eastAsia="仿宋"/>
          <w:sz w:val="44"/>
          <w:szCs w:val="44"/>
        </w:rPr>
      </w:pPr>
    </w:p>
    <w:p w14:paraId="43080740">
      <w:pPr>
        <w:rPr>
          <w:rFonts w:ascii="宋体" w:hAnsi="宋体" w:eastAsia="仿宋"/>
          <w:sz w:val="44"/>
          <w:szCs w:val="44"/>
        </w:rPr>
      </w:pPr>
    </w:p>
    <w:p w14:paraId="34E1C5A3">
      <w:pPr>
        <w:rPr>
          <w:rFonts w:ascii="宋体" w:hAnsi="宋体" w:eastAsia="仿宋"/>
          <w:sz w:val="44"/>
          <w:szCs w:val="44"/>
        </w:rPr>
      </w:pPr>
    </w:p>
    <w:p w14:paraId="2F5D9FE4">
      <w:pPr>
        <w:jc w:val="center"/>
        <w:outlineLvl w:val="0"/>
        <w:rPr>
          <w:rFonts w:ascii="宋体" w:hAnsi="宋体" w:eastAsia="方正小标宋简体"/>
          <w:sz w:val="44"/>
          <w:szCs w:val="44"/>
        </w:rPr>
      </w:pPr>
      <w:bookmarkStart w:id="151" w:name="_Toc5373"/>
      <w:bookmarkStart w:id="152" w:name="_Toc21516"/>
      <w:bookmarkStart w:id="153" w:name="_Toc28558"/>
      <w:bookmarkStart w:id="154" w:name="_Toc10734"/>
      <w:bookmarkStart w:id="155" w:name="_Toc15362"/>
      <w:bookmarkStart w:id="156" w:name="_Toc1422"/>
      <w:bookmarkStart w:id="157" w:name="_Toc21271"/>
      <w:bookmarkStart w:id="158" w:name="_Toc22371"/>
      <w:bookmarkStart w:id="159" w:name="_Toc14863"/>
      <w:bookmarkStart w:id="160" w:name="_Toc2085077807_WPSOffice_Level2"/>
      <w:r>
        <w:rPr>
          <w:rFonts w:hint="eastAsia" w:ascii="宋体" w:hAnsi="宋体" w:eastAsia="方正小标宋简体"/>
          <w:sz w:val="44"/>
          <w:szCs w:val="44"/>
        </w:rPr>
        <w:t>《</w:t>
      </w:r>
      <w:bookmarkEnd w:id="151"/>
      <w:bookmarkEnd w:id="152"/>
      <w:bookmarkStart w:id="161" w:name="_Toc19054"/>
      <w:bookmarkStart w:id="162" w:name="_Toc19749"/>
      <w:r>
        <w:rPr>
          <w:rFonts w:hint="eastAsia" w:ascii="宋体" w:hAnsi="宋体" w:eastAsia="方正小标宋简体" w:cs="Times New Roman"/>
          <w:sz w:val="44"/>
          <w:szCs w:val="44"/>
        </w:rPr>
        <w:t>海洋石油安全评价检测检验机构条件</w:t>
      </w:r>
      <w:r>
        <w:rPr>
          <w:rFonts w:hint="eastAsia" w:ascii="宋体" w:hAnsi="宋体" w:eastAsia="方正小标宋简体"/>
          <w:sz w:val="44"/>
          <w:szCs w:val="44"/>
        </w:rPr>
        <w:t>》</w:t>
      </w:r>
      <w:bookmarkEnd w:id="153"/>
      <w:bookmarkEnd w:id="154"/>
      <w:bookmarkEnd w:id="155"/>
      <w:bookmarkEnd w:id="156"/>
      <w:bookmarkEnd w:id="157"/>
      <w:bookmarkEnd w:id="158"/>
      <w:bookmarkEnd w:id="159"/>
      <w:bookmarkEnd w:id="161"/>
      <w:bookmarkEnd w:id="162"/>
    </w:p>
    <w:p w14:paraId="0AD576E9">
      <w:pPr>
        <w:jc w:val="center"/>
        <w:outlineLvl w:val="0"/>
        <w:rPr>
          <w:rFonts w:ascii="宋体" w:hAnsi="宋体" w:eastAsia="仿宋_GB2312"/>
          <w:sz w:val="32"/>
          <w:szCs w:val="32"/>
        </w:rPr>
      </w:pPr>
      <w:bookmarkStart w:id="163" w:name="_Toc8887"/>
      <w:bookmarkStart w:id="164" w:name="_Toc23743"/>
      <w:bookmarkStart w:id="165" w:name="_Toc20602"/>
      <w:bookmarkStart w:id="166" w:name="_Toc21854"/>
      <w:bookmarkStart w:id="167" w:name="_Toc31183"/>
      <w:bookmarkStart w:id="168" w:name="_Toc23566"/>
      <w:bookmarkStart w:id="169" w:name="_Toc7612"/>
      <w:bookmarkStart w:id="170" w:name="_Toc490"/>
      <w:bookmarkStart w:id="171" w:name="_Toc23274"/>
      <w:r>
        <w:rPr>
          <w:rFonts w:hint="eastAsia" w:ascii="宋体" w:hAnsi="宋体" w:eastAsia="仿宋_GB2312"/>
          <w:sz w:val="32"/>
          <w:szCs w:val="32"/>
        </w:rPr>
        <w:t>（</w:t>
      </w:r>
      <w:r>
        <w:rPr>
          <w:rFonts w:hint="eastAsia" w:ascii="宋体" w:hAnsi="宋体" w:eastAsia="仿宋_GB2312" w:cs="Times New Roman"/>
          <w:sz w:val="32"/>
          <w:szCs w:val="32"/>
        </w:rPr>
        <w:t>■</w:t>
      </w:r>
      <w:r>
        <w:rPr>
          <w:rFonts w:hint="eastAsia" w:ascii="宋体" w:hAnsi="宋体" w:eastAsia="仿宋_GB2312"/>
          <w:sz w:val="32"/>
          <w:szCs w:val="32"/>
        </w:rPr>
        <w:t>征求意见稿</w:t>
      </w:r>
      <w:r>
        <w:rPr>
          <w:rFonts w:ascii="宋体" w:hAnsi="宋体" w:eastAsia="仿宋_GB2312"/>
          <w:sz w:val="32"/>
          <w:szCs w:val="32"/>
        </w:rPr>
        <w:t xml:space="preserve">  </w:t>
      </w:r>
      <w:r>
        <w:rPr>
          <w:rFonts w:hint="eastAsia" w:ascii="宋体" w:hAnsi="宋体" w:eastAsia="仿宋_GB2312"/>
          <w:sz w:val="32"/>
          <w:szCs w:val="32"/>
        </w:rPr>
        <w:t>□送审稿</w:t>
      </w:r>
      <w:r>
        <w:rPr>
          <w:rFonts w:ascii="宋体" w:hAnsi="宋体" w:eastAsia="仿宋_GB2312"/>
          <w:sz w:val="32"/>
          <w:szCs w:val="32"/>
        </w:rPr>
        <w:t xml:space="preserve">  </w:t>
      </w:r>
      <w:r>
        <w:rPr>
          <w:rFonts w:hint="eastAsia" w:ascii="宋体" w:hAnsi="宋体" w:eastAsia="仿宋_GB2312"/>
          <w:sz w:val="32"/>
          <w:szCs w:val="32"/>
        </w:rPr>
        <w:t>□报批稿）</w:t>
      </w:r>
      <w:bookmarkEnd w:id="163"/>
      <w:bookmarkEnd w:id="164"/>
      <w:bookmarkEnd w:id="165"/>
      <w:bookmarkEnd w:id="166"/>
      <w:bookmarkEnd w:id="167"/>
      <w:bookmarkEnd w:id="168"/>
      <w:bookmarkEnd w:id="169"/>
      <w:bookmarkEnd w:id="170"/>
      <w:bookmarkEnd w:id="171"/>
    </w:p>
    <w:p w14:paraId="639373CD">
      <w:pPr>
        <w:jc w:val="center"/>
        <w:rPr>
          <w:rFonts w:ascii="宋体" w:hAnsi="宋体" w:eastAsia="方正小标宋简体"/>
          <w:sz w:val="44"/>
          <w:szCs w:val="44"/>
        </w:rPr>
      </w:pPr>
    </w:p>
    <w:p w14:paraId="5A93F9B3">
      <w:pPr>
        <w:jc w:val="center"/>
        <w:outlineLvl w:val="0"/>
        <w:rPr>
          <w:rFonts w:ascii="宋体" w:hAnsi="宋体" w:eastAsia="黑体" w:cs="黑体"/>
          <w:sz w:val="44"/>
          <w:szCs w:val="44"/>
        </w:rPr>
      </w:pPr>
      <w:bookmarkStart w:id="172" w:name="_Toc19089"/>
      <w:bookmarkStart w:id="173" w:name="_Toc27145"/>
      <w:bookmarkStart w:id="174" w:name="_Toc3523"/>
      <w:bookmarkStart w:id="175" w:name="_Toc8211"/>
      <w:bookmarkStart w:id="176" w:name="_Toc27044"/>
      <w:bookmarkStart w:id="177" w:name="_Toc12087"/>
      <w:bookmarkStart w:id="178" w:name="_Toc32189"/>
      <w:bookmarkStart w:id="179" w:name="_Toc10013"/>
      <w:bookmarkStart w:id="180" w:name="_Toc9890"/>
      <w:r>
        <w:rPr>
          <w:rFonts w:hint="eastAsia" w:ascii="宋体" w:hAnsi="宋体" w:eastAsia="黑体" w:cs="黑体"/>
          <w:sz w:val="44"/>
          <w:szCs w:val="44"/>
        </w:rPr>
        <w:t>编制说明</w:t>
      </w:r>
      <w:bookmarkEnd w:id="160"/>
      <w:bookmarkEnd w:id="172"/>
      <w:bookmarkEnd w:id="173"/>
      <w:bookmarkEnd w:id="174"/>
      <w:bookmarkEnd w:id="175"/>
      <w:bookmarkEnd w:id="176"/>
      <w:bookmarkEnd w:id="177"/>
      <w:bookmarkEnd w:id="178"/>
      <w:bookmarkEnd w:id="179"/>
      <w:bookmarkEnd w:id="180"/>
    </w:p>
    <w:p w14:paraId="7B695132">
      <w:pPr>
        <w:jc w:val="center"/>
        <w:rPr>
          <w:rFonts w:ascii="宋体" w:hAnsi="宋体" w:eastAsia="仿宋_GB2312"/>
          <w:i/>
          <w:iCs/>
          <w:sz w:val="28"/>
          <w:szCs w:val="28"/>
        </w:rPr>
      </w:pPr>
      <w:r>
        <w:rPr>
          <w:rFonts w:ascii="宋体" w:hAnsi="宋体" w:eastAsia="仿宋"/>
          <w:i/>
          <w:iCs/>
          <w:sz w:val="28"/>
          <w:szCs w:val="28"/>
        </w:rPr>
        <w:br w:type="textWrapping"/>
      </w:r>
    </w:p>
    <w:p w14:paraId="77249801">
      <w:pPr>
        <w:rPr>
          <w:rFonts w:ascii="宋体" w:hAnsi="宋体" w:eastAsia="仿宋_GB2312"/>
          <w:i/>
          <w:iCs/>
          <w:sz w:val="28"/>
          <w:szCs w:val="28"/>
        </w:rPr>
      </w:pPr>
    </w:p>
    <w:p w14:paraId="1242AF7C">
      <w:pPr>
        <w:jc w:val="center"/>
        <w:rPr>
          <w:rFonts w:ascii="宋体" w:hAnsi="宋体" w:eastAsia="仿宋_GB2312"/>
          <w:i/>
          <w:iCs/>
          <w:sz w:val="28"/>
          <w:szCs w:val="28"/>
        </w:rPr>
      </w:pPr>
    </w:p>
    <w:p w14:paraId="3BDDEC22">
      <w:pPr>
        <w:jc w:val="center"/>
        <w:rPr>
          <w:rFonts w:ascii="宋体" w:hAnsi="宋体" w:eastAsia="仿宋_GB2312"/>
          <w:i/>
          <w:iCs/>
          <w:sz w:val="28"/>
          <w:szCs w:val="28"/>
        </w:rPr>
      </w:pPr>
    </w:p>
    <w:p w14:paraId="7726165A">
      <w:pPr>
        <w:jc w:val="center"/>
        <w:rPr>
          <w:rFonts w:ascii="宋体" w:hAnsi="宋体" w:eastAsia="仿宋_GB2312"/>
          <w:i/>
          <w:iCs/>
          <w:sz w:val="28"/>
          <w:szCs w:val="28"/>
        </w:rPr>
      </w:pPr>
    </w:p>
    <w:p w14:paraId="2D2051FF">
      <w:pPr>
        <w:jc w:val="center"/>
        <w:rPr>
          <w:rFonts w:ascii="宋体" w:hAnsi="宋体" w:eastAsia="仿宋_GB2312"/>
          <w:i/>
          <w:iCs/>
          <w:sz w:val="28"/>
          <w:szCs w:val="28"/>
        </w:rPr>
      </w:pPr>
    </w:p>
    <w:p w14:paraId="0C206218">
      <w:pPr>
        <w:rPr>
          <w:rFonts w:ascii="宋体" w:hAnsi="宋体" w:eastAsia="仿宋_GB2312"/>
          <w:sz w:val="28"/>
          <w:szCs w:val="28"/>
        </w:rPr>
      </w:pPr>
    </w:p>
    <w:p w14:paraId="49565FF0">
      <w:pPr>
        <w:jc w:val="center"/>
        <w:outlineLvl w:val="0"/>
        <w:rPr>
          <w:rFonts w:ascii="宋体" w:hAnsi="宋体" w:eastAsia="仿宋_GB2312" w:cs="仿宋_GB2312"/>
          <w:sz w:val="32"/>
          <w:szCs w:val="32"/>
        </w:rPr>
      </w:pPr>
      <w:bookmarkStart w:id="181" w:name="_Toc30735"/>
      <w:bookmarkStart w:id="182" w:name="_Toc7900"/>
      <w:bookmarkStart w:id="183" w:name="_Toc22306"/>
      <w:bookmarkStart w:id="184" w:name="_Toc17144"/>
      <w:bookmarkStart w:id="185" w:name="_Toc31660"/>
      <w:bookmarkStart w:id="186" w:name="_Toc259"/>
      <w:bookmarkStart w:id="187" w:name="_Toc15656"/>
      <w:bookmarkStart w:id="188" w:name="_Toc11174"/>
      <w:bookmarkStart w:id="189" w:name="_Toc9678"/>
      <w:r>
        <w:rPr>
          <w:rFonts w:hint="eastAsia" w:ascii="宋体" w:hAnsi="宋体" w:eastAsia="仿宋_GB2312" w:cs="仿宋_GB2312"/>
          <w:sz w:val="32"/>
          <w:szCs w:val="32"/>
        </w:rPr>
        <w:t>标准编制组</w:t>
      </w:r>
      <w:bookmarkEnd w:id="181"/>
      <w:bookmarkEnd w:id="182"/>
      <w:bookmarkEnd w:id="183"/>
      <w:bookmarkEnd w:id="184"/>
      <w:bookmarkEnd w:id="185"/>
      <w:bookmarkEnd w:id="186"/>
      <w:bookmarkEnd w:id="187"/>
      <w:bookmarkEnd w:id="188"/>
      <w:bookmarkEnd w:id="189"/>
    </w:p>
    <w:p w14:paraId="1A4CFCD6">
      <w:pPr>
        <w:jc w:val="center"/>
        <w:outlineLvl w:val="0"/>
        <w:rPr>
          <w:rFonts w:ascii="宋体" w:hAnsi="宋体"/>
          <w:b/>
          <w:sz w:val="32"/>
          <w:szCs w:val="32"/>
        </w:rPr>
      </w:pPr>
      <w:bookmarkStart w:id="190" w:name="_Toc19397"/>
      <w:bookmarkStart w:id="191" w:name="_Toc5746"/>
      <w:bookmarkStart w:id="192" w:name="_Toc21411"/>
      <w:bookmarkStart w:id="193" w:name="_Toc8135"/>
      <w:bookmarkStart w:id="194" w:name="_Toc28957"/>
      <w:bookmarkStart w:id="195" w:name="_Toc26582"/>
      <w:bookmarkStart w:id="196" w:name="_Toc10134"/>
      <w:bookmarkStart w:id="197" w:name="_Toc15445"/>
      <w:bookmarkStart w:id="198" w:name="_Toc24934"/>
      <w:r>
        <w:rPr>
          <w:rFonts w:hint="eastAsia" w:ascii="宋体" w:hAnsi="宋体" w:eastAsia="仿宋_GB2312" w:cs="仿宋_GB2312"/>
          <w:sz w:val="32"/>
          <w:szCs w:val="32"/>
        </w:rPr>
        <w:t>2026年4月</w:t>
      </w:r>
      <w:bookmarkEnd w:id="190"/>
      <w:bookmarkEnd w:id="191"/>
      <w:bookmarkEnd w:id="192"/>
      <w:bookmarkEnd w:id="193"/>
      <w:bookmarkEnd w:id="194"/>
      <w:bookmarkEnd w:id="195"/>
      <w:bookmarkEnd w:id="196"/>
      <w:bookmarkEnd w:id="197"/>
      <w:bookmarkEnd w:id="198"/>
    </w:p>
    <w:p w14:paraId="34D9BC44">
      <w:pPr>
        <w:ind w:firstLine="880" w:firstLineChars="200"/>
        <w:jc w:val="center"/>
        <w:rPr>
          <w:rFonts w:ascii="宋体" w:hAnsi="宋体" w:eastAsia="方正小标宋_GBK" w:cs="方正小标宋_GBK"/>
          <w:sz w:val="44"/>
          <w:szCs w:val="44"/>
        </w:rPr>
        <w:sectPr>
          <w:headerReference r:id="rId18" w:type="default"/>
          <w:headerReference r:id="rId19" w:type="even"/>
          <w:pgSz w:w="11906" w:h="16838"/>
          <w:pgMar w:top="1701" w:right="1474" w:bottom="1474" w:left="1587" w:header="851" w:footer="992" w:gutter="0"/>
          <w:cols w:space="720" w:num="1"/>
          <w:docGrid w:type="lines" w:linePitch="312" w:charSpace="0"/>
        </w:sectPr>
      </w:pPr>
    </w:p>
    <w:p w14:paraId="0196751E">
      <w:pPr>
        <w:ind w:firstLine="880" w:firstLineChars="200"/>
        <w:jc w:val="center"/>
        <w:outlineLvl w:val="0"/>
        <w:rPr>
          <w:rFonts w:ascii="宋体" w:hAnsi="宋体" w:eastAsia="方正小标宋_GBK" w:cs="方正小标宋_GBK"/>
          <w:sz w:val="44"/>
          <w:szCs w:val="44"/>
        </w:rPr>
      </w:pPr>
      <w:bookmarkStart w:id="199" w:name="_Toc3960"/>
      <w:bookmarkStart w:id="200" w:name="_Toc11743"/>
      <w:bookmarkStart w:id="201" w:name="_Toc7327"/>
      <w:bookmarkStart w:id="202" w:name="_Toc29289"/>
      <w:bookmarkStart w:id="203" w:name="_Toc5496"/>
      <w:bookmarkStart w:id="204" w:name="_Toc32622"/>
      <w:bookmarkStart w:id="205" w:name="_Toc27843"/>
      <w:bookmarkStart w:id="206" w:name="_Toc22831"/>
      <w:bookmarkStart w:id="207" w:name="_Toc2352"/>
      <w:r>
        <w:rPr>
          <w:rFonts w:hint="eastAsia" w:ascii="宋体" w:hAnsi="宋体" w:eastAsia="方正小标宋_GBK" w:cs="方正小标宋_GBK"/>
          <w:sz w:val="44"/>
          <w:szCs w:val="44"/>
        </w:rPr>
        <w:t>说 明</w:t>
      </w:r>
      <w:bookmarkEnd w:id="199"/>
      <w:bookmarkEnd w:id="200"/>
      <w:bookmarkEnd w:id="201"/>
      <w:bookmarkEnd w:id="202"/>
      <w:bookmarkEnd w:id="203"/>
      <w:bookmarkEnd w:id="204"/>
      <w:bookmarkEnd w:id="205"/>
      <w:bookmarkEnd w:id="206"/>
      <w:bookmarkEnd w:id="207"/>
    </w:p>
    <w:p w14:paraId="081BA5F6">
      <w:pPr>
        <w:spacing w:line="360" w:lineRule="auto"/>
        <w:outlineLvl w:val="0"/>
        <w:rPr>
          <w:rFonts w:ascii="宋体" w:hAnsi="宋体" w:eastAsia="仿宋_GB2312"/>
          <w:sz w:val="24"/>
          <w:szCs w:val="21"/>
        </w:rPr>
      </w:pPr>
      <w:r>
        <w:rPr>
          <w:rFonts w:hint="eastAsia" w:ascii="宋体" w:hAnsi="宋体" w:eastAsia="仿宋_GB2312"/>
          <w:sz w:val="24"/>
          <w:szCs w:val="21"/>
        </w:rPr>
        <w:t xml:space="preserve">    </w:t>
      </w:r>
      <w:bookmarkStart w:id="208" w:name="_Toc3123"/>
      <w:bookmarkStart w:id="209" w:name="_Toc26979"/>
      <w:bookmarkStart w:id="210" w:name="_Toc30058"/>
      <w:bookmarkStart w:id="211" w:name="_Toc1198"/>
      <w:bookmarkStart w:id="212" w:name="_Toc28736"/>
      <w:bookmarkStart w:id="213" w:name="_Toc31505"/>
      <w:bookmarkStart w:id="214" w:name="_Toc20511"/>
      <w:bookmarkStart w:id="215" w:name="_Toc9742"/>
      <w:bookmarkStart w:id="216" w:name="_Toc4887"/>
      <w:r>
        <w:rPr>
          <w:rFonts w:hint="eastAsia" w:ascii="宋体" w:hAnsi="宋体" w:eastAsia="仿宋_GB2312"/>
          <w:sz w:val="24"/>
          <w:szCs w:val="21"/>
        </w:rPr>
        <w:t>1．标准编制说明的封面</w:t>
      </w:r>
      <w:bookmarkEnd w:id="208"/>
      <w:bookmarkEnd w:id="209"/>
      <w:bookmarkEnd w:id="210"/>
      <w:bookmarkEnd w:id="211"/>
      <w:bookmarkEnd w:id="212"/>
      <w:bookmarkEnd w:id="213"/>
      <w:bookmarkEnd w:id="214"/>
      <w:bookmarkEnd w:id="215"/>
      <w:bookmarkEnd w:id="216"/>
    </w:p>
    <w:p w14:paraId="5DCEB65A">
      <w:pPr>
        <w:spacing w:line="360" w:lineRule="auto"/>
        <w:ind w:firstLine="480" w:firstLineChars="200"/>
        <w:rPr>
          <w:rFonts w:ascii="宋体" w:hAnsi="宋体" w:eastAsia="仿宋_GB2312"/>
          <w:sz w:val="24"/>
          <w:szCs w:val="21"/>
        </w:rPr>
      </w:pPr>
      <w:r>
        <w:rPr>
          <w:rFonts w:hint="eastAsia" w:ascii="宋体" w:hAnsi="宋体" w:eastAsia="仿宋_GB2312"/>
          <w:sz w:val="24"/>
          <w:szCs w:val="21"/>
        </w:rPr>
        <w:t>（1）标准名称。应在封面靠上居中位置，与标准稿名称保持一致。字体字号为方正小标宋二号。</w:t>
      </w:r>
    </w:p>
    <w:p w14:paraId="7579850D">
      <w:pPr>
        <w:spacing w:line="360" w:lineRule="auto"/>
        <w:ind w:firstLine="480" w:firstLineChars="200"/>
        <w:rPr>
          <w:rFonts w:ascii="宋体" w:hAnsi="宋体" w:eastAsia="仿宋_GB2312"/>
          <w:sz w:val="24"/>
          <w:szCs w:val="21"/>
        </w:rPr>
      </w:pPr>
      <w:r>
        <w:rPr>
          <w:rFonts w:hint="eastAsia" w:ascii="宋体" w:hAnsi="宋体" w:eastAsia="仿宋_GB2312"/>
          <w:sz w:val="24"/>
          <w:szCs w:val="21"/>
        </w:rPr>
        <w:t>（2）标准文稿版次。在标准名称下方“征求意见稿、送审稿、报批稿”前的方框</w:t>
      </w:r>
      <w:r>
        <w:rPr>
          <w:rFonts w:hint="eastAsia" w:ascii="宋体" w:hAnsi="宋体" w:eastAsia="宋体" w:cs="宋体"/>
          <w:sz w:val="24"/>
          <w:szCs w:val="21"/>
        </w:rPr>
        <w:t>凃</w:t>
      </w:r>
      <w:r>
        <w:rPr>
          <w:rFonts w:hint="eastAsia" w:ascii="仿宋_GB2312" w:hAnsi="仿宋_GB2312" w:eastAsia="仿宋_GB2312" w:cs="仿宋_GB2312"/>
          <w:sz w:val="24"/>
          <w:szCs w:val="21"/>
        </w:rPr>
        <w:t>选其一，例如“</w:t>
      </w:r>
      <w:r>
        <w:rPr>
          <w:rFonts w:hint="eastAsia" w:ascii="宋体" w:hAnsi="宋体" w:eastAsia="华文宋体" w:cs="华文宋体"/>
          <w:sz w:val="24"/>
          <w:szCs w:val="21"/>
        </w:rPr>
        <w:t>■</w:t>
      </w:r>
      <w:r>
        <w:rPr>
          <w:rFonts w:hint="eastAsia" w:ascii="宋体" w:hAnsi="宋体" w:eastAsia="仿宋_GB2312"/>
          <w:sz w:val="24"/>
          <w:szCs w:val="21"/>
        </w:rPr>
        <w:t>征求意见稿”。字体字号为仿宋三号。</w:t>
      </w:r>
    </w:p>
    <w:p w14:paraId="718F0C5A">
      <w:pPr>
        <w:spacing w:line="360" w:lineRule="auto"/>
        <w:ind w:firstLine="480" w:firstLineChars="200"/>
        <w:rPr>
          <w:rFonts w:ascii="宋体" w:hAnsi="宋体" w:eastAsia="仿宋_GB2312"/>
          <w:sz w:val="24"/>
          <w:szCs w:val="21"/>
        </w:rPr>
      </w:pPr>
      <w:r>
        <w:rPr>
          <w:rFonts w:hint="eastAsia" w:ascii="宋体" w:hAnsi="宋体" w:eastAsia="仿宋_GB2312"/>
          <w:sz w:val="24"/>
          <w:szCs w:val="21"/>
        </w:rPr>
        <w:t>（3）标准编制组。在封面靠下居中位置。字体字号为仿宋三号。</w:t>
      </w:r>
    </w:p>
    <w:p w14:paraId="053B24C0">
      <w:pPr>
        <w:spacing w:line="360" w:lineRule="auto"/>
        <w:ind w:firstLine="480" w:firstLineChars="200"/>
        <w:rPr>
          <w:rFonts w:ascii="宋体" w:hAnsi="宋体" w:eastAsia="仿宋_GB2312"/>
          <w:sz w:val="24"/>
          <w:szCs w:val="21"/>
        </w:rPr>
      </w:pPr>
      <w:r>
        <w:rPr>
          <w:rFonts w:hint="eastAsia" w:ascii="宋体" w:hAnsi="宋体" w:eastAsia="仿宋_GB2312"/>
          <w:sz w:val="24"/>
          <w:szCs w:val="21"/>
        </w:rPr>
        <w:t>（4）编制日期。编制日期为本阶段完成的日期，以数字格式书写，字体为宋体，字号为三号。如：“2020</w:t>
      </w:r>
      <w:r>
        <w:rPr>
          <w:rFonts w:hint="eastAsia" w:ascii="宋体" w:hAnsi="宋体" w:eastAsia="仿宋_GB2312" w:cs="仿宋_GB2312"/>
          <w:sz w:val="24"/>
          <w:szCs w:val="21"/>
        </w:rPr>
        <w:t>年3月30日”</w:t>
      </w:r>
      <w:r>
        <w:rPr>
          <w:rFonts w:hint="eastAsia" w:ascii="宋体" w:hAnsi="宋体" w:eastAsia="仿宋_GB2312"/>
          <w:sz w:val="24"/>
          <w:szCs w:val="21"/>
        </w:rPr>
        <w:t>。</w:t>
      </w:r>
    </w:p>
    <w:p w14:paraId="6BE6D3F0">
      <w:pPr>
        <w:spacing w:line="360" w:lineRule="auto"/>
        <w:outlineLvl w:val="0"/>
        <w:rPr>
          <w:rFonts w:ascii="宋体" w:hAnsi="宋体" w:eastAsia="仿宋_GB2312"/>
          <w:sz w:val="24"/>
          <w:szCs w:val="21"/>
        </w:rPr>
      </w:pPr>
      <w:r>
        <w:rPr>
          <w:rFonts w:hint="eastAsia" w:ascii="宋体" w:hAnsi="宋体" w:eastAsia="仿宋_GB2312"/>
          <w:sz w:val="24"/>
          <w:szCs w:val="21"/>
        </w:rPr>
        <w:t xml:space="preserve">    </w:t>
      </w:r>
      <w:bookmarkStart w:id="217" w:name="_Toc3354"/>
      <w:bookmarkStart w:id="218" w:name="_Toc22678"/>
      <w:bookmarkStart w:id="219" w:name="_Toc9292"/>
      <w:bookmarkStart w:id="220" w:name="_Toc21294"/>
      <w:bookmarkStart w:id="221" w:name="_Toc5739"/>
      <w:bookmarkStart w:id="222" w:name="_Toc8376"/>
      <w:bookmarkStart w:id="223" w:name="_Toc15128"/>
      <w:bookmarkStart w:id="224" w:name="_Toc24498"/>
      <w:bookmarkStart w:id="225" w:name="_Toc19578"/>
      <w:r>
        <w:rPr>
          <w:rFonts w:hint="eastAsia" w:ascii="宋体" w:hAnsi="宋体" w:eastAsia="仿宋_GB2312"/>
          <w:sz w:val="24"/>
          <w:szCs w:val="21"/>
        </w:rPr>
        <w:t>2．标准编制说明的正文</w:t>
      </w:r>
      <w:bookmarkEnd w:id="217"/>
      <w:bookmarkEnd w:id="218"/>
      <w:bookmarkEnd w:id="219"/>
      <w:bookmarkEnd w:id="220"/>
      <w:bookmarkEnd w:id="221"/>
      <w:bookmarkEnd w:id="222"/>
      <w:bookmarkEnd w:id="223"/>
      <w:bookmarkEnd w:id="224"/>
      <w:bookmarkEnd w:id="225"/>
    </w:p>
    <w:p w14:paraId="4BC8C51C">
      <w:pPr>
        <w:spacing w:line="360" w:lineRule="auto"/>
        <w:ind w:firstLine="480" w:firstLineChars="200"/>
        <w:rPr>
          <w:rFonts w:ascii="宋体" w:hAnsi="宋体" w:eastAsia="仿宋_GB2312"/>
          <w:sz w:val="24"/>
          <w:szCs w:val="21"/>
        </w:rPr>
      </w:pPr>
      <w:r>
        <w:rPr>
          <w:rFonts w:hint="eastAsia" w:ascii="宋体" w:hAnsi="宋体" w:eastAsia="仿宋_GB2312"/>
          <w:sz w:val="24"/>
          <w:szCs w:val="21"/>
        </w:rPr>
        <w:t>（1）正文页边距为上3cm、下</w:t>
      </w:r>
      <w:r>
        <w:rPr>
          <w:rFonts w:ascii="宋体" w:hAnsi="宋体" w:eastAsia="仿宋_GB2312"/>
          <w:sz w:val="24"/>
          <w:szCs w:val="21"/>
        </w:rPr>
        <w:t>2.6</w:t>
      </w:r>
      <w:r>
        <w:rPr>
          <w:rFonts w:hint="eastAsia" w:ascii="宋体" w:hAnsi="宋体" w:eastAsia="仿宋_GB2312"/>
          <w:sz w:val="24"/>
          <w:szCs w:val="21"/>
        </w:rPr>
        <w:t>cm、左2.8cm、右2.6cm。</w:t>
      </w:r>
    </w:p>
    <w:p w14:paraId="02AE626F">
      <w:pPr>
        <w:spacing w:line="360" w:lineRule="auto"/>
        <w:ind w:firstLine="480" w:firstLineChars="200"/>
        <w:rPr>
          <w:rFonts w:ascii="宋体" w:hAnsi="宋体" w:eastAsia="仿宋_GB2312"/>
          <w:sz w:val="24"/>
          <w:szCs w:val="21"/>
        </w:rPr>
      </w:pPr>
      <w:r>
        <w:rPr>
          <w:rFonts w:hint="eastAsia" w:ascii="宋体" w:hAnsi="宋体" w:eastAsia="仿宋_GB2312"/>
          <w:sz w:val="24"/>
          <w:szCs w:val="21"/>
        </w:rPr>
        <w:t>（2）正文标题，一级标题用黑体三号字，二级标题用楷体三号字不加粗。三级、四级标题用仿宋GB-2312三号字不加粗。文中结构层次序数为“一、”“（一）”“1.”“（1）”标注。</w:t>
      </w:r>
    </w:p>
    <w:p w14:paraId="0B585769">
      <w:pPr>
        <w:spacing w:line="360" w:lineRule="auto"/>
        <w:ind w:firstLine="480" w:firstLineChars="200"/>
        <w:rPr>
          <w:rFonts w:ascii="宋体" w:hAnsi="宋体" w:eastAsia="仿宋_GB2312"/>
          <w:sz w:val="24"/>
          <w:szCs w:val="21"/>
        </w:rPr>
      </w:pPr>
      <w:r>
        <w:rPr>
          <w:rFonts w:hint="eastAsia" w:ascii="宋体" w:hAnsi="宋体" w:eastAsia="仿宋_GB2312"/>
          <w:sz w:val="24"/>
          <w:szCs w:val="21"/>
        </w:rPr>
        <w:t>（3）正文中文字体字号为仿宋GB-2312三号字，数字、字母等西文字体为宋体三号字，段落行距为28磅，首行缩进2字符。</w:t>
      </w:r>
    </w:p>
    <w:p w14:paraId="595CE24E">
      <w:pPr>
        <w:spacing w:line="360" w:lineRule="auto"/>
        <w:outlineLvl w:val="0"/>
        <w:rPr>
          <w:rFonts w:ascii="宋体" w:hAnsi="宋体" w:eastAsia="仿宋_GB2312"/>
          <w:sz w:val="24"/>
          <w:szCs w:val="21"/>
        </w:rPr>
      </w:pPr>
      <w:r>
        <w:rPr>
          <w:rFonts w:hint="eastAsia" w:ascii="宋体" w:hAnsi="宋体" w:eastAsia="仿宋_GB2312"/>
          <w:sz w:val="24"/>
          <w:szCs w:val="21"/>
        </w:rPr>
        <w:t xml:space="preserve">    </w:t>
      </w:r>
      <w:bookmarkStart w:id="226" w:name="_Toc30224"/>
      <w:bookmarkStart w:id="227" w:name="_Toc13181"/>
      <w:bookmarkStart w:id="228" w:name="_Toc31843"/>
      <w:bookmarkStart w:id="229" w:name="_Toc10033"/>
      <w:bookmarkStart w:id="230" w:name="_Toc13881"/>
      <w:bookmarkStart w:id="231" w:name="_Toc19084"/>
      <w:bookmarkStart w:id="232" w:name="_Toc30667"/>
      <w:bookmarkStart w:id="233" w:name="_Toc27532"/>
      <w:bookmarkStart w:id="234" w:name="_Toc24951"/>
      <w:r>
        <w:rPr>
          <w:rFonts w:hint="eastAsia" w:ascii="宋体" w:hAnsi="宋体" w:eastAsia="仿宋_GB2312"/>
          <w:sz w:val="24"/>
          <w:szCs w:val="21"/>
        </w:rPr>
        <w:t>3.编制说明的内容</w:t>
      </w:r>
      <w:bookmarkEnd w:id="226"/>
      <w:bookmarkEnd w:id="227"/>
      <w:bookmarkEnd w:id="228"/>
      <w:bookmarkEnd w:id="229"/>
      <w:bookmarkEnd w:id="230"/>
      <w:bookmarkEnd w:id="231"/>
      <w:bookmarkEnd w:id="232"/>
      <w:bookmarkEnd w:id="233"/>
      <w:bookmarkEnd w:id="234"/>
    </w:p>
    <w:p w14:paraId="76FA0606">
      <w:pPr>
        <w:widowControl/>
        <w:spacing w:line="360" w:lineRule="auto"/>
        <w:ind w:firstLine="480"/>
        <w:rPr>
          <w:rFonts w:ascii="宋体" w:hAnsi="宋体" w:eastAsia="仿宋_GB2312"/>
          <w:sz w:val="24"/>
          <w:szCs w:val="21"/>
        </w:rPr>
      </w:pPr>
      <w:r>
        <w:rPr>
          <w:rFonts w:hint="eastAsia" w:ascii="宋体" w:hAnsi="宋体" w:eastAsia="仿宋_GB2312"/>
          <w:sz w:val="24"/>
          <w:szCs w:val="21"/>
        </w:rPr>
        <w:t>（1）应按照格式要求逐条说明，不涉及的填“无”。</w:t>
      </w:r>
    </w:p>
    <w:p w14:paraId="31480C0E">
      <w:pPr>
        <w:widowControl/>
        <w:spacing w:line="360" w:lineRule="auto"/>
        <w:ind w:firstLine="480"/>
        <w:rPr>
          <w:rFonts w:ascii="宋体" w:hAnsi="宋体" w:eastAsia="仿宋_GB2312"/>
          <w:sz w:val="24"/>
          <w:szCs w:val="21"/>
        </w:rPr>
      </w:pPr>
      <w:r>
        <w:rPr>
          <w:rFonts w:hint="eastAsia" w:ascii="宋体" w:hAnsi="宋体" w:eastAsia="仿宋_GB2312"/>
          <w:sz w:val="24"/>
          <w:szCs w:val="21"/>
        </w:rPr>
        <w:t>（2）应根据工作进度不断补充完善，工作过程有连续性。</w:t>
      </w:r>
    </w:p>
    <w:p w14:paraId="1CBAF200">
      <w:pPr>
        <w:widowControl/>
        <w:spacing w:line="360" w:lineRule="auto"/>
        <w:ind w:firstLine="480"/>
        <w:rPr>
          <w:rFonts w:ascii="宋体" w:hAnsi="宋体" w:eastAsia="仿宋_GB2312"/>
          <w:sz w:val="24"/>
          <w:szCs w:val="21"/>
        </w:rPr>
      </w:pPr>
      <w:r>
        <w:rPr>
          <w:rFonts w:hint="eastAsia" w:ascii="宋体" w:hAnsi="宋体" w:eastAsia="仿宋_GB2312"/>
          <w:sz w:val="24"/>
          <w:szCs w:val="21"/>
        </w:rPr>
        <w:t>（3）编制说明不是对标准内容的复制。</w:t>
      </w:r>
    </w:p>
    <w:p w14:paraId="1F9D1651">
      <w:pPr>
        <w:spacing w:line="360" w:lineRule="auto"/>
        <w:ind w:firstLine="480" w:firstLineChars="200"/>
        <w:rPr>
          <w:rFonts w:ascii="宋体" w:hAnsi="宋体" w:eastAsia="仿宋_GB2312"/>
          <w:sz w:val="24"/>
          <w:szCs w:val="21"/>
        </w:rPr>
      </w:pPr>
      <w:r>
        <w:rPr>
          <w:rFonts w:hint="eastAsia" w:ascii="宋体" w:hAnsi="宋体" w:eastAsia="仿宋_GB2312"/>
          <w:sz w:val="24"/>
          <w:szCs w:val="21"/>
        </w:rPr>
        <w:t>（4）应关注强制性标准的依据、修订标准的主要技术内容比对、标准实施过渡期、强制性标准实施政策等重要内容的编写，详见下文模板。</w:t>
      </w:r>
    </w:p>
    <w:p w14:paraId="0EC34B19">
      <w:pPr>
        <w:widowControl/>
        <w:spacing w:line="360" w:lineRule="auto"/>
        <w:outlineLvl w:val="0"/>
        <w:rPr>
          <w:rFonts w:ascii="宋体" w:hAnsi="宋体" w:eastAsia="仿宋_GB2312"/>
          <w:sz w:val="24"/>
          <w:szCs w:val="21"/>
        </w:rPr>
      </w:pPr>
      <w:r>
        <w:rPr>
          <w:rFonts w:hint="eastAsia" w:ascii="宋体" w:hAnsi="宋体" w:eastAsia="仿宋_GB2312"/>
          <w:sz w:val="24"/>
          <w:szCs w:val="21"/>
        </w:rPr>
        <w:t xml:space="preserve">    </w:t>
      </w:r>
      <w:bookmarkStart w:id="235" w:name="_Toc25260"/>
      <w:bookmarkStart w:id="236" w:name="_Toc24998"/>
      <w:bookmarkStart w:id="237" w:name="_Toc29900"/>
      <w:bookmarkStart w:id="238" w:name="_Toc16550"/>
      <w:bookmarkStart w:id="239" w:name="_Toc6875"/>
      <w:bookmarkStart w:id="240" w:name="_Toc6416"/>
      <w:bookmarkStart w:id="241" w:name="_Toc25008"/>
      <w:bookmarkStart w:id="242" w:name="_Toc8445"/>
      <w:bookmarkStart w:id="243" w:name="_Toc25791"/>
      <w:r>
        <w:rPr>
          <w:rFonts w:hint="eastAsia" w:ascii="宋体" w:hAnsi="宋体" w:eastAsia="仿宋_GB2312"/>
          <w:sz w:val="24"/>
          <w:szCs w:val="21"/>
        </w:rPr>
        <w:t>4.其他</w:t>
      </w:r>
      <w:bookmarkEnd w:id="235"/>
      <w:bookmarkEnd w:id="236"/>
      <w:bookmarkEnd w:id="237"/>
      <w:bookmarkEnd w:id="238"/>
      <w:bookmarkEnd w:id="239"/>
      <w:bookmarkEnd w:id="240"/>
      <w:bookmarkEnd w:id="241"/>
      <w:bookmarkEnd w:id="242"/>
      <w:bookmarkEnd w:id="243"/>
    </w:p>
    <w:p w14:paraId="5FC3CC19">
      <w:pPr>
        <w:widowControl/>
        <w:spacing w:line="360" w:lineRule="auto"/>
        <w:ind w:firstLine="480"/>
        <w:rPr>
          <w:rFonts w:ascii="宋体" w:hAnsi="宋体" w:eastAsia="仿宋_GB2312"/>
          <w:sz w:val="24"/>
          <w:szCs w:val="21"/>
        </w:rPr>
      </w:pPr>
      <w:r>
        <w:rPr>
          <w:rFonts w:hint="eastAsia" w:ascii="宋体" w:hAnsi="宋体" w:eastAsia="仿宋_GB2312"/>
          <w:sz w:val="24"/>
          <w:szCs w:val="21"/>
        </w:rPr>
        <w:t>（1）编制说明内容模板中的斜体文字内容为参考，正式提交后应删除。</w:t>
      </w:r>
    </w:p>
    <w:p w14:paraId="2C96EAB7">
      <w:pPr>
        <w:widowControl/>
        <w:spacing w:line="360" w:lineRule="auto"/>
        <w:ind w:firstLine="480"/>
        <w:rPr>
          <w:rFonts w:ascii="宋体" w:hAnsi="宋体" w:eastAsia="仿宋_GB2312"/>
          <w:sz w:val="24"/>
          <w:szCs w:val="21"/>
        </w:rPr>
      </w:pPr>
      <w:r>
        <w:rPr>
          <w:rFonts w:hint="eastAsia" w:ascii="宋体" w:hAnsi="宋体" w:eastAsia="仿宋_GB2312"/>
          <w:sz w:val="24"/>
          <w:szCs w:val="21"/>
        </w:rPr>
        <w:t>（2）编制说明应正反面打印。本说明保留，打印首页反面。</w:t>
      </w:r>
    </w:p>
    <w:p w14:paraId="108497E2">
      <w:pPr>
        <w:widowControl/>
        <w:spacing w:line="360" w:lineRule="auto"/>
        <w:ind w:firstLine="480"/>
        <w:rPr>
          <w:rFonts w:ascii="宋体" w:hAnsi="宋体" w:eastAsia="仿宋_GB2312"/>
          <w:sz w:val="24"/>
          <w:szCs w:val="21"/>
        </w:rPr>
      </w:pPr>
      <w:r>
        <w:rPr>
          <w:rFonts w:hint="eastAsia" w:ascii="宋体" w:hAnsi="宋体" w:eastAsia="仿宋_GB2312"/>
          <w:sz w:val="24"/>
          <w:szCs w:val="21"/>
        </w:rPr>
        <w:t>（3）页码从第三页开始编，起始页码为“</w:t>
      </w:r>
      <w:r>
        <w:rPr>
          <w:rFonts w:ascii="宋体" w:hAnsi="宋体" w:eastAsia="仿宋_GB2312"/>
          <w:sz w:val="24"/>
          <w:szCs w:val="21"/>
        </w:rPr>
        <w:t>1</w:t>
      </w:r>
      <w:r>
        <w:rPr>
          <w:rFonts w:hint="eastAsia" w:ascii="宋体" w:hAnsi="宋体" w:eastAsia="仿宋_GB2312"/>
          <w:sz w:val="24"/>
          <w:szCs w:val="21"/>
        </w:rPr>
        <w:t>”，页码为五号宋体。</w:t>
      </w:r>
    </w:p>
    <w:p w14:paraId="031D030D">
      <w:pPr>
        <w:ind w:firstLine="1076" w:firstLineChars="336"/>
        <w:rPr>
          <w:rFonts w:ascii="宋体" w:hAnsi="宋体" w:eastAsia="等线"/>
          <w:b/>
          <w:sz w:val="32"/>
          <w:szCs w:val="32"/>
        </w:rPr>
      </w:pPr>
    </w:p>
    <w:p w14:paraId="4F154A56">
      <w:pPr>
        <w:snapToGrid w:val="0"/>
        <w:spacing w:line="360" w:lineRule="auto"/>
        <w:ind w:firstLine="560" w:firstLineChars="200"/>
        <w:rPr>
          <w:rFonts w:ascii="宋体" w:hAnsi="宋体" w:eastAsia="仿宋"/>
          <w:sz w:val="28"/>
          <w:szCs w:val="28"/>
        </w:rPr>
        <w:sectPr>
          <w:headerReference r:id="rId20" w:type="default"/>
          <w:footerReference r:id="rId22" w:type="default"/>
          <w:headerReference r:id="rId21" w:type="even"/>
          <w:footerReference r:id="rId23" w:type="even"/>
          <w:pgSz w:w="11906" w:h="16838"/>
          <w:pgMar w:top="1701" w:right="1474" w:bottom="1474" w:left="1587" w:header="851" w:footer="992" w:gutter="0"/>
          <w:cols w:space="720" w:num="1"/>
          <w:docGrid w:type="lines" w:linePitch="312" w:charSpace="0"/>
        </w:sectPr>
      </w:pPr>
    </w:p>
    <w:p w14:paraId="3E1D471F">
      <w:pPr>
        <w:widowControl/>
        <w:adjustRightInd w:val="0"/>
        <w:spacing w:line="560" w:lineRule="exact"/>
        <w:ind w:firstLine="640" w:firstLineChars="200"/>
        <w:outlineLvl w:val="0"/>
        <w:rPr>
          <w:rFonts w:ascii="宋体" w:hAnsi="宋体" w:eastAsia="黑体" w:cs="Times New Roman"/>
          <w:color w:val="000000"/>
          <w:sz w:val="32"/>
          <w:szCs w:val="32"/>
        </w:rPr>
      </w:pPr>
      <w:bookmarkStart w:id="244" w:name="_Toc22161"/>
      <w:bookmarkStart w:id="245" w:name="_Toc5437"/>
      <w:bookmarkStart w:id="246" w:name="_Toc193375457"/>
      <w:bookmarkStart w:id="247" w:name="_Toc22762"/>
      <w:bookmarkStart w:id="248" w:name="_Toc32385"/>
      <w:bookmarkStart w:id="249" w:name="_Toc30465"/>
      <w:bookmarkStart w:id="250" w:name="_Toc7598"/>
      <w:bookmarkStart w:id="251" w:name="_Toc193319243"/>
      <w:bookmarkStart w:id="252" w:name="_Toc12671"/>
      <w:bookmarkStart w:id="253" w:name="_Toc3367"/>
      <w:bookmarkStart w:id="254" w:name="_Toc17179"/>
      <w:r>
        <w:rPr>
          <w:rFonts w:hint="eastAsia" w:ascii="宋体" w:hAnsi="宋体" w:eastAsia="黑体" w:cs="Times New Roman"/>
          <w:color w:val="000000"/>
          <w:sz w:val="32"/>
          <w:szCs w:val="32"/>
        </w:rPr>
        <w:t>一、工作简况</w:t>
      </w:r>
      <w:bookmarkEnd w:id="244"/>
      <w:bookmarkEnd w:id="245"/>
      <w:bookmarkEnd w:id="246"/>
      <w:bookmarkEnd w:id="247"/>
      <w:bookmarkEnd w:id="248"/>
      <w:bookmarkEnd w:id="249"/>
      <w:bookmarkEnd w:id="250"/>
      <w:bookmarkEnd w:id="251"/>
      <w:bookmarkEnd w:id="252"/>
    </w:p>
    <w:p w14:paraId="5650B7B7">
      <w:pPr>
        <w:adjustRightInd w:val="0"/>
        <w:spacing w:line="560" w:lineRule="exact"/>
        <w:ind w:firstLine="640" w:firstLineChars="200"/>
        <w:outlineLvl w:val="0"/>
        <w:rPr>
          <w:rFonts w:ascii="宋体" w:hAnsi="宋体" w:eastAsia="楷体" w:cs="Times New Roman"/>
          <w:color w:val="000000"/>
          <w:sz w:val="32"/>
          <w:szCs w:val="32"/>
          <w:shd w:val="clear" w:color="auto" w:fill="FFFFFF"/>
        </w:rPr>
      </w:pPr>
      <w:bookmarkStart w:id="255" w:name="_Toc2901"/>
      <w:bookmarkStart w:id="256" w:name="_Toc26080"/>
      <w:bookmarkStart w:id="257" w:name="_Toc15504"/>
      <w:bookmarkStart w:id="258" w:name="_Toc28199"/>
      <w:bookmarkStart w:id="259" w:name="_Toc744"/>
      <w:bookmarkStart w:id="260" w:name="_Toc2600"/>
      <w:r>
        <w:rPr>
          <w:rFonts w:hint="eastAsia" w:ascii="宋体" w:hAnsi="宋体" w:eastAsia="楷体" w:cs="Times New Roman"/>
          <w:color w:val="000000"/>
          <w:sz w:val="32"/>
          <w:szCs w:val="32"/>
          <w:shd w:val="clear" w:color="auto" w:fill="FFFFFF"/>
        </w:rPr>
        <w:t>（一）任务来源</w:t>
      </w:r>
      <w:bookmarkEnd w:id="255"/>
      <w:bookmarkEnd w:id="256"/>
      <w:bookmarkEnd w:id="257"/>
      <w:bookmarkEnd w:id="258"/>
      <w:bookmarkEnd w:id="259"/>
      <w:bookmarkEnd w:id="260"/>
    </w:p>
    <w:p w14:paraId="115CEAAF">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根据《应急管理部办公厅关于印发34项行业标准制修订计划的通知》（应急厅函〔</w:t>
      </w:r>
      <w:r>
        <w:rPr>
          <w:rFonts w:hint="eastAsia" w:ascii="宋体" w:hAnsi="宋体" w:eastAsia="宋体" w:cs="宋体"/>
          <w:sz w:val="32"/>
          <w:szCs w:val="32"/>
          <w:shd w:val="clear" w:color="auto" w:fill="FFFFFF"/>
        </w:rPr>
        <w:t>2024</w:t>
      </w:r>
      <w:r>
        <w:rPr>
          <w:rFonts w:hint="eastAsia" w:ascii="宋体" w:hAnsi="宋体" w:eastAsia="仿宋_GB2312" w:cs="Times New Roman"/>
          <w:sz w:val="32"/>
          <w:szCs w:val="32"/>
          <w:shd w:val="clear" w:color="auto" w:fill="FFFFFF"/>
        </w:rPr>
        <w:t>〕</w:t>
      </w:r>
      <w:r>
        <w:rPr>
          <w:rFonts w:hint="eastAsia" w:ascii="宋体" w:hAnsi="宋体" w:cs="宋体"/>
          <w:sz w:val="32"/>
          <w:szCs w:val="32"/>
          <w:shd w:val="clear" w:color="auto" w:fill="FFFFFF"/>
        </w:rPr>
        <w:t>262</w:t>
      </w:r>
      <w:r>
        <w:rPr>
          <w:rFonts w:hint="eastAsia" w:ascii="宋体" w:hAnsi="宋体" w:eastAsia="仿宋_GB2312" w:cs="Times New Roman"/>
          <w:sz w:val="32"/>
          <w:szCs w:val="32"/>
          <w:shd w:val="clear" w:color="auto" w:fill="FFFFFF"/>
        </w:rPr>
        <w:t>号），《海洋石油专业设备检测检验机构条件》的制订计划编号为</w:t>
      </w:r>
      <w:r>
        <w:rPr>
          <w:rFonts w:hint="eastAsia" w:ascii="宋体" w:hAnsi="宋体" w:eastAsia="宋体" w:cs="宋体"/>
          <w:sz w:val="32"/>
          <w:szCs w:val="32"/>
          <w:shd w:val="clear" w:color="auto" w:fill="FFFFFF"/>
        </w:rPr>
        <w:t>2024-AQ-</w:t>
      </w:r>
      <w:r>
        <w:rPr>
          <w:rFonts w:hint="eastAsia" w:ascii="宋体" w:hAnsi="宋体" w:cs="宋体"/>
          <w:sz w:val="32"/>
          <w:szCs w:val="32"/>
          <w:shd w:val="clear" w:color="auto" w:fill="FFFFFF"/>
        </w:rPr>
        <w:t>32</w:t>
      </w:r>
      <w:r>
        <w:rPr>
          <w:rFonts w:hint="eastAsia" w:ascii="宋体" w:hAnsi="宋体" w:eastAsia="仿宋_GB2312" w:cs="Times New Roman"/>
          <w:sz w:val="32"/>
          <w:szCs w:val="32"/>
          <w:shd w:val="clear" w:color="auto" w:fill="FFFFFF"/>
        </w:rPr>
        <w:t>，由全国安全生产标准化技术委员会石油天然气开采安全分技术委员会（</w:t>
      </w:r>
      <w:r>
        <w:rPr>
          <w:rFonts w:hint="eastAsia" w:ascii="宋体" w:hAnsi="宋体" w:eastAsia="宋体" w:cs="宋体"/>
          <w:sz w:val="32"/>
          <w:szCs w:val="32"/>
          <w:shd w:val="clear" w:color="auto" w:fill="FFFFFF"/>
        </w:rPr>
        <w:t>TC 288/SC 10，</w:t>
      </w:r>
      <w:r>
        <w:rPr>
          <w:rFonts w:hint="eastAsia" w:ascii="宋体" w:hAnsi="宋体" w:eastAsia="仿宋_GB2312" w:cs="Times New Roman"/>
          <w:sz w:val="32"/>
          <w:szCs w:val="32"/>
          <w:shd w:val="clear" w:color="auto" w:fill="FFFFFF"/>
        </w:rPr>
        <w:t>以下简称“石油安全分标委”）组织起草和审查。</w:t>
      </w:r>
    </w:p>
    <w:p w14:paraId="60675228">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sz w:val="32"/>
          <w:szCs w:val="32"/>
          <w:shd w:val="clear" w:color="auto" w:fill="FFFFFF"/>
        </w:rPr>
        <w:t>2024年12月5日，石油安全分标委组织召开标准审核研讨会，会议提出增加海洋石油安全评价机构、生产设施发证检验机构的条件要求，将标准调整为《海洋石油安全评价检测检验机构条件》</w:t>
      </w:r>
      <w:r>
        <w:rPr>
          <w:rFonts w:hint="eastAsia" w:ascii="宋体" w:hAnsi="宋体" w:eastAsia="仿宋_GB2312" w:cs="Times New Roman"/>
          <w:color w:val="000000"/>
          <w:sz w:val="32"/>
          <w:szCs w:val="32"/>
          <w:shd w:val="clear" w:color="auto" w:fill="FFFFFF"/>
        </w:rPr>
        <w:t>。</w:t>
      </w:r>
    </w:p>
    <w:p w14:paraId="1815FE7D">
      <w:pPr>
        <w:adjustRightInd w:val="0"/>
        <w:spacing w:line="560" w:lineRule="exact"/>
        <w:ind w:firstLine="640" w:firstLineChars="200"/>
        <w:outlineLvl w:val="0"/>
        <w:rPr>
          <w:rFonts w:ascii="宋体" w:hAnsi="宋体" w:eastAsia="楷体" w:cs="Times New Roman"/>
          <w:color w:val="000000"/>
          <w:sz w:val="32"/>
          <w:szCs w:val="32"/>
          <w:shd w:val="clear" w:color="auto" w:fill="FFFFFF"/>
        </w:rPr>
      </w:pPr>
      <w:bookmarkStart w:id="261" w:name="_Toc16908"/>
      <w:bookmarkStart w:id="262" w:name="_Toc6283"/>
      <w:bookmarkStart w:id="263" w:name="_Toc1577"/>
      <w:bookmarkStart w:id="264" w:name="_Toc4818"/>
      <w:bookmarkStart w:id="265" w:name="_Toc9650"/>
      <w:bookmarkStart w:id="266" w:name="_Toc2210"/>
      <w:r>
        <w:rPr>
          <w:rFonts w:hint="eastAsia" w:ascii="宋体" w:hAnsi="宋体" w:eastAsia="楷体" w:cs="Times New Roman"/>
          <w:color w:val="000000"/>
          <w:sz w:val="32"/>
          <w:szCs w:val="32"/>
          <w:shd w:val="clear" w:color="auto" w:fill="FFFFFF"/>
        </w:rPr>
        <w:t>（二）制定背景</w:t>
      </w:r>
      <w:bookmarkEnd w:id="261"/>
      <w:bookmarkEnd w:id="262"/>
      <w:bookmarkEnd w:id="263"/>
      <w:bookmarkEnd w:id="264"/>
      <w:bookmarkEnd w:id="265"/>
      <w:bookmarkEnd w:id="266"/>
    </w:p>
    <w:p w14:paraId="057DC781">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近年来，海洋油气资源探明储量和开发均呈上升趋势。随着国内海洋石油工业发展，海洋油气资源开发已发展成为保障我国能源安全的重要力量。海上油气资源的开采，离不开海洋石油安全评价、生产设施发证检验、专业设备检测检验等法定工作，因此海洋石油安全评价检测检验机构的资质、能力水平显得尤为重要。</w:t>
      </w:r>
    </w:p>
    <w:p w14:paraId="2BB375CE">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国家相关法律法规对海洋石油安全评价检测检验机构的资质条件提出了管理要求，加强机构资质监督管理是保障海洋石油安全生产、防止和减少生产安全事故的重要措施之一。安全生产法第七十二条规定“承担安全评价、认证、检测、检验职责的机构应当具备国家规定的资质条件，</w:t>
      </w:r>
      <w:r>
        <w:rPr>
          <w:rFonts w:ascii="宋体" w:hAnsi="宋体" w:eastAsia="仿宋_GB2312" w:cs="Times New Roman"/>
          <w:sz w:val="32"/>
          <w:szCs w:val="32"/>
          <w:shd w:val="clear" w:color="auto" w:fill="FFFFFF"/>
        </w:rPr>
        <w:t>…</w:t>
      </w:r>
      <w:r>
        <w:rPr>
          <w:rFonts w:hint="eastAsia" w:ascii="宋体" w:hAnsi="宋体" w:eastAsia="仿宋_GB2312" w:cs="Times New Roman"/>
          <w:sz w:val="32"/>
          <w:szCs w:val="32"/>
          <w:shd w:val="clear" w:color="auto" w:fill="FFFFFF"/>
        </w:rPr>
        <w:t>，资质条件由国务院应急管理部门会同国务院有关部门制定”；《海洋石油安全生产规定》第三十三条规定“承担海洋石油生产设施发证检验、专业设备检测检验、安全评价和安全咨询的中介机构应当具备国家规定的资质”。</w:t>
      </w:r>
    </w:p>
    <w:p w14:paraId="47BE7540">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目前，海洋石油安全评价检测检验机构已初具规模，陆续有新的机构申请加入，但在进行海洋石油安全评价检测检验机构资质认可过程中，缺少相关标准规范支持。为落实安全生产法</w:t>
      </w:r>
      <w:r>
        <w:rPr>
          <w:rFonts w:hint="eastAsia" w:ascii="宋体" w:hAnsi="宋体" w:eastAsia="仿宋_GB2312" w:cs="Times New Roman"/>
          <w:sz w:val="32"/>
          <w:szCs w:val="32"/>
          <w:shd w:val="clear" w:color="auto" w:fill="FFFFFF"/>
          <w:lang w:eastAsia="zh-CN"/>
        </w:rPr>
        <w:t>、</w:t>
      </w:r>
      <w:r>
        <w:rPr>
          <w:rFonts w:hint="eastAsia" w:ascii="宋体" w:hAnsi="宋体" w:eastAsia="仿宋_GB2312" w:cs="Times New Roman"/>
          <w:sz w:val="32"/>
          <w:szCs w:val="32"/>
          <w:shd w:val="clear" w:color="auto" w:fill="FFFFFF"/>
        </w:rPr>
        <w:t>《海洋石油安全生产规定》有关要求，亟需建立《海洋石油安全评价检测检验机构条件》标准，作为应急管理部对海洋石油安全评价检测检验机构资质认可的依据，明确安全评价检测检验机构资质能力要求，方便从技术标准层面支撑海洋石油安全评价检测检验机构的资质认可、监督管理</w:t>
      </w:r>
      <w:r>
        <w:rPr>
          <w:rFonts w:hint="eastAsia" w:ascii="宋体" w:hAnsi="宋体" w:eastAsia="仿宋_GB2312" w:cs="Times New Roman"/>
          <w:sz w:val="32"/>
          <w:szCs w:val="32"/>
          <w:shd w:val="clear" w:color="auto" w:fill="FFFFFF"/>
          <w:lang w:eastAsia="zh-CN"/>
        </w:rPr>
        <w:t>；</w:t>
      </w:r>
      <w:r>
        <w:rPr>
          <w:rFonts w:hint="eastAsia" w:ascii="宋体" w:hAnsi="宋体" w:eastAsia="仿宋_GB2312" w:cs="Times New Roman"/>
          <w:sz w:val="32"/>
          <w:szCs w:val="32"/>
          <w:shd w:val="clear" w:color="auto" w:fill="FFFFFF"/>
        </w:rPr>
        <w:t>同时</w:t>
      </w:r>
      <w:r>
        <w:rPr>
          <w:rFonts w:hint="eastAsia" w:ascii="宋体" w:hAnsi="宋体" w:eastAsia="仿宋_GB2312" w:cs="Times New Roman"/>
          <w:sz w:val="32"/>
          <w:szCs w:val="32"/>
          <w:shd w:val="clear" w:color="auto" w:fill="FFFFFF"/>
          <w:lang w:eastAsia="zh-CN"/>
        </w:rPr>
        <w:t>，</w:t>
      </w:r>
      <w:r>
        <w:rPr>
          <w:rFonts w:hint="eastAsia" w:ascii="宋体" w:hAnsi="宋体" w:eastAsia="仿宋_GB2312" w:cs="Times New Roman"/>
          <w:sz w:val="32"/>
          <w:szCs w:val="32"/>
          <w:shd w:val="clear" w:color="auto" w:fill="FFFFFF"/>
        </w:rPr>
        <w:t>促进海洋石油安全评价检测检验机构加强自身能力建设，依法开展海洋石油安全评价检测检验工作，便于引领海洋石油安全评价检测检验行业规范、健康发展。</w:t>
      </w:r>
    </w:p>
    <w:p w14:paraId="0305C9ED">
      <w:pPr>
        <w:spacing w:line="560" w:lineRule="exact"/>
        <w:ind w:firstLine="640" w:firstLineChars="200"/>
        <w:rPr>
          <w:rFonts w:ascii="宋体" w:hAnsi="宋体" w:eastAsia="楷体"/>
          <w:sz w:val="32"/>
          <w:szCs w:val="32"/>
          <w:shd w:val="clear" w:color="auto" w:fill="FFFFFF"/>
        </w:rPr>
      </w:pPr>
      <w:r>
        <w:rPr>
          <w:rFonts w:ascii="宋体" w:hAnsi="宋体" w:eastAsia="楷体"/>
          <w:sz w:val="32"/>
          <w:szCs w:val="32"/>
          <w:shd w:val="clear" w:color="auto" w:fill="FFFFFF"/>
        </w:rPr>
        <w:t>（三）起草小组人员组成及所在单位</w:t>
      </w:r>
    </w:p>
    <w:p w14:paraId="09E10697">
      <w:pPr>
        <w:spacing w:line="560" w:lineRule="exact"/>
        <w:ind w:firstLine="640" w:firstLineChars="200"/>
        <w:rPr>
          <w:rFonts w:ascii="宋体" w:hAnsi="宋体" w:eastAsia="仿宋_GB2312"/>
          <w:sz w:val="32"/>
          <w:szCs w:val="32"/>
          <w:shd w:val="clear" w:color="auto" w:fill="FFFFFF"/>
        </w:rPr>
      </w:pPr>
      <w:r>
        <w:rPr>
          <w:rFonts w:ascii="宋体" w:hAnsi="宋体" w:eastAsia="仿宋_GB2312"/>
          <w:sz w:val="32"/>
          <w:szCs w:val="32"/>
          <w:shd w:val="clear" w:color="auto" w:fill="FFFFFF"/>
        </w:rPr>
        <w:t>根据立项计划，2024年</w:t>
      </w:r>
      <w:r>
        <w:rPr>
          <w:rFonts w:hint="eastAsia" w:ascii="宋体" w:hAnsi="宋体" w:eastAsia="仿宋_GB2312"/>
          <w:sz w:val="32"/>
          <w:szCs w:val="32"/>
          <w:shd w:val="clear" w:color="auto" w:fill="FFFFFF"/>
          <w:lang w:val="en-US" w:eastAsia="zh-CN"/>
        </w:rPr>
        <w:t>9</w:t>
      </w:r>
      <w:r>
        <w:rPr>
          <w:rFonts w:ascii="宋体" w:hAnsi="宋体" w:eastAsia="仿宋_GB2312"/>
          <w:sz w:val="32"/>
          <w:szCs w:val="32"/>
          <w:shd w:val="clear" w:color="auto" w:fill="FFFFFF"/>
        </w:rPr>
        <w:t>月成立标准起草工作组，</w:t>
      </w:r>
      <w:r>
        <w:rPr>
          <w:rFonts w:hint="eastAsia" w:ascii="宋体" w:hAnsi="宋体" w:eastAsia="仿宋_GB2312"/>
          <w:sz w:val="32"/>
          <w:szCs w:val="32"/>
          <w:shd w:val="clear" w:color="auto" w:fill="FFFFFF"/>
        </w:rPr>
        <w:t>中海石油技术检测有限公司</w:t>
      </w:r>
      <w:r>
        <w:rPr>
          <w:rFonts w:ascii="宋体" w:hAnsi="宋体" w:eastAsia="仿宋_GB2312"/>
          <w:sz w:val="32"/>
          <w:szCs w:val="32"/>
          <w:shd w:val="clear" w:color="auto" w:fill="FFFFFF"/>
        </w:rPr>
        <w:t>牵头负责本文件的修订工作。</w:t>
      </w:r>
    </w:p>
    <w:p w14:paraId="1B7E6D4D">
      <w:pPr>
        <w:adjustRightInd w:val="0"/>
        <w:spacing w:line="560" w:lineRule="exact"/>
        <w:ind w:firstLine="640" w:firstLineChars="200"/>
        <w:outlineLvl w:val="0"/>
        <w:rPr>
          <w:rFonts w:ascii="宋体" w:hAnsi="宋体" w:eastAsia="楷体" w:cs="Times New Roman"/>
          <w:color w:val="000000"/>
          <w:sz w:val="32"/>
          <w:szCs w:val="32"/>
          <w:shd w:val="clear" w:color="auto" w:fill="FFFFFF"/>
        </w:rPr>
      </w:pPr>
      <w:bookmarkStart w:id="267" w:name="_Toc16526"/>
      <w:bookmarkStart w:id="268" w:name="_Toc1702"/>
      <w:bookmarkStart w:id="269" w:name="_Toc31296"/>
      <w:bookmarkStart w:id="270" w:name="_Toc26950"/>
      <w:bookmarkStart w:id="271" w:name="_Toc26595"/>
      <w:bookmarkStart w:id="272" w:name="_Toc14932"/>
      <w:r>
        <w:rPr>
          <w:rFonts w:hint="eastAsia" w:ascii="宋体" w:hAnsi="宋体" w:eastAsia="楷体" w:cs="Times New Roman"/>
          <w:color w:val="000000"/>
          <w:sz w:val="32"/>
          <w:szCs w:val="32"/>
          <w:shd w:val="clear" w:color="auto" w:fill="FFFFFF"/>
        </w:rPr>
        <w:t>（四）主要起草过程</w:t>
      </w:r>
      <w:bookmarkEnd w:id="267"/>
      <w:bookmarkEnd w:id="268"/>
      <w:bookmarkEnd w:id="269"/>
      <w:bookmarkEnd w:id="270"/>
      <w:bookmarkEnd w:id="271"/>
      <w:bookmarkEnd w:id="272"/>
    </w:p>
    <w:p w14:paraId="005A43AB">
      <w:pPr>
        <w:adjustRightInd w:val="0"/>
        <w:spacing w:line="560" w:lineRule="exact"/>
        <w:ind w:firstLine="640" w:firstLineChars="200"/>
        <w:rPr>
          <w:rFonts w:ascii="宋体" w:hAnsi="宋体"/>
        </w:rPr>
      </w:pPr>
      <w:r>
        <w:rPr>
          <w:rFonts w:hint="eastAsia" w:ascii="宋体" w:hAnsi="宋体" w:eastAsia="仿宋_GB2312" w:cs="Times New Roman"/>
          <w:sz w:val="32"/>
          <w:szCs w:val="32"/>
          <w:shd w:val="clear" w:color="auto" w:fill="FFFFFF"/>
        </w:rPr>
        <w:t>2024年</w:t>
      </w:r>
      <w:r>
        <w:rPr>
          <w:rFonts w:hint="eastAsia" w:ascii="宋体" w:hAnsi="宋体" w:eastAsia="仿宋_GB2312" w:cs="Times New Roman"/>
          <w:sz w:val="32"/>
          <w:szCs w:val="32"/>
          <w:shd w:val="clear" w:color="auto" w:fill="FFFFFF"/>
          <w:lang w:val="en-US" w:eastAsia="zh-CN"/>
        </w:rPr>
        <w:t>9</w:t>
      </w:r>
      <w:r>
        <w:rPr>
          <w:rFonts w:hint="eastAsia" w:ascii="宋体" w:hAnsi="宋体" w:eastAsia="仿宋_GB2312" w:cs="Times New Roman"/>
          <w:sz w:val="32"/>
          <w:szCs w:val="32"/>
          <w:shd w:val="clear" w:color="auto" w:fill="FFFFFF"/>
        </w:rPr>
        <w:t>月至2026年4月，起草组采取共同研讨和集中办公的方式开展本文件起草工作，期间，应急管理部海油安监办组织</w:t>
      </w:r>
      <w:r>
        <w:rPr>
          <w:rFonts w:hint="eastAsia" w:ascii="宋体" w:hAnsi="宋体" w:eastAsia="仿宋_GB2312" w:cs="Times New Roman"/>
          <w:sz w:val="32"/>
          <w:szCs w:val="32"/>
          <w:shd w:val="clear" w:color="auto" w:fill="FFFFFF"/>
          <w:lang w:val="en-US" w:eastAsia="zh-CN"/>
        </w:rPr>
        <w:t>4</w:t>
      </w:r>
      <w:r>
        <w:rPr>
          <w:rFonts w:hint="eastAsia" w:ascii="宋体" w:hAnsi="宋体" w:eastAsia="仿宋_GB2312" w:cs="Times New Roman"/>
          <w:sz w:val="32"/>
          <w:szCs w:val="32"/>
          <w:shd w:val="clear" w:color="auto" w:fill="FFFFFF"/>
        </w:rPr>
        <w:t>次审核研讨会、石油安全分标委组织6次审核研讨会、海油安监办海油分部组织9次讨论会，2026年4月，海油安监办就本文件向海油安监办中油分部、石化分部、海油分部等相关单位征求意见，共计收到40条意见，起草组经逐条梳理与审慎研究，采纳24条，部分采纳6条，未采纳10条。至此，本文件经过多轮</w:t>
      </w:r>
      <w:r>
        <w:rPr>
          <w:rFonts w:hint="eastAsia" w:ascii="宋体" w:hAnsi="宋体" w:eastAsia="仿宋_GB2312" w:cs="Times New Roman"/>
          <w:sz w:val="32"/>
          <w:szCs w:val="32"/>
          <w:shd w:val="clear" w:color="auto" w:fill="FFFFFF"/>
          <w:lang w:eastAsia="zh-CN"/>
        </w:rPr>
        <w:t>审核</w:t>
      </w:r>
      <w:r>
        <w:rPr>
          <w:rFonts w:hint="eastAsia" w:ascii="宋体" w:hAnsi="宋体" w:eastAsia="仿宋_GB2312" w:cs="Times New Roman"/>
          <w:sz w:val="32"/>
          <w:szCs w:val="32"/>
          <w:shd w:val="clear" w:color="auto" w:fill="FFFFFF"/>
        </w:rPr>
        <w:t>、修改，形成征求意见稿。</w:t>
      </w:r>
    </w:p>
    <w:p w14:paraId="09A5255A">
      <w:pPr>
        <w:widowControl/>
        <w:numPr>
          <w:ilvl w:val="0"/>
          <w:numId w:val="30"/>
        </w:numPr>
        <w:spacing w:line="560" w:lineRule="exact"/>
        <w:ind w:firstLine="640" w:firstLineChars="200"/>
        <w:outlineLvl w:val="0"/>
        <w:rPr>
          <w:rFonts w:ascii="宋体" w:hAnsi="宋体" w:eastAsia="黑体" w:cs="Times New Roman"/>
          <w:color w:val="000000"/>
          <w:sz w:val="32"/>
          <w:szCs w:val="32"/>
        </w:rPr>
      </w:pPr>
      <w:bookmarkStart w:id="273" w:name="_Toc10565"/>
      <w:bookmarkStart w:id="274" w:name="_Toc11491"/>
      <w:bookmarkStart w:id="275" w:name="_Toc17991"/>
      <w:bookmarkStart w:id="276" w:name="_Toc15800"/>
      <w:bookmarkStart w:id="277" w:name="_Toc4130"/>
      <w:bookmarkStart w:id="278" w:name="_Toc15844"/>
      <w:bookmarkStart w:id="279" w:name="_Toc12105"/>
      <w:bookmarkStart w:id="280" w:name="_Toc193319244"/>
      <w:bookmarkStart w:id="281" w:name="_Toc193375458"/>
      <w:r>
        <w:rPr>
          <w:rFonts w:hint="eastAsia" w:ascii="宋体" w:hAnsi="宋体" w:eastAsia="黑体" w:cs="Times New Roman"/>
          <w:color w:val="000000"/>
          <w:sz w:val="32"/>
          <w:szCs w:val="32"/>
        </w:rPr>
        <w:t>标准编制原则、主要技术内容及其确定依据</w:t>
      </w:r>
      <w:bookmarkEnd w:id="273"/>
      <w:bookmarkEnd w:id="274"/>
      <w:bookmarkEnd w:id="275"/>
      <w:bookmarkEnd w:id="276"/>
      <w:bookmarkEnd w:id="277"/>
      <w:bookmarkEnd w:id="278"/>
      <w:bookmarkEnd w:id="279"/>
      <w:bookmarkEnd w:id="280"/>
      <w:bookmarkEnd w:id="281"/>
    </w:p>
    <w:p w14:paraId="3E4E3BA4">
      <w:pPr>
        <w:adjustRightInd w:val="0"/>
        <w:spacing w:line="560" w:lineRule="exact"/>
        <w:ind w:firstLine="640" w:firstLineChars="200"/>
        <w:outlineLvl w:val="0"/>
        <w:rPr>
          <w:rFonts w:ascii="宋体" w:hAnsi="宋体" w:eastAsia="楷体" w:cs="Times New Roman"/>
          <w:sz w:val="32"/>
          <w:szCs w:val="32"/>
          <w:shd w:val="clear" w:color="auto" w:fill="FFFFFF"/>
        </w:rPr>
      </w:pPr>
      <w:bookmarkStart w:id="282" w:name="_Toc15920"/>
      <w:bookmarkStart w:id="283" w:name="_Toc17135"/>
      <w:bookmarkStart w:id="284" w:name="_Toc4611"/>
      <w:bookmarkStart w:id="285" w:name="_Toc9862"/>
      <w:bookmarkStart w:id="286" w:name="_Toc6699"/>
      <w:bookmarkStart w:id="287" w:name="_Toc17265"/>
      <w:r>
        <w:rPr>
          <w:rFonts w:hint="eastAsia" w:ascii="宋体" w:hAnsi="宋体" w:eastAsia="楷体" w:cs="Times New Roman"/>
          <w:sz w:val="32"/>
          <w:szCs w:val="32"/>
          <w:shd w:val="clear" w:color="auto" w:fill="FFFFFF"/>
        </w:rPr>
        <w:t>（一）标准编制原则</w:t>
      </w:r>
      <w:bookmarkEnd w:id="282"/>
      <w:bookmarkEnd w:id="283"/>
      <w:bookmarkEnd w:id="284"/>
      <w:bookmarkEnd w:id="285"/>
      <w:bookmarkEnd w:id="286"/>
      <w:bookmarkEnd w:id="287"/>
    </w:p>
    <w:p w14:paraId="545ADF41">
      <w:pPr>
        <w:adjustRightInd w:val="0"/>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本文件在制定的过程中严格执行《标准化工作导则 第1部分：标准化文件的结构和起草规则》（GB/T 1.1-2020）的要求，对标准进行认真的策划和编排，确保标准层次清楚、逻辑严谨、条理通顺，便于实施。</w:t>
      </w:r>
    </w:p>
    <w:p w14:paraId="75AC08E4">
      <w:pPr>
        <w:adjustRightInd w:val="0"/>
        <w:spacing w:line="560" w:lineRule="exact"/>
        <w:ind w:firstLine="640" w:firstLineChars="200"/>
        <w:outlineLvl w:val="1"/>
        <w:rPr>
          <w:rFonts w:ascii="宋体" w:hAnsi="宋体" w:eastAsia="仿宋_GB2312" w:cs="Times New Roman"/>
          <w:sz w:val="32"/>
          <w:szCs w:val="32"/>
          <w:shd w:val="clear" w:color="auto" w:fill="FFFFFF"/>
        </w:rPr>
      </w:pPr>
      <w:bookmarkStart w:id="288" w:name="_Toc8502"/>
      <w:bookmarkStart w:id="289" w:name="_Toc28509"/>
      <w:bookmarkStart w:id="290" w:name="_Toc17108"/>
      <w:bookmarkStart w:id="291" w:name="_Toc30676"/>
      <w:bookmarkStart w:id="292" w:name="_Toc28780"/>
      <w:bookmarkStart w:id="293" w:name="_Toc4284"/>
      <w:r>
        <w:rPr>
          <w:rFonts w:hint="eastAsia" w:ascii="宋体" w:hAnsi="宋体" w:eastAsia="仿宋_GB2312" w:cs="Times New Roman"/>
          <w:sz w:val="32"/>
          <w:szCs w:val="32"/>
          <w:shd w:val="clear" w:color="auto" w:fill="FFFFFF"/>
        </w:rPr>
        <w:t>1.协调性</w:t>
      </w:r>
      <w:bookmarkEnd w:id="288"/>
      <w:bookmarkEnd w:id="289"/>
      <w:bookmarkEnd w:id="290"/>
      <w:bookmarkEnd w:id="291"/>
      <w:bookmarkEnd w:id="292"/>
      <w:bookmarkEnd w:id="293"/>
    </w:p>
    <w:p w14:paraId="3A338D15">
      <w:pPr>
        <w:adjustRightInd w:val="0"/>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标准编制要保证与现行法律法规、规章规范的协调性，基本条件应参考现行资质认定条件；同时具体条款不能与法规要求相冲突。</w:t>
      </w:r>
    </w:p>
    <w:p w14:paraId="419F4560">
      <w:pPr>
        <w:adjustRightInd w:val="0"/>
        <w:spacing w:line="560" w:lineRule="exact"/>
        <w:ind w:firstLine="640" w:firstLineChars="200"/>
        <w:outlineLvl w:val="1"/>
        <w:rPr>
          <w:rFonts w:ascii="宋体" w:hAnsi="宋体" w:eastAsia="仿宋_GB2312" w:cs="Times New Roman"/>
          <w:sz w:val="32"/>
          <w:szCs w:val="32"/>
          <w:shd w:val="clear" w:color="auto" w:fill="FFFFFF"/>
        </w:rPr>
      </w:pPr>
      <w:bookmarkStart w:id="294" w:name="_Toc26999"/>
      <w:bookmarkStart w:id="295" w:name="_Toc17353"/>
      <w:bookmarkStart w:id="296" w:name="_Toc24569"/>
      <w:bookmarkStart w:id="297" w:name="_Toc20994"/>
      <w:bookmarkStart w:id="298" w:name="_Toc20125"/>
      <w:bookmarkStart w:id="299" w:name="_Toc5823"/>
      <w:r>
        <w:rPr>
          <w:rFonts w:hint="eastAsia" w:ascii="宋体" w:hAnsi="宋体" w:eastAsia="仿宋_GB2312" w:cs="Times New Roman"/>
          <w:sz w:val="32"/>
          <w:szCs w:val="32"/>
          <w:shd w:val="clear" w:color="auto" w:fill="FFFFFF"/>
        </w:rPr>
        <w:t>2.适用性</w:t>
      </w:r>
      <w:bookmarkEnd w:id="294"/>
      <w:bookmarkEnd w:id="295"/>
      <w:bookmarkEnd w:id="296"/>
      <w:bookmarkEnd w:id="297"/>
      <w:bookmarkEnd w:id="298"/>
      <w:bookmarkEnd w:id="299"/>
    </w:p>
    <w:p w14:paraId="7E7C760C">
      <w:pPr>
        <w:adjustRightInd w:val="0"/>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广泛收集目前现行法律、法规、标准、规范中与海洋石油安全评价检测检验机构的相关要求，充分调研了解安全评价检测检验机构发展现状，确保标准条款与发展实际相结合，确保标准的适用性。</w:t>
      </w:r>
    </w:p>
    <w:p w14:paraId="4BFE5C9E">
      <w:pPr>
        <w:adjustRightInd w:val="0"/>
        <w:spacing w:line="560" w:lineRule="exact"/>
        <w:ind w:firstLine="640" w:firstLineChars="200"/>
        <w:outlineLvl w:val="1"/>
        <w:rPr>
          <w:rFonts w:ascii="宋体" w:hAnsi="宋体" w:eastAsia="仿宋_GB2312" w:cs="Times New Roman"/>
          <w:sz w:val="32"/>
          <w:szCs w:val="32"/>
          <w:shd w:val="clear" w:color="auto" w:fill="FFFFFF"/>
        </w:rPr>
      </w:pPr>
      <w:bookmarkStart w:id="300" w:name="_Toc2745"/>
      <w:bookmarkStart w:id="301" w:name="_Toc32167"/>
      <w:bookmarkStart w:id="302" w:name="_Toc23305"/>
      <w:bookmarkStart w:id="303" w:name="_Toc13427"/>
      <w:bookmarkStart w:id="304" w:name="_Toc28976"/>
      <w:bookmarkStart w:id="305" w:name="_Toc28894"/>
      <w:r>
        <w:rPr>
          <w:rFonts w:hint="eastAsia" w:ascii="宋体" w:hAnsi="宋体" w:eastAsia="仿宋_GB2312" w:cs="Times New Roman"/>
          <w:sz w:val="32"/>
          <w:szCs w:val="32"/>
          <w:shd w:val="clear" w:color="auto" w:fill="FFFFFF"/>
        </w:rPr>
        <w:t>3.科学性</w:t>
      </w:r>
      <w:bookmarkEnd w:id="300"/>
      <w:bookmarkEnd w:id="301"/>
      <w:bookmarkEnd w:id="302"/>
      <w:bookmarkEnd w:id="303"/>
      <w:bookmarkEnd w:id="304"/>
      <w:bookmarkEnd w:id="305"/>
    </w:p>
    <w:p w14:paraId="5FD2CE0D">
      <w:pPr>
        <w:adjustRightInd w:val="0"/>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由行业内主要安全评价机构、生产设施发证检验机构、专业设备检测检验机构、生产单位、高等院校等代表单位参与编制，在行业内具有广泛代表性，作为新制定的标准，充分吸收、总结海洋石油安全评价检测检验机构资质认可的现行做法，保证标准的科学性。</w:t>
      </w:r>
    </w:p>
    <w:p w14:paraId="2ACE565C">
      <w:pPr>
        <w:adjustRightInd w:val="0"/>
        <w:spacing w:line="560" w:lineRule="exact"/>
        <w:ind w:firstLine="640" w:firstLineChars="200"/>
        <w:outlineLvl w:val="1"/>
        <w:rPr>
          <w:rFonts w:ascii="宋体" w:hAnsi="宋体" w:eastAsia="仿宋_GB2312" w:cs="Times New Roman"/>
          <w:sz w:val="32"/>
          <w:szCs w:val="32"/>
          <w:shd w:val="clear" w:color="auto" w:fill="FFFFFF"/>
        </w:rPr>
      </w:pPr>
      <w:bookmarkStart w:id="306" w:name="_Toc387"/>
      <w:bookmarkStart w:id="307" w:name="_Toc12829"/>
      <w:bookmarkStart w:id="308" w:name="_Toc27557"/>
      <w:bookmarkStart w:id="309" w:name="_Toc4943"/>
      <w:bookmarkStart w:id="310" w:name="_Toc26446"/>
      <w:bookmarkStart w:id="311" w:name="_Toc14434"/>
      <w:r>
        <w:rPr>
          <w:rFonts w:hint="eastAsia" w:ascii="宋体" w:hAnsi="宋体" w:eastAsia="仿宋_GB2312" w:cs="Times New Roman"/>
          <w:sz w:val="32"/>
          <w:szCs w:val="32"/>
          <w:shd w:val="clear" w:color="auto" w:fill="FFFFFF"/>
        </w:rPr>
        <w:t>4.可执行性</w:t>
      </w:r>
      <w:bookmarkEnd w:id="306"/>
      <w:bookmarkEnd w:id="307"/>
      <w:bookmarkEnd w:id="308"/>
      <w:bookmarkEnd w:id="309"/>
      <w:bookmarkEnd w:id="310"/>
      <w:bookmarkEnd w:id="311"/>
    </w:p>
    <w:p w14:paraId="6857C898">
      <w:pPr>
        <w:adjustRightInd w:val="0"/>
        <w:spacing w:line="560" w:lineRule="exact"/>
        <w:ind w:firstLine="640" w:firstLineChars="200"/>
        <w:rPr>
          <w:rFonts w:ascii="宋体" w:hAnsi="宋体" w:eastAsia="仿宋_GB2312" w:cs="Times New Roman"/>
          <w:iCs/>
          <w:sz w:val="32"/>
          <w:szCs w:val="32"/>
        </w:rPr>
      </w:pPr>
      <w:r>
        <w:rPr>
          <w:rFonts w:hint="eastAsia" w:ascii="宋体" w:hAnsi="宋体" w:eastAsia="仿宋_GB2312" w:cs="Times New Roman"/>
          <w:sz w:val="32"/>
          <w:szCs w:val="32"/>
          <w:shd w:val="clear" w:color="auto" w:fill="FFFFFF"/>
        </w:rPr>
        <w:t>标准条款内容广泛征求了相关单位的意见建议，对于反馈的意见建议组织专题讨论，采纳吸收科学合理的意见建议，确保标准内容贴近行业实际需求，兼顾标准的可执行性。</w:t>
      </w:r>
    </w:p>
    <w:p w14:paraId="03C256D3">
      <w:pPr>
        <w:adjustRightInd w:val="0"/>
        <w:spacing w:line="560" w:lineRule="exact"/>
        <w:ind w:firstLine="640" w:firstLineChars="200"/>
        <w:outlineLvl w:val="0"/>
        <w:rPr>
          <w:rFonts w:ascii="宋体" w:hAnsi="宋体" w:eastAsia="楷体" w:cs="Times New Roman"/>
          <w:sz w:val="32"/>
          <w:szCs w:val="32"/>
          <w:shd w:val="clear" w:color="auto" w:fill="FFFFFF"/>
        </w:rPr>
      </w:pPr>
      <w:bookmarkStart w:id="312" w:name="_Toc28910"/>
      <w:bookmarkStart w:id="313" w:name="_Toc5767"/>
      <w:bookmarkStart w:id="314" w:name="_Toc6188"/>
      <w:bookmarkStart w:id="315" w:name="_Toc29098"/>
      <w:bookmarkStart w:id="316" w:name="_Toc22056"/>
      <w:bookmarkStart w:id="317" w:name="_Toc609"/>
      <w:r>
        <w:rPr>
          <w:rFonts w:hint="eastAsia" w:ascii="宋体" w:hAnsi="宋体" w:eastAsia="楷体" w:cs="Times New Roman"/>
          <w:sz w:val="32"/>
          <w:szCs w:val="32"/>
          <w:shd w:val="clear" w:color="auto" w:fill="FFFFFF"/>
        </w:rPr>
        <w:t>（二）标准主要技术内容及确定依据</w:t>
      </w:r>
      <w:bookmarkEnd w:id="312"/>
      <w:bookmarkEnd w:id="313"/>
      <w:bookmarkEnd w:id="314"/>
      <w:bookmarkEnd w:id="315"/>
      <w:bookmarkEnd w:id="316"/>
      <w:bookmarkEnd w:id="317"/>
    </w:p>
    <w:p w14:paraId="42D13599">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1.主要技术内容</w:t>
      </w:r>
    </w:p>
    <w:p w14:paraId="4C09A0F3">
      <w:pPr>
        <w:numPr>
          <w:ilvl w:val="0"/>
          <w:numId w:val="31"/>
        </w:num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基本条件</w:t>
      </w:r>
    </w:p>
    <w:p w14:paraId="18EDFEF8">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lang w:eastAsia="zh-CN"/>
        </w:rPr>
        <w:t>按照</w:t>
      </w:r>
      <w:r>
        <w:rPr>
          <w:rFonts w:hint="eastAsia" w:ascii="宋体" w:hAnsi="宋体" w:eastAsia="仿宋_GB2312" w:cs="Times New Roman"/>
          <w:sz w:val="32"/>
          <w:szCs w:val="32"/>
          <w:shd w:val="clear" w:color="auto" w:fill="FFFFFF"/>
        </w:rPr>
        <w:t>《安全评价检测检验机构管理办法》（应急管理部令第1号）、《海洋石油生产设施发证检验工作通则》（AQ 2079-2020）、《海洋石油专业设备检测检验通则》（AQ 2082-2025）以及《海洋石油天然气安全评价机构资质认可服务指南》《海洋石油天然气发证检验机构资质认可服务指南》《海洋石油天然气专业设备检测检验机构资质认可服务指南》等文件的要求，结合行业内良好实践做法，规定了海洋石油安全评价机构、生产设施发证检验机构和专业设备检测检验机构基本条件，包括通用条件和专项条件。</w:t>
      </w:r>
    </w:p>
    <w:p w14:paraId="45C10149">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通用条件涉及通用的、共性的条件要求，包括机构、场所、设备设施、人员、质量管理等5项条件，针对每项条件的构成要素、参数等信息均有明确的规定，在资质认可过程中可执行性较强。</w:t>
      </w:r>
    </w:p>
    <w:p w14:paraId="4B0765B4">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专项条件规定了海洋石油安全评价机构、生产设施发证检验机构、专业设备检测检验机构等三类机构所特有的条件要求，每类机构均明确机构固定资产金额、固定工作场所建设面积以及人员配置等要求，其中人员配置要求主要包括关键岗位人员配置条件、人员数量、持证人员比例（中级及以上注册安全工程师、中级技术职称、高级技术职称）等要求。</w:t>
      </w:r>
    </w:p>
    <w:p w14:paraId="0D2E0ADF">
      <w:pPr>
        <w:numPr>
          <w:ilvl w:val="0"/>
          <w:numId w:val="31"/>
        </w:num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运行条件</w:t>
      </w:r>
    </w:p>
    <w:p w14:paraId="341265AC">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依据应急管理部关于海洋石油安全评价检测检验机构资质认可的有关文件要求，规定了海洋石油安全评价机构、生产设施发证检验机构和专业设备检测检验机构运行管理的要求，在申请资质条件的基础上进一步明确海洋石油</w:t>
      </w:r>
      <w:r>
        <w:rPr>
          <w:rFonts w:hint="eastAsia" w:ascii="宋体" w:hAnsi="宋体" w:eastAsia="仿宋_GB2312" w:cs="仿宋_GB2312"/>
          <w:sz w:val="32"/>
          <w:szCs w:val="32"/>
        </w:rPr>
        <w:t>安全评价检测检验机构运行期间应该满足的管理要求，包括工作业绩、安全评价检测检验过程和报告、年度总结、人员培训、人员管理程序、人员技术档案、设备租赁等要求，另外也规定了作业者或承包者自主开展火灾和可燃气体探测报警及控制系统数据采集的相关要求</w:t>
      </w:r>
      <w:r>
        <w:rPr>
          <w:rFonts w:hint="eastAsia" w:ascii="宋体" w:hAnsi="宋体" w:eastAsia="仿宋_GB2312" w:cs="Times New Roman"/>
          <w:sz w:val="32"/>
          <w:szCs w:val="32"/>
          <w:shd w:val="clear" w:color="auto" w:fill="FFFFFF"/>
        </w:rPr>
        <w:t>。</w:t>
      </w:r>
    </w:p>
    <w:p w14:paraId="3B149949">
      <w:pPr>
        <w:numPr>
          <w:ilvl w:val="0"/>
          <w:numId w:val="31"/>
        </w:num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附录</w:t>
      </w:r>
    </w:p>
    <w:p w14:paraId="01D4F94B">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仿宋_GB2312"/>
          <w:sz w:val="32"/>
          <w:szCs w:val="32"/>
        </w:rPr>
        <w:t>依据</w:t>
      </w:r>
      <w:r>
        <w:rPr>
          <w:rFonts w:hint="eastAsia" w:ascii="宋体" w:hAnsi="宋体" w:eastAsia="仿宋_GB2312" w:cs="Times New Roman"/>
          <w:sz w:val="32"/>
          <w:szCs w:val="32"/>
          <w:shd w:val="clear" w:color="auto" w:fill="FFFFFF"/>
        </w:rPr>
        <w:t>《安全评价检测检验机构管理办法》（应急管理部令第1号）以及应急管理部关于海洋石油安全评价检测检验机构资质认可的有关文件要求，同时，经过充分调查研究，结合行业内多年的良好实践做法而确定7个附录的内容。</w:t>
      </w:r>
    </w:p>
    <w:p w14:paraId="3C02E156">
      <w:pPr>
        <w:spacing w:line="560" w:lineRule="exact"/>
        <w:ind w:firstLine="640" w:firstLineChars="200"/>
        <w:rPr>
          <w:rFonts w:ascii="宋体" w:hAnsi="宋体" w:eastAsia="仿宋_GB2312" w:cs="仿宋_GB2312"/>
          <w:sz w:val="32"/>
          <w:szCs w:val="32"/>
        </w:rPr>
      </w:pPr>
      <w:r>
        <w:rPr>
          <w:rFonts w:hint="eastAsia" w:ascii="宋体" w:hAnsi="宋体" w:eastAsia="仿宋_GB2312" w:cs="仿宋_GB2312"/>
          <w:sz w:val="32"/>
          <w:szCs w:val="32"/>
        </w:rPr>
        <w:t>附录A规定了</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安全评价检测检验机构专业软件、设备配置条件：</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安全评价机构、生产设施发证检验机构对应具备的专业软件类型及数量配置提出最低要求；</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专业设备检测检验机构围绕</w:t>
      </w:r>
      <w:r>
        <w:rPr>
          <w:rFonts w:hint="eastAsia" w:ascii="宋体" w:hAnsi="宋体" w:eastAsia="仿宋_GB2312" w:cs="Times New Roman"/>
          <w:sz w:val="32"/>
          <w:szCs w:val="32"/>
          <w:shd w:val="clear" w:color="auto" w:fill="FFFFFF"/>
        </w:rPr>
        <w:t>《海洋石油专业设备检测检验通则》（AQ 2082-2025）附录A规定的</w:t>
      </w:r>
      <w:r>
        <w:rPr>
          <w:rFonts w:hint="eastAsia" w:ascii="宋体" w:hAnsi="宋体" w:eastAsia="仿宋_GB2312" w:cs="仿宋_GB2312"/>
          <w:sz w:val="32"/>
          <w:szCs w:val="32"/>
        </w:rPr>
        <w:t>11个大类专业设备及其对应的26个中类专业设备，针对每个中类专业设备提出检测检验设备配置的最低要求。</w:t>
      </w:r>
    </w:p>
    <w:p w14:paraId="5BB915CE">
      <w:pPr>
        <w:spacing w:line="560" w:lineRule="exact"/>
        <w:ind w:firstLine="640" w:firstLineChars="200"/>
        <w:rPr>
          <w:rFonts w:ascii="宋体" w:hAnsi="宋体" w:eastAsia="仿宋_GB2312" w:cs="仿宋_GB2312"/>
          <w:sz w:val="32"/>
          <w:szCs w:val="32"/>
        </w:rPr>
      </w:pPr>
      <w:r>
        <w:rPr>
          <w:rFonts w:hint="eastAsia" w:ascii="宋体" w:hAnsi="宋体" w:eastAsia="仿宋_GB2312" w:cs="仿宋_GB2312"/>
          <w:sz w:val="32"/>
          <w:szCs w:val="32"/>
        </w:rPr>
        <w:t>附录B规定了</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安全评价检测检验机构人员配置条件：针对</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安全评价机构专业能力、相关学科基础专业以及配置人数提出了最低要求；对</w:t>
      </w:r>
      <w:r>
        <w:rPr>
          <w:rFonts w:hint="eastAsia" w:ascii="宋体" w:hAnsi="宋体" w:eastAsia="仿宋_GB2312" w:cs="Times New Roman"/>
          <w:sz w:val="32"/>
          <w:szCs w:val="32"/>
          <w:shd w:val="clear" w:color="auto" w:fill="FFFFFF"/>
        </w:rPr>
        <w:t>海洋石油生产设施</w:t>
      </w:r>
      <w:r>
        <w:rPr>
          <w:rFonts w:hint="eastAsia" w:ascii="宋体" w:hAnsi="宋体" w:eastAsia="仿宋_GB2312" w:cs="仿宋_GB2312"/>
          <w:sz w:val="32"/>
          <w:szCs w:val="32"/>
        </w:rPr>
        <w:t>发证检验机构现场检验和设计审查的配置人数提出了最低要求；</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专业设备检测检验机构围绕11个大类专业设备及其对应的26个中类专业设备，针对每个中类专业设备提出人员配置的最低要求。</w:t>
      </w:r>
    </w:p>
    <w:p w14:paraId="09FA65F8">
      <w:pPr>
        <w:spacing w:line="560" w:lineRule="exact"/>
        <w:ind w:firstLine="640" w:firstLineChars="200"/>
        <w:rPr>
          <w:rFonts w:ascii="宋体" w:hAnsi="宋体" w:eastAsia="仿宋_GB2312" w:cs="仿宋_GB2312"/>
          <w:sz w:val="32"/>
          <w:szCs w:val="32"/>
        </w:rPr>
      </w:pPr>
      <w:r>
        <w:rPr>
          <w:rFonts w:hint="eastAsia" w:ascii="宋体" w:hAnsi="宋体" w:eastAsia="仿宋_GB2312" w:cs="仿宋_GB2312"/>
          <w:sz w:val="32"/>
          <w:szCs w:val="32"/>
        </w:rPr>
        <w:t>附录C规定了</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安全评价检测检验机构质量管理体系（过程控制体系）基本要素：从基本要求、管理职责、资源管理等6个方面明确</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安全评价检测检验机构质量管理体系（过程控制体系）建设的基本要求。</w:t>
      </w:r>
    </w:p>
    <w:p w14:paraId="46392D37">
      <w:pPr>
        <w:pStyle w:val="24"/>
        <w:spacing w:after="0" w:line="560" w:lineRule="exact"/>
        <w:ind w:firstLine="640" w:firstLineChars="200"/>
        <w:rPr>
          <w:rFonts w:ascii="宋体" w:hAnsi="宋体"/>
        </w:rPr>
      </w:pPr>
      <w:r>
        <w:rPr>
          <w:rFonts w:hint="eastAsia" w:ascii="宋体" w:hAnsi="宋体" w:eastAsia="仿宋_GB2312" w:cs="仿宋_GB2312"/>
          <w:sz w:val="32"/>
          <w:szCs w:val="32"/>
        </w:rPr>
        <w:t>附录D规定了海洋石油专业设备检测检验机构人员职业资格证书或能力认定证书取得要求，明确采油（气）树、海上锅炉、海上压力容器等18个中类专业设备的检验人员以及射线检测、超声检测、磁粉检测等8类专业设备检测人员应取得的职业资格证书或能力认定证书。</w:t>
      </w:r>
    </w:p>
    <w:p w14:paraId="3AEB74AF">
      <w:pPr>
        <w:adjustRightInd w:val="0"/>
        <w:spacing w:line="560" w:lineRule="exact"/>
        <w:ind w:firstLine="640" w:firstLineChars="200"/>
        <w:rPr>
          <w:rFonts w:ascii="宋体" w:hAnsi="宋体" w:eastAsia="仿宋_GB2312" w:cs="仿宋_GB2312"/>
          <w:sz w:val="32"/>
          <w:szCs w:val="32"/>
        </w:rPr>
      </w:pPr>
      <w:r>
        <w:rPr>
          <w:rFonts w:hint="eastAsia" w:ascii="宋体" w:hAnsi="宋体" w:eastAsia="仿宋_GB2312" w:cs="仿宋_GB2312"/>
          <w:sz w:val="32"/>
          <w:szCs w:val="32"/>
        </w:rPr>
        <w:t>附录E规定了</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安全评价检测检验机构人员培训要求：</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安全评价机构对专职技术人员提出了通用培训、专业培训的培训内容、培训学时及考核方式等有关要求；</w:t>
      </w:r>
      <w:r>
        <w:rPr>
          <w:rFonts w:hint="eastAsia" w:ascii="宋体" w:hAnsi="宋体" w:eastAsia="仿宋_GB2312" w:cs="Times New Roman"/>
          <w:sz w:val="32"/>
          <w:szCs w:val="32"/>
          <w:shd w:val="clear" w:color="auto" w:fill="FFFFFF"/>
        </w:rPr>
        <w:t>海洋石油生产设施</w:t>
      </w:r>
      <w:r>
        <w:rPr>
          <w:rFonts w:hint="eastAsia" w:ascii="宋体" w:hAnsi="宋体" w:eastAsia="仿宋_GB2312" w:cs="仿宋_GB2312"/>
          <w:sz w:val="32"/>
          <w:szCs w:val="32"/>
        </w:rPr>
        <w:t>发证检验机构针对不同人员专业，对现场检验人员和设计审查人员的培训提出了培训内容、培训学时及考核方式等相关要求；</w:t>
      </w:r>
      <w:r>
        <w:rPr>
          <w:rFonts w:hint="eastAsia" w:ascii="宋体" w:hAnsi="宋体" w:eastAsia="仿宋_GB2312" w:cs="Times New Roman"/>
          <w:sz w:val="32"/>
          <w:szCs w:val="32"/>
          <w:shd w:val="clear" w:color="auto" w:fill="FFFFFF"/>
        </w:rPr>
        <w:t>海洋石油</w:t>
      </w:r>
      <w:r>
        <w:rPr>
          <w:rFonts w:hint="eastAsia" w:ascii="宋体" w:hAnsi="宋体" w:eastAsia="仿宋_GB2312" w:cs="仿宋_GB2312"/>
          <w:sz w:val="32"/>
          <w:szCs w:val="32"/>
        </w:rPr>
        <w:t>专业设备检测检验机构围绕11个大类专业设备及其对应的26个中类专业设备检测检验工作，设置相应的“专业设备检验人员”，针对每类专业设备检验人员明确培训内容、培训学时及考核方式要求。</w:t>
      </w:r>
    </w:p>
    <w:p w14:paraId="5027AB0A">
      <w:pPr>
        <w:pStyle w:val="24"/>
        <w:spacing w:after="0" w:line="560" w:lineRule="exact"/>
        <w:ind w:firstLine="640" w:firstLineChars="200"/>
        <w:rPr>
          <w:rFonts w:ascii="宋体" w:hAnsi="宋体" w:eastAsia="仿宋_GB2312" w:cs="仿宋_GB2312"/>
          <w:sz w:val="32"/>
          <w:szCs w:val="32"/>
        </w:rPr>
      </w:pPr>
      <w:r>
        <w:rPr>
          <w:rFonts w:hint="eastAsia" w:ascii="宋体" w:hAnsi="宋体" w:eastAsia="仿宋_GB2312" w:cs="仿宋_GB2312"/>
          <w:sz w:val="32"/>
          <w:szCs w:val="32"/>
        </w:rPr>
        <w:t>附录F规定了作业者或承包者自主实施火灾和可燃气体探测报警及控制系统检测数据采集要求，明确作业者或承包者管理基础、人员、检测设备及标准物质、技术体系的条件要求。</w:t>
      </w:r>
    </w:p>
    <w:p w14:paraId="009ED92A">
      <w:pPr>
        <w:pStyle w:val="24"/>
        <w:spacing w:after="0" w:line="560" w:lineRule="exact"/>
        <w:ind w:firstLine="640" w:firstLineChars="200"/>
        <w:rPr>
          <w:rFonts w:ascii="宋体" w:hAnsi="宋体" w:eastAsia="仿宋_GB2312" w:cs="仿宋_GB2312"/>
          <w:sz w:val="32"/>
          <w:szCs w:val="32"/>
        </w:rPr>
      </w:pPr>
      <w:r>
        <w:rPr>
          <w:rFonts w:hint="eastAsia" w:ascii="宋体" w:hAnsi="宋体" w:eastAsia="仿宋_GB2312" w:cs="仿宋_GB2312"/>
          <w:sz w:val="32"/>
          <w:szCs w:val="32"/>
        </w:rPr>
        <w:t>附录G规定了作业者或承包者开展火灾和可燃气体探测报警及控制系统检测数据采集记录模板，作业者或承包者应按照采集记录模板的要求采集相关数据，并经数据采集人员、审核人员、批准人员等三级签字，此外，检测数据采集记录还应加盖作业者或承包者公章。</w:t>
      </w:r>
    </w:p>
    <w:p w14:paraId="478C555B">
      <w:pPr>
        <w:adjustRightInd w:val="0"/>
        <w:spacing w:line="560" w:lineRule="exact"/>
        <w:ind w:firstLine="640" w:firstLineChars="200"/>
        <w:outlineLvl w:val="0"/>
        <w:rPr>
          <w:rFonts w:ascii="宋体" w:hAnsi="宋体" w:eastAsia="楷体" w:cs="Times New Roman"/>
          <w:sz w:val="32"/>
          <w:szCs w:val="32"/>
          <w:shd w:val="clear" w:color="auto" w:fill="FFFFFF"/>
        </w:rPr>
      </w:pPr>
      <w:bookmarkStart w:id="318" w:name="_Toc29067"/>
      <w:bookmarkStart w:id="319" w:name="_Toc23312"/>
      <w:bookmarkStart w:id="320" w:name="_Toc6573"/>
      <w:bookmarkStart w:id="321" w:name="_Toc17177"/>
      <w:bookmarkStart w:id="322" w:name="_Toc14321"/>
      <w:bookmarkStart w:id="323" w:name="_Toc17174"/>
      <w:r>
        <w:rPr>
          <w:rFonts w:hint="eastAsia" w:ascii="宋体" w:hAnsi="宋体" w:eastAsia="楷体" w:cs="Times New Roman"/>
          <w:sz w:val="32"/>
          <w:szCs w:val="32"/>
          <w:shd w:val="clear" w:color="auto" w:fill="FFFFFF"/>
        </w:rPr>
        <w:t>（三）标准修订变化及依据（仅修订标准需要列出）</w:t>
      </w:r>
      <w:bookmarkEnd w:id="318"/>
      <w:bookmarkEnd w:id="319"/>
      <w:bookmarkEnd w:id="320"/>
      <w:bookmarkEnd w:id="321"/>
      <w:bookmarkEnd w:id="322"/>
      <w:bookmarkEnd w:id="323"/>
    </w:p>
    <w:p w14:paraId="60892206">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iCs/>
          <w:sz w:val="32"/>
          <w:szCs w:val="32"/>
        </w:rPr>
        <w:t>无。</w:t>
      </w:r>
    </w:p>
    <w:p w14:paraId="65A94FC5">
      <w:pPr>
        <w:adjustRightInd w:val="0"/>
        <w:spacing w:line="560" w:lineRule="exact"/>
        <w:ind w:firstLine="640" w:firstLineChars="200"/>
        <w:rPr>
          <w:rFonts w:ascii="宋体" w:hAnsi="宋体" w:eastAsia="黑体" w:cs="Times New Roman"/>
          <w:color w:val="000000"/>
          <w:sz w:val="32"/>
          <w:szCs w:val="32"/>
        </w:rPr>
      </w:pPr>
      <w:r>
        <w:rPr>
          <w:rFonts w:hint="eastAsia" w:ascii="宋体" w:hAnsi="宋体" w:eastAsia="黑体" w:cs="Times New Roman"/>
          <w:color w:val="000000"/>
          <w:sz w:val="32"/>
          <w:szCs w:val="32"/>
        </w:rPr>
        <w:t>三、试验验证的分析、综述报告、技术经济论证，预期的经济效益、社会效益和生态效益</w:t>
      </w:r>
    </w:p>
    <w:p w14:paraId="078D7FD5">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iCs/>
          <w:sz w:val="32"/>
          <w:szCs w:val="32"/>
        </w:rPr>
        <w:t>由于海洋环境的特殊性，海洋石油生产面临着更恶劣的环境条件，也给安全生产带来更大的挑战，海洋石油安全生产离不开</w:t>
      </w:r>
      <w:r>
        <w:rPr>
          <w:rFonts w:hint="eastAsia" w:ascii="宋体" w:hAnsi="宋体" w:eastAsia="仿宋_GB2312" w:cs="Times New Roman"/>
          <w:sz w:val="32"/>
          <w:szCs w:val="32"/>
          <w:shd w:val="clear" w:color="auto" w:fill="FFFFFF"/>
        </w:rPr>
        <w:t>海洋石油</w:t>
      </w:r>
      <w:r>
        <w:rPr>
          <w:rFonts w:hint="eastAsia" w:ascii="宋体" w:hAnsi="宋体" w:eastAsia="仿宋_GB2312" w:cs="Times New Roman"/>
          <w:iCs/>
          <w:sz w:val="32"/>
          <w:szCs w:val="32"/>
        </w:rPr>
        <w:t>安全评价检测检验机构的安全评价、生产设施发证检验及专业设备检测检验，</w:t>
      </w:r>
      <w:r>
        <w:rPr>
          <w:rFonts w:hint="eastAsia" w:ascii="宋体" w:hAnsi="宋体" w:eastAsia="仿宋_GB2312" w:cs="Times New Roman"/>
          <w:sz w:val="32"/>
          <w:szCs w:val="32"/>
          <w:shd w:val="clear" w:color="auto" w:fill="FFFFFF"/>
        </w:rPr>
        <w:t>海洋石油</w:t>
      </w:r>
      <w:r>
        <w:rPr>
          <w:rFonts w:hint="eastAsia" w:ascii="宋体" w:hAnsi="宋体" w:eastAsia="仿宋_GB2312" w:cs="Times New Roman"/>
          <w:iCs/>
          <w:sz w:val="32"/>
          <w:szCs w:val="32"/>
        </w:rPr>
        <w:t>安全评价检测检验机构的资质能力水平就显得尤为重要</w:t>
      </w:r>
      <w:r>
        <w:rPr>
          <w:rFonts w:hint="eastAsia" w:ascii="宋体" w:hAnsi="宋体" w:eastAsia="仿宋_GB2312" w:cs="Times New Roman"/>
          <w:sz w:val="32"/>
          <w:szCs w:val="32"/>
          <w:shd w:val="clear" w:color="auto" w:fill="FFFFFF"/>
        </w:rPr>
        <w:t>。</w:t>
      </w:r>
      <w:r>
        <w:rPr>
          <w:rFonts w:hint="eastAsia" w:ascii="宋体" w:hAnsi="宋体" w:eastAsia="仿宋_GB2312" w:cs="Times New Roman"/>
          <w:iCs/>
          <w:sz w:val="32"/>
          <w:szCs w:val="32"/>
        </w:rPr>
        <w:t>本文件实施后，从技术标准层面规范</w:t>
      </w:r>
      <w:r>
        <w:rPr>
          <w:rFonts w:hint="eastAsia" w:ascii="宋体" w:hAnsi="宋体" w:eastAsia="仿宋_GB2312" w:cs="Times New Roman"/>
          <w:sz w:val="32"/>
          <w:szCs w:val="32"/>
          <w:shd w:val="clear" w:color="auto" w:fill="FFFFFF"/>
        </w:rPr>
        <w:t>海洋石油</w:t>
      </w:r>
      <w:r>
        <w:rPr>
          <w:rFonts w:hint="eastAsia" w:ascii="宋体" w:hAnsi="宋体" w:eastAsia="仿宋_GB2312" w:cs="Times New Roman"/>
          <w:iCs/>
          <w:sz w:val="32"/>
          <w:szCs w:val="32"/>
        </w:rPr>
        <w:t>安全评价检测检验机构资质认可条件，有助于落实安全生产法</w:t>
      </w:r>
      <w:r>
        <w:rPr>
          <w:rFonts w:hint="eastAsia" w:ascii="宋体" w:hAnsi="宋体" w:eastAsia="仿宋_GB2312" w:cs="Times New Roman"/>
          <w:iCs/>
          <w:sz w:val="32"/>
          <w:szCs w:val="32"/>
          <w:lang w:eastAsia="zh-CN"/>
        </w:rPr>
        <w:t>、</w:t>
      </w:r>
      <w:r>
        <w:rPr>
          <w:rFonts w:hint="eastAsia" w:ascii="宋体" w:hAnsi="宋体" w:eastAsia="仿宋_GB2312" w:cs="Times New Roman"/>
          <w:iCs/>
          <w:sz w:val="32"/>
          <w:szCs w:val="32"/>
        </w:rPr>
        <w:t>《海洋石油安全生产规定》的相关要求，同时，填补石油天然气开采安全标准体系中关于“海洋石油安全中介机构管理”方面的空白，也为主管机构对</w:t>
      </w:r>
      <w:r>
        <w:rPr>
          <w:rFonts w:hint="eastAsia" w:ascii="宋体" w:hAnsi="宋体" w:eastAsia="仿宋_GB2312" w:cs="Times New Roman"/>
          <w:sz w:val="32"/>
          <w:szCs w:val="32"/>
          <w:shd w:val="clear" w:color="auto" w:fill="FFFFFF"/>
        </w:rPr>
        <w:t>海洋石油</w:t>
      </w:r>
      <w:bookmarkStart w:id="444" w:name="_GoBack"/>
      <w:bookmarkEnd w:id="444"/>
      <w:r>
        <w:rPr>
          <w:rFonts w:hint="eastAsia" w:ascii="宋体" w:hAnsi="宋体" w:eastAsia="仿宋_GB2312" w:cs="Times New Roman"/>
          <w:iCs/>
          <w:sz w:val="32"/>
          <w:szCs w:val="32"/>
        </w:rPr>
        <w:t>安全评价检测检验机构开展资质认可、监督管理提供重要技术支撑</w:t>
      </w:r>
      <w:r>
        <w:rPr>
          <w:rFonts w:hint="eastAsia" w:ascii="宋体" w:hAnsi="宋体" w:eastAsia="仿宋_GB2312" w:cs="Times New Roman"/>
          <w:sz w:val="32"/>
          <w:szCs w:val="32"/>
          <w:shd w:val="clear" w:color="auto" w:fill="FFFFFF"/>
        </w:rPr>
        <w:t>。</w:t>
      </w:r>
    </w:p>
    <w:p w14:paraId="3C8FAD96">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324" w:name="_Toc13510"/>
      <w:bookmarkStart w:id="325" w:name="_Toc17846"/>
      <w:bookmarkStart w:id="326" w:name="_Toc8062"/>
      <w:bookmarkStart w:id="327" w:name="_Toc193319245"/>
      <w:bookmarkStart w:id="328" w:name="_Toc193375459"/>
      <w:bookmarkStart w:id="329" w:name="_Toc915"/>
      <w:bookmarkStart w:id="330" w:name="_Toc17544"/>
      <w:bookmarkStart w:id="331" w:name="_Toc11516"/>
      <w:bookmarkStart w:id="332" w:name="_Toc22511"/>
      <w:r>
        <w:rPr>
          <w:rFonts w:hint="eastAsia" w:ascii="宋体" w:hAnsi="宋体" w:eastAsia="黑体" w:cs="Times New Roman"/>
          <w:color w:val="000000"/>
          <w:sz w:val="32"/>
          <w:szCs w:val="32"/>
        </w:rPr>
        <w:t>与国际、国外同类标准技术内容的对比情况</w:t>
      </w:r>
      <w:bookmarkEnd w:id="324"/>
      <w:bookmarkEnd w:id="325"/>
      <w:bookmarkEnd w:id="326"/>
      <w:bookmarkEnd w:id="327"/>
      <w:bookmarkEnd w:id="328"/>
      <w:bookmarkEnd w:id="329"/>
      <w:bookmarkEnd w:id="330"/>
      <w:bookmarkEnd w:id="331"/>
      <w:bookmarkEnd w:id="332"/>
    </w:p>
    <w:p w14:paraId="2934FC67">
      <w:pPr>
        <w:adjustRightInd w:val="0"/>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国际、国外尚无适用的同类标准。</w:t>
      </w:r>
    </w:p>
    <w:p w14:paraId="3CD3194E">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333" w:name="_Toc19513"/>
      <w:bookmarkStart w:id="334" w:name="_Toc16784"/>
      <w:bookmarkStart w:id="335" w:name="_Toc193319246"/>
      <w:bookmarkStart w:id="336" w:name="_Toc193375460"/>
      <w:bookmarkStart w:id="337" w:name="_Toc11106"/>
      <w:bookmarkStart w:id="338" w:name="_Toc11931"/>
      <w:bookmarkStart w:id="339" w:name="_Toc10243"/>
      <w:bookmarkStart w:id="340" w:name="_Toc21018"/>
      <w:bookmarkStart w:id="341" w:name="_Toc28073"/>
      <w:r>
        <w:rPr>
          <w:rFonts w:hint="eastAsia" w:ascii="宋体" w:hAnsi="宋体" w:eastAsia="黑体" w:cs="Times New Roman"/>
          <w:color w:val="000000"/>
          <w:sz w:val="32"/>
          <w:szCs w:val="32"/>
        </w:rPr>
        <w:t>以国际标准为基础的起草情况、是否合规引用或采用国际国外标准以及未采用国际标准的原因</w:t>
      </w:r>
      <w:bookmarkEnd w:id="333"/>
      <w:bookmarkEnd w:id="334"/>
      <w:bookmarkEnd w:id="335"/>
      <w:bookmarkEnd w:id="336"/>
      <w:bookmarkEnd w:id="337"/>
      <w:bookmarkEnd w:id="338"/>
      <w:bookmarkEnd w:id="339"/>
      <w:bookmarkEnd w:id="340"/>
      <w:bookmarkEnd w:id="341"/>
    </w:p>
    <w:p w14:paraId="7ED43025">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iCs/>
          <w:sz w:val="32"/>
          <w:szCs w:val="32"/>
        </w:rPr>
        <w:t>目前，国际上没有针对海洋石油安全评价检测检验机构条件的标准，此外，我国对于</w:t>
      </w:r>
      <w:r>
        <w:rPr>
          <w:rFonts w:hint="eastAsia" w:ascii="宋体" w:hAnsi="宋体" w:eastAsia="仿宋_GB2312" w:cs="Times New Roman"/>
          <w:sz w:val="32"/>
          <w:szCs w:val="32"/>
          <w:shd w:val="clear" w:color="auto" w:fill="FFFFFF"/>
        </w:rPr>
        <w:t>海洋石油</w:t>
      </w:r>
      <w:r>
        <w:rPr>
          <w:rFonts w:hint="eastAsia" w:ascii="宋体" w:hAnsi="宋体" w:eastAsia="仿宋_GB2312" w:cs="Times New Roman"/>
          <w:iCs/>
          <w:sz w:val="32"/>
          <w:szCs w:val="32"/>
        </w:rPr>
        <w:t>安全评价检测检验机构资质认可、日常监督管理有自己的特色，因而本文件的起草并未以国际标准为基础。我国海洋石油开采的历史发展过程中，长期有国外作业者参与或者合作开发，</w:t>
      </w:r>
      <w:r>
        <w:rPr>
          <w:rFonts w:hint="eastAsia" w:ascii="宋体" w:hAnsi="宋体" w:eastAsia="仿宋_GB2312" w:cs="Times New Roman"/>
          <w:sz w:val="32"/>
          <w:szCs w:val="32"/>
          <w:shd w:val="clear" w:color="auto" w:fill="FFFFFF"/>
        </w:rPr>
        <w:t>海洋石油</w:t>
      </w:r>
      <w:r>
        <w:rPr>
          <w:rFonts w:hint="eastAsia" w:ascii="宋体" w:hAnsi="宋体" w:eastAsia="仿宋_GB2312" w:cs="Times New Roman"/>
          <w:iCs/>
          <w:sz w:val="32"/>
          <w:szCs w:val="32"/>
        </w:rPr>
        <w:t>安全评价检测检验行业蓬勃发展，本文件在编制过程中充分考虑吸纳相关先进的、成熟的经验</w:t>
      </w:r>
      <w:r>
        <w:rPr>
          <w:rFonts w:hint="eastAsia" w:ascii="宋体" w:hAnsi="宋体" w:eastAsia="仿宋_GB2312" w:cs="Times New Roman"/>
          <w:color w:val="000000"/>
          <w:sz w:val="32"/>
          <w:szCs w:val="32"/>
          <w:shd w:val="clear" w:color="auto" w:fill="FFFFFF"/>
        </w:rPr>
        <w:t>。</w:t>
      </w:r>
    </w:p>
    <w:p w14:paraId="77CC20CF">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342" w:name="_Toc14253"/>
      <w:bookmarkStart w:id="343" w:name="_Toc27015"/>
      <w:bookmarkStart w:id="344" w:name="_Toc193319247"/>
      <w:bookmarkStart w:id="345" w:name="_Toc1983"/>
      <w:bookmarkStart w:id="346" w:name="_Toc193375461"/>
      <w:bookmarkStart w:id="347" w:name="_Toc15657"/>
      <w:bookmarkStart w:id="348" w:name="_Toc15290"/>
      <w:bookmarkStart w:id="349" w:name="_Toc8206"/>
      <w:bookmarkStart w:id="350" w:name="_Toc3739"/>
      <w:r>
        <w:rPr>
          <w:rFonts w:hint="eastAsia" w:ascii="宋体" w:hAnsi="宋体" w:eastAsia="黑体" w:cs="Times New Roman"/>
          <w:color w:val="000000"/>
          <w:sz w:val="32"/>
          <w:szCs w:val="32"/>
        </w:rPr>
        <w:t>与有关法律、行政法规及相关标准水平的关系</w:t>
      </w:r>
      <w:bookmarkEnd w:id="342"/>
      <w:bookmarkEnd w:id="343"/>
      <w:bookmarkEnd w:id="344"/>
      <w:bookmarkEnd w:id="345"/>
      <w:bookmarkEnd w:id="346"/>
      <w:bookmarkEnd w:id="347"/>
      <w:bookmarkEnd w:id="348"/>
      <w:bookmarkEnd w:id="349"/>
      <w:bookmarkEnd w:id="350"/>
    </w:p>
    <w:p w14:paraId="44B98ECB">
      <w:pPr>
        <w:adjustRightInd w:val="0"/>
        <w:spacing w:line="560" w:lineRule="exact"/>
        <w:ind w:left="640"/>
        <w:outlineLvl w:val="0"/>
        <w:rPr>
          <w:rFonts w:ascii="宋体" w:hAnsi="宋体" w:eastAsia="楷体" w:cs="Times New Roman"/>
          <w:sz w:val="32"/>
          <w:szCs w:val="32"/>
          <w:shd w:val="clear" w:color="auto" w:fill="FFFFFF"/>
        </w:rPr>
      </w:pPr>
      <w:bookmarkStart w:id="351" w:name="_Toc16806"/>
      <w:bookmarkStart w:id="352" w:name="_Toc21965"/>
      <w:bookmarkStart w:id="353" w:name="_Toc18371"/>
      <w:bookmarkStart w:id="354" w:name="_Toc7447"/>
      <w:bookmarkStart w:id="355" w:name="_Toc12333"/>
      <w:bookmarkStart w:id="356" w:name="_Toc26782"/>
      <w:r>
        <w:rPr>
          <w:rFonts w:hint="eastAsia" w:ascii="宋体" w:hAnsi="宋体" w:eastAsia="楷体" w:cs="Times New Roman"/>
          <w:sz w:val="32"/>
          <w:szCs w:val="32"/>
          <w:shd w:val="clear" w:color="auto" w:fill="FFFFFF"/>
        </w:rPr>
        <w:t>（一）与有关法律、行政法规、标准关系</w:t>
      </w:r>
      <w:bookmarkEnd w:id="351"/>
      <w:bookmarkEnd w:id="352"/>
      <w:bookmarkEnd w:id="353"/>
      <w:bookmarkEnd w:id="354"/>
      <w:bookmarkEnd w:id="355"/>
      <w:bookmarkEnd w:id="356"/>
    </w:p>
    <w:p w14:paraId="54F04072">
      <w:pPr>
        <w:adjustRightInd w:val="0"/>
        <w:spacing w:line="560" w:lineRule="exact"/>
        <w:ind w:firstLine="640" w:firstLineChars="200"/>
        <w:rPr>
          <w:rFonts w:ascii="宋体" w:hAnsi="宋体" w:eastAsia="仿宋_GB2312" w:cs="Times New Roman"/>
          <w:iCs/>
          <w:sz w:val="32"/>
          <w:szCs w:val="32"/>
        </w:rPr>
      </w:pPr>
      <w:r>
        <w:rPr>
          <w:rFonts w:hint="eastAsia" w:ascii="宋体" w:hAnsi="宋体" w:eastAsia="仿宋_GB2312" w:cs="Times New Roman"/>
          <w:iCs/>
          <w:sz w:val="32"/>
          <w:szCs w:val="32"/>
        </w:rPr>
        <w:t>本文件的编制工作根据应急管理部《“十四五”应急管理标准化发展计划》《应急管理标准化工作管理办法》等文件精神开展，在石油安全分标委的工作指导下进行，符合安全生产法</w:t>
      </w:r>
      <w:r>
        <w:rPr>
          <w:rFonts w:hint="eastAsia" w:ascii="宋体" w:hAnsi="宋体" w:eastAsia="仿宋_GB2312" w:cs="Times New Roman"/>
          <w:iCs/>
          <w:sz w:val="32"/>
          <w:szCs w:val="32"/>
          <w:lang w:eastAsia="zh-CN"/>
        </w:rPr>
        <w:t>、</w:t>
      </w:r>
      <w:r>
        <w:rPr>
          <w:rFonts w:hint="eastAsia" w:ascii="宋体" w:hAnsi="宋体" w:eastAsia="仿宋_GB2312" w:cs="Times New Roman"/>
          <w:iCs/>
          <w:sz w:val="32"/>
          <w:szCs w:val="32"/>
        </w:rPr>
        <w:t>标准化法等相关法律要求。</w:t>
      </w:r>
    </w:p>
    <w:p w14:paraId="13D39E7D">
      <w:pPr>
        <w:adjustRightInd w:val="0"/>
        <w:spacing w:line="560" w:lineRule="exact"/>
        <w:ind w:firstLine="640" w:firstLineChars="200"/>
        <w:rPr>
          <w:rFonts w:ascii="宋体" w:hAnsi="宋体" w:eastAsia="仿宋_GB2312" w:cs="Times New Roman"/>
          <w:iCs/>
          <w:sz w:val="32"/>
          <w:szCs w:val="32"/>
        </w:rPr>
      </w:pPr>
      <w:r>
        <w:rPr>
          <w:rFonts w:hint="eastAsia" w:ascii="宋体" w:hAnsi="宋体" w:eastAsia="仿宋_GB2312" w:cs="Times New Roman"/>
          <w:iCs/>
          <w:sz w:val="32"/>
          <w:szCs w:val="32"/>
        </w:rPr>
        <w:t>本文件依据《标准化工作导则第1部分：标准化文件的结构和起草规则》（GB/T 1.1-2020）的规定起草。</w:t>
      </w:r>
    </w:p>
    <w:p w14:paraId="17DD4C30">
      <w:pPr>
        <w:adjustRightInd w:val="0"/>
        <w:spacing w:line="560" w:lineRule="exact"/>
        <w:ind w:firstLine="640" w:firstLineChars="200"/>
        <w:rPr>
          <w:rFonts w:ascii="宋体" w:hAnsi="宋体" w:eastAsia="仿宋_GB2312" w:cs="Times New Roman"/>
          <w:iCs/>
          <w:sz w:val="32"/>
          <w:szCs w:val="32"/>
        </w:rPr>
      </w:pPr>
      <w:r>
        <w:rPr>
          <w:rFonts w:hint="eastAsia" w:ascii="宋体" w:hAnsi="宋体" w:eastAsia="仿宋_GB2312" w:cs="Times New Roman"/>
          <w:iCs/>
          <w:sz w:val="32"/>
          <w:szCs w:val="32"/>
        </w:rPr>
        <w:t>本文件遵循安全生产法</w:t>
      </w:r>
      <w:r>
        <w:rPr>
          <w:rFonts w:hint="eastAsia" w:ascii="宋体" w:hAnsi="宋体" w:eastAsia="仿宋_GB2312" w:cs="Times New Roman"/>
          <w:iCs/>
          <w:sz w:val="32"/>
          <w:szCs w:val="32"/>
          <w:lang w:eastAsia="zh-CN"/>
        </w:rPr>
        <w:t>、</w:t>
      </w:r>
      <w:r>
        <w:rPr>
          <w:rFonts w:hint="eastAsia" w:ascii="宋体" w:hAnsi="宋体" w:eastAsia="仿宋_GB2312" w:cs="Times New Roman"/>
          <w:iCs/>
          <w:sz w:val="32"/>
          <w:szCs w:val="32"/>
        </w:rPr>
        <w:t>《海洋石油安全生产规定》《海洋石油安全管理细则》等相关要求而制定，标准内容是对法律、法规的进一步落实和细化，是指导海洋石油安全评价检测检验机构资质认可、日常管理工作的重要支撑。</w:t>
      </w:r>
    </w:p>
    <w:p w14:paraId="7F88799B">
      <w:pPr>
        <w:adjustRightInd w:val="0"/>
        <w:spacing w:line="560" w:lineRule="exact"/>
        <w:ind w:firstLine="640" w:firstLineChars="200"/>
        <w:rPr>
          <w:rFonts w:ascii="宋体" w:hAnsi="宋体" w:eastAsia="仿宋_GB2312" w:cs="Times New Roman"/>
          <w:iCs/>
          <w:sz w:val="32"/>
          <w:szCs w:val="32"/>
        </w:rPr>
      </w:pPr>
      <w:r>
        <w:rPr>
          <w:rFonts w:hint="eastAsia" w:ascii="宋体" w:hAnsi="宋体" w:eastAsia="仿宋_GB2312" w:cs="Times New Roman"/>
          <w:iCs/>
          <w:sz w:val="32"/>
          <w:szCs w:val="32"/>
        </w:rPr>
        <w:t>本文件将与《海洋石油生产设施发证检验工作通则》（AQ 2079-2020）、《海洋石油专业设备检测检验通则》（AQ 2082-2025）、《老龄化海上固定式生产设施主结构安全评估导则》（AQ 2078-2020）等强制性标准体系共同在保障海洋石油生产设施、专业设备的安全运行和监督管理等方面发挥积极作用，但不同于其他标准，本文件聚焦于海洋石油安全评价检测检验机构资质条件。</w:t>
      </w:r>
    </w:p>
    <w:p w14:paraId="685458DC">
      <w:pPr>
        <w:adjustRightInd w:val="0"/>
        <w:spacing w:line="560" w:lineRule="exact"/>
        <w:ind w:left="640"/>
        <w:outlineLvl w:val="0"/>
        <w:rPr>
          <w:rFonts w:ascii="宋体" w:hAnsi="宋体" w:eastAsia="楷体" w:cs="Times New Roman"/>
          <w:sz w:val="32"/>
          <w:szCs w:val="32"/>
          <w:shd w:val="clear" w:color="auto" w:fill="FFFFFF"/>
        </w:rPr>
      </w:pPr>
      <w:bookmarkStart w:id="357" w:name="_Toc8549"/>
      <w:bookmarkStart w:id="358" w:name="_Toc29208"/>
      <w:bookmarkStart w:id="359" w:name="_Toc22747"/>
      <w:bookmarkStart w:id="360" w:name="_Toc3466"/>
      <w:bookmarkStart w:id="361" w:name="_Toc26275"/>
      <w:bookmarkStart w:id="362" w:name="_Toc21730"/>
      <w:r>
        <w:rPr>
          <w:rFonts w:hint="eastAsia" w:ascii="宋体" w:hAnsi="宋体" w:eastAsia="楷体" w:cs="Times New Roman"/>
          <w:sz w:val="32"/>
          <w:szCs w:val="32"/>
          <w:shd w:val="clear" w:color="auto" w:fill="FFFFFF"/>
        </w:rPr>
        <w:t>（二）配套推荐性标准的制定情况（强制性标准应填写）</w:t>
      </w:r>
      <w:bookmarkEnd w:id="357"/>
      <w:bookmarkEnd w:id="358"/>
      <w:bookmarkEnd w:id="359"/>
      <w:bookmarkEnd w:id="360"/>
      <w:bookmarkEnd w:id="361"/>
      <w:bookmarkEnd w:id="362"/>
    </w:p>
    <w:p w14:paraId="4C627C73">
      <w:pPr>
        <w:spacing w:line="560" w:lineRule="exact"/>
        <w:ind w:firstLine="640" w:firstLineChars="200"/>
        <w:rPr>
          <w:rFonts w:ascii="宋体" w:hAnsi="宋体" w:eastAsia="仿宋_GB2312" w:cs="Times New Roman"/>
          <w:iCs/>
          <w:sz w:val="32"/>
          <w:szCs w:val="32"/>
        </w:rPr>
      </w:pPr>
      <w:r>
        <w:rPr>
          <w:rFonts w:hint="eastAsia" w:ascii="宋体" w:hAnsi="宋体" w:eastAsia="仿宋_GB2312" w:cs="Times New Roman"/>
          <w:iCs/>
          <w:sz w:val="32"/>
          <w:szCs w:val="32"/>
        </w:rPr>
        <w:t>本文件作为海洋石油</w:t>
      </w:r>
      <w:r>
        <w:rPr>
          <w:rFonts w:hint="eastAsia" w:ascii="宋体" w:hAnsi="宋体" w:eastAsia="仿宋_GB2312" w:cs="Times New Roman"/>
          <w:sz w:val="32"/>
          <w:szCs w:val="32"/>
          <w:shd w:val="clear" w:color="auto" w:fill="FFFFFF"/>
        </w:rPr>
        <w:t>安全评价</w:t>
      </w:r>
      <w:r>
        <w:rPr>
          <w:rFonts w:hint="eastAsia" w:ascii="宋体" w:hAnsi="宋体" w:eastAsia="仿宋_GB2312" w:cs="Times New Roman"/>
          <w:iCs/>
          <w:sz w:val="32"/>
          <w:szCs w:val="32"/>
        </w:rPr>
        <w:t>检测检验机构的一般通用性标准，主要技术内容包括基本条件、</w:t>
      </w:r>
      <w:r>
        <w:rPr>
          <w:rFonts w:hint="eastAsia" w:ascii="宋体" w:hAnsi="宋体" w:eastAsia="仿宋_GB2312" w:cs="Times New Roman"/>
          <w:sz w:val="32"/>
          <w:szCs w:val="32"/>
          <w:shd w:val="clear" w:color="auto" w:fill="FFFFFF"/>
        </w:rPr>
        <w:t>运行条件</w:t>
      </w:r>
      <w:r>
        <w:rPr>
          <w:rFonts w:hint="eastAsia" w:ascii="宋体" w:hAnsi="宋体" w:eastAsia="仿宋_GB2312" w:cs="Times New Roman"/>
          <w:iCs/>
          <w:sz w:val="32"/>
          <w:szCs w:val="32"/>
        </w:rPr>
        <w:t>等。</w:t>
      </w:r>
    </w:p>
    <w:p w14:paraId="31227423">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iCs/>
          <w:sz w:val="32"/>
          <w:szCs w:val="32"/>
        </w:rPr>
        <w:t>因不同类型的机构差异较大，在具体开展机构资质认可或日常监督管理过程中，建议尽快组织制定每类机构的配套推荐性标准，进一步明确相关机构行为规范，作为具体实施的指导性文件来指导开展相关工作，弥补现有标准体系的不足。</w:t>
      </w:r>
    </w:p>
    <w:p w14:paraId="600383AC">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363" w:name="_Toc2158"/>
      <w:bookmarkStart w:id="364" w:name="_Toc193319248"/>
      <w:bookmarkStart w:id="365" w:name="_Toc24267"/>
      <w:bookmarkStart w:id="366" w:name="_Toc193375462"/>
      <w:bookmarkStart w:id="367" w:name="_Toc1120"/>
      <w:bookmarkStart w:id="368" w:name="_Toc30590"/>
      <w:bookmarkStart w:id="369" w:name="_Toc23765"/>
      <w:bookmarkStart w:id="370" w:name="_Toc12630"/>
      <w:bookmarkStart w:id="371" w:name="_Toc27860"/>
      <w:r>
        <w:rPr>
          <w:rFonts w:hint="eastAsia" w:ascii="宋体" w:hAnsi="宋体" w:eastAsia="黑体" w:cs="Times New Roman"/>
          <w:color w:val="000000"/>
          <w:sz w:val="32"/>
          <w:szCs w:val="32"/>
        </w:rPr>
        <w:t>重大分歧意见的处理过程及依据</w:t>
      </w:r>
      <w:bookmarkEnd w:id="363"/>
      <w:bookmarkEnd w:id="364"/>
      <w:bookmarkEnd w:id="365"/>
      <w:bookmarkEnd w:id="366"/>
      <w:bookmarkEnd w:id="367"/>
      <w:bookmarkEnd w:id="368"/>
      <w:bookmarkEnd w:id="369"/>
      <w:bookmarkEnd w:id="370"/>
      <w:bookmarkEnd w:id="371"/>
    </w:p>
    <w:p w14:paraId="67F3D2BC">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color w:val="000000"/>
          <w:sz w:val="32"/>
          <w:szCs w:val="32"/>
          <w:shd w:val="clear" w:color="auto" w:fill="FFFFFF"/>
        </w:rPr>
        <w:t>无。</w:t>
      </w:r>
    </w:p>
    <w:p w14:paraId="0E7FE6D2">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372" w:name="_Toc29461"/>
      <w:bookmarkStart w:id="373" w:name="_Toc17028"/>
      <w:bookmarkStart w:id="374" w:name="_Toc821"/>
      <w:bookmarkStart w:id="375" w:name="_Toc193319249"/>
      <w:bookmarkStart w:id="376" w:name="_Toc193375463"/>
      <w:bookmarkStart w:id="377" w:name="_Toc28065"/>
      <w:bookmarkStart w:id="378" w:name="_Toc8603"/>
      <w:bookmarkStart w:id="379" w:name="_Toc30508"/>
      <w:bookmarkStart w:id="380" w:name="_Toc24252"/>
      <w:r>
        <w:rPr>
          <w:rFonts w:hint="eastAsia" w:ascii="宋体" w:hAnsi="宋体" w:eastAsia="黑体" w:cs="Times New Roman"/>
          <w:color w:val="000000"/>
          <w:sz w:val="32"/>
          <w:szCs w:val="32"/>
        </w:rPr>
        <w:t>作为强制性标准或推荐性标准的建议及理由</w:t>
      </w:r>
      <w:bookmarkEnd w:id="372"/>
      <w:bookmarkEnd w:id="373"/>
      <w:bookmarkEnd w:id="374"/>
      <w:bookmarkEnd w:id="375"/>
      <w:bookmarkEnd w:id="376"/>
      <w:bookmarkEnd w:id="377"/>
      <w:bookmarkEnd w:id="378"/>
      <w:bookmarkEnd w:id="379"/>
      <w:bookmarkEnd w:id="380"/>
    </w:p>
    <w:p w14:paraId="769703B6">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color w:val="000000"/>
          <w:sz w:val="32"/>
          <w:szCs w:val="32"/>
          <w:shd w:val="clear" w:color="auto" w:fill="FFFFFF"/>
        </w:rPr>
        <w:t>建议本文件为强制性标准。</w:t>
      </w:r>
    </w:p>
    <w:p w14:paraId="3B1BF8F1">
      <w:pPr>
        <w:spacing w:line="560" w:lineRule="exact"/>
        <w:ind w:firstLine="640" w:firstLineChars="200"/>
        <w:rPr>
          <w:rFonts w:ascii="宋体" w:hAnsi="宋体" w:eastAsia="仿宋_GB2312" w:cs="Times New Roman"/>
          <w:sz w:val="32"/>
          <w:szCs w:val="32"/>
          <w:shd w:val="clear" w:color="auto" w:fill="FFFFFF"/>
        </w:rPr>
      </w:pPr>
      <w:r>
        <w:rPr>
          <w:rFonts w:hint="eastAsia" w:ascii="宋体" w:hAnsi="宋体" w:eastAsia="仿宋_GB2312" w:cs="Times New Roman"/>
          <w:sz w:val="32"/>
          <w:szCs w:val="32"/>
          <w:shd w:val="clear" w:color="auto" w:fill="FFFFFF"/>
        </w:rPr>
        <w:t>标准化法第十条规定：“对保障人身健康和生命财产安全、国家安全、生态环境安全以及满足经济社会管理基本需要的技术要求，应当制定强制性国家标准”。海洋油气开采过程危险性较大，安全生产工作离不开海洋石油安全评价</w:t>
      </w:r>
      <w:r>
        <w:rPr>
          <w:rFonts w:hint="eastAsia" w:ascii="宋体" w:hAnsi="宋体" w:eastAsia="仿宋_GB2312" w:cs="Times New Roman"/>
          <w:iCs/>
          <w:sz w:val="32"/>
          <w:szCs w:val="32"/>
        </w:rPr>
        <w:t>检测检验</w:t>
      </w:r>
      <w:r>
        <w:rPr>
          <w:rFonts w:hint="eastAsia" w:ascii="宋体" w:hAnsi="宋体" w:eastAsia="仿宋_GB2312" w:cs="Times New Roman"/>
          <w:sz w:val="32"/>
          <w:szCs w:val="32"/>
          <w:shd w:val="clear" w:color="auto" w:fill="FFFFFF"/>
        </w:rPr>
        <w:t>机构所从事的安全评价、生产设施发证检验和专业设备检测检验工作。海洋石油安全评价、生产设施发证检验和专业设备检测检验是保障海洋石油行业安全生产的重要一环，而海洋石油安全评价、生产设施发证检验和专业设备检测检验的有效性、科学性依赖于各海洋石油安全评价</w:t>
      </w:r>
      <w:r>
        <w:rPr>
          <w:rFonts w:hint="eastAsia" w:ascii="宋体" w:hAnsi="宋体" w:eastAsia="仿宋_GB2312" w:cs="Times New Roman"/>
          <w:iCs/>
          <w:sz w:val="32"/>
          <w:szCs w:val="32"/>
        </w:rPr>
        <w:t>检测检验</w:t>
      </w:r>
      <w:r>
        <w:rPr>
          <w:rFonts w:hint="eastAsia" w:ascii="宋体" w:hAnsi="宋体" w:eastAsia="仿宋_GB2312" w:cs="Times New Roman"/>
          <w:sz w:val="32"/>
          <w:szCs w:val="32"/>
          <w:shd w:val="clear" w:color="auto" w:fill="FFFFFF"/>
        </w:rPr>
        <w:t>机构的业务能力，近几年海洋石油安全评价</w:t>
      </w:r>
      <w:r>
        <w:rPr>
          <w:rFonts w:hint="eastAsia" w:ascii="宋体" w:hAnsi="宋体" w:eastAsia="仿宋_GB2312" w:cs="Times New Roman"/>
          <w:iCs/>
          <w:sz w:val="32"/>
          <w:szCs w:val="32"/>
        </w:rPr>
        <w:t>检测检验</w:t>
      </w:r>
      <w:r>
        <w:rPr>
          <w:rFonts w:hint="eastAsia" w:ascii="宋体" w:hAnsi="宋体" w:eastAsia="仿宋_GB2312" w:cs="Times New Roman"/>
          <w:sz w:val="32"/>
          <w:szCs w:val="32"/>
          <w:shd w:val="clear" w:color="auto" w:fill="FFFFFF"/>
        </w:rPr>
        <w:t>机构发展势头强劲，但是各机构建设水平参差不齐，缺乏相应专项技术标准的指导和规范。</w:t>
      </w:r>
    </w:p>
    <w:p w14:paraId="61BF0899">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sz w:val="32"/>
          <w:szCs w:val="32"/>
          <w:shd w:val="clear" w:color="auto" w:fill="FFFFFF"/>
        </w:rPr>
        <w:t>因此，《海洋石油安全评价检测检验机构条件》属于强制性标准的制定范围，该强制性标准的制定将促进海洋石油安全评价</w:t>
      </w:r>
      <w:r>
        <w:rPr>
          <w:rFonts w:hint="eastAsia" w:ascii="宋体" w:hAnsi="宋体" w:eastAsia="仿宋_GB2312" w:cs="Times New Roman"/>
          <w:iCs/>
          <w:sz w:val="32"/>
          <w:szCs w:val="32"/>
        </w:rPr>
        <w:t>检测检验机构</w:t>
      </w:r>
      <w:r>
        <w:rPr>
          <w:rFonts w:hint="eastAsia" w:ascii="宋体" w:hAnsi="宋体" w:eastAsia="仿宋_GB2312" w:cs="Times New Roman"/>
          <w:sz w:val="32"/>
          <w:szCs w:val="32"/>
          <w:shd w:val="clear" w:color="auto" w:fill="FFFFFF"/>
        </w:rPr>
        <w:t>依法依规开展安全评价</w:t>
      </w:r>
      <w:r>
        <w:rPr>
          <w:rFonts w:hint="eastAsia" w:ascii="宋体" w:hAnsi="宋体" w:eastAsia="仿宋_GB2312" w:cs="Times New Roman"/>
          <w:iCs/>
          <w:sz w:val="32"/>
          <w:szCs w:val="32"/>
        </w:rPr>
        <w:t>检测检验</w:t>
      </w:r>
      <w:r>
        <w:rPr>
          <w:rFonts w:hint="eastAsia" w:ascii="宋体" w:hAnsi="宋体" w:eastAsia="仿宋_GB2312" w:cs="Times New Roman"/>
          <w:sz w:val="32"/>
          <w:szCs w:val="32"/>
          <w:shd w:val="clear" w:color="auto" w:fill="FFFFFF"/>
        </w:rPr>
        <w:t>工作，引领海洋石油安全评价</w:t>
      </w:r>
      <w:r>
        <w:rPr>
          <w:rFonts w:hint="eastAsia" w:ascii="宋体" w:hAnsi="宋体" w:eastAsia="仿宋_GB2312" w:cs="Times New Roman"/>
          <w:iCs/>
          <w:sz w:val="32"/>
          <w:szCs w:val="32"/>
        </w:rPr>
        <w:t>检测检验</w:t>
      </w:r>
      <w:r>
        <w:rPr>
          <w:rFonts w:hint="eastAsia" w:ascii="宋体" w:hAnsi="宋体" w:eastAsia="仿宋_GB2312" w:cs="Times New Roman"/>
          <w:sz w:val="32"/>
          <w:szCs w:val="32"/>
          <w:shd w:val="clear" w:color="auto" w:fill="FFFFFF"/>
        </w:rPr>
        <w:t>行业规范发展，进一步提高海洋石油安全评价</w:t>
      </w:r>
      <w:r>
        <w:rPr>
          <w:rFonts w:hint="eastAsia" w:ascii="宋体" w:hAnsi="宋体" w:eastAsia="仿宋_GB2312" w:cs="Times New Roman"/>
          <w:iCs/>
          <w:sz w:val="32"/>
          <w:szCs w:val="32"/>
        </w:rPr>
        <w:t>检测检验</w:t>
      </w:r>
      <w:r>
        <w:rPr>
          <w:rFonts w:hint="eastAsia" w:ascii="宋体" w:hAnsi="宋体" w:eastAsia="仿宋_GB2312" w:cs="Times New Roman"/>
          <w:sz w:val="32"/>
          <w:szCs w:val="32"/>
          <w:shd w:val="clear" w:color="auto" w:fill="FFFFFF"/>
        </w:rPr>
        <w:t>机构能力建设水平，适应新形势下海洋石油行业发展需求</w:t>
      </w:r>
      <w:r>
        <w:rPr>
          <w:rFonts w:hint="eastAsia" w:ascii="宋体" w:hAnsi="宋体" w:eastAsia="仿宋_GB2312" w:cs="Times New Roman"/>
          <w:color w:val="000000"/>
          <w:sz w:val="32"/>
          <w:szCs w:val="32"/>
          <w:shd w:val="clear" w:color="auto" w:fill="FFFFFF"/>
        </w:rPr>
        <w:t>。</w:t>
      </w:r>
    </w:p>
    <w:p w14:paraId="29B283B4">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381" w:name="_Toc21491"/>
      <w:bookmarkStart w:id="382" w:name="_Toc32136"/>
      <w:bookmarkStart w:id="383" w:name="_Toc8233"/>
      <w:bookmarkStart w:id="384" w:name="_Toc3335"/>
      <w:bookmarkStart w:id="385" w:name="_Toc31006"/>
      <w:bookmarkStart w:id="386" w:name="_Toc193319250"/>
      <w:bookmarkStart w:id="387" w:name="_Toc15497"/>
      <w:bookmarkStart w:id="388" w:name="_Toc18632"/>
      <w:bookmarkStart w:id="389" w:name="_Toc193375464"/>
      <w:r>
        <w:rPr>
          <w:rFonts w:hint="eastAsia" w:ascii="宋体" w:hAnsi="宋体" w:eastAsia="黑体" w:cs="Times New Roman"/>
          <w:color w:val="000000"/>
          <w:sz w:val="32"/>
          <w:szCs w:val="32"/>
        </w:rPr>
        <w:t>标准自发布日期至实施日期的过渡期建议及理由</w:t>
      </w:r>
      <w:bookmarkEnd w:id="381"/>
      <w:bookmarkEnd w:id="382"/>
      <w:bookmarkEnd w:id="383"/>
      <w:bookmarkEnd w:id="384"/>
      <w:bookmarkEnd w:id="385"/>
      <w:bookmarkEnd w:id="386"/>
      <w:bookmarkEnd w:id="387"/>
      <w:bookmarkEnd w:id="388"/>
      <w:bookmarkEnd w:id="389"/>
    </w:p>
    <w:p w14:paraId="1F3FCD1A">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color w:val="000000"/>
          <w:sz w:val="32"/>
          <w:szCs w:val="32"/>
          <w:shd w:val="clear" w:color="auto" w:fill="FFFFFF"/>
        </w:rPr>
        <w:t>建议实施过渡期为18个月。</w:t>
      </w:r>
    </w:p>
    <w:p w14:paraId="5C2D778F">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color w:val="000000"/>
          <w:sz w:val="32"/>
          <w:szCs w:val="32"/>
          <w:shd w:val="clear" w:color="auto" w:fill="FFFFFF"/>
        </w:rPr>
        <w:t>标准发布后，标委会应及时组织标准宣贯，建议重点对</w:t>
      </w:r>
      <w:r>
        <w:rPr>
          <w:rFonts w:hint="eastAsia" w:ascii="宋体" w:hAnsi="宋体" w:eastAsia="仿宋_GB2312" w:cs="Times New Roman"/>
          <w:sz w:val="32"/>
          <w:szCs w:val="32"/>
          <w:shd w:val="clear" w:color="auto" w:fill="FFFFFF"/>
        </w:rPr>
        <w:t>海洋石油</w:t>
      </w:r>
      <w:r>
        <w:rPr>
          <w:rFonts w:hint="eastAsia" w:ascii="宋体" w:hAnsi="宋体" w:eastAsia="仿宋_GB2312" w:cs="Times New Roman"/>
          <w:color w:val="000000"/>
          <w:sz w:val="32"/>
          <w:szCs w:val="32"/>
          <w:shd w:val="clear" w:color="auto" w:fill="FFFFFF"/>
        </w:rPr>
        <w:t>安全评价检测检验机构等相关单位进行宣贯，以便相关人员能够更好理解标准技术内容。通过设置过渡期，可以确保标准在实施之前得到广泛的宣传和推广，使相关单位有足够的时间来适应和遵守新标准的要求，从而确保标准的顺利实施。</w:t>
      </w:r>
    </w:p>
    <w:p w14:paraId="3FC8B595">
      <w:pPr>
        <w:adjustRightInd w:val="0"/>
        <w:spacing w:line="560" w:lineRule="exact"/>
        <w:ind w:firstLine="640" w:firstLineChars="200"/>
        <w:rPr>
          <w:rFonts w:ascii="宋体" w:hAnsi="宋体" w:eastAsia="仿宋_GB2312" w:cs="Times New Roman"/>
          <w:color w:val="000000"/>
          <w:sz w:val="32"/>
          <w:szCs w:val="32"/>
          <w:shd w:val="clear" w:color="auto" w:fill="FFFFFF"/>
        </w:rPr>
      </w:pPr>
      <w:r>
        <w:rPr>
          <w:rFonts w:hint="eastAsia" w:ascii="宋体" w:hAnsi="宋体" w:eastAsia="仿宋_GB2312" w:cs="Times New Roman"/>
          <w:color w:val="000000"/>
          <w:sz w:val="32"/>
          <w:szCs w:val="32"/>
          <w:shd w:val="clear" w:color="auto" w:fill="FFFFFF"/>
        </w:rPr>
        <w:t>综上所述，建议的18个月过渡期旨在平衡新标准的推广实施与监管部门和安全评价检测检验机构的适应时间，确保新标准的有效执行，同时减少不必要的工作消耗。</w:t>
      </w:r>
    </w:p>
    <w:p w14:paraId="3EE1C0E4">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390" w:name="_Toc1578"/>
      <w:bookmarkStart w:id="391" w:name="_Toc2723"/>
      <w:bookmarkStart w:id="392" w:name="_Toc8875"/>
      <w:bookmarkStart w:id="393" w:name="_Toc193375465"/>
      <w:bookmarkStart w:id="394" w:name="_Toc27256"/>
      <w:bookmarkStart w:id="395" w:name="_Toc193319251"/>
      <w:bookmarkStart w:id="396" w:name="_Toc4996"/>
      <w:bookmarkStart w:id="397" w:name="_Toc3456"/>
      <w:bookmarkStart w:id="398" w:name="_Toc4688"/>
      <w:r>
        <w:rPr>
          <w:rFonts w:hint="eastAsia" w:ascii="宋体" w:hAnsi="宋体" w:eastAsia="黑体" w:cs="Times New Roman"/>
          <w:color w:val="000000"/>
          <w:sz w:val="32"/>
          <w:szCs w:val="32"/>
        </w:rPr>
        <w:t>与实施标准有关的政策措施</w:t>
      </w:r>
      <w:bookmarkEnd w:id="390"/>
      <w:bookmarkEnd w:id="391"/>
      <w:bookmarkEnd w:id="392"/>
      <w:bookmarkEnd w:id="393"/>
      <w:bookmarkEnd w:id="394"/>
      <w:bookmarkEnd w:id="395"/>
      <w:bookmarkEnd w:id="396"/>
      <w:bookmarkEnd w:id="397"/>
      <w:bookmarkEnd w:id="398"/>
    </w:p>
    <w:p w14:paraId="0524C086">
      <w:pPr>
        <w:spacing w:line="560" w:lineRule="exact"/>
        <w:ind w:firstLine="640" w:firstLineChars="200"/>
        <w:rPr>
          <w:rFonts w:ascii="宋体" w:hAnsi="宋体" w:eastAsia="仿宋_GB2312" w:cs="Times New Roman"/>
          <w:iCs/>
          <w:sz w:val="32"/>
          <w:szCs w:val="32"/>
        </w:rPr>
      </w:pPr>
      <w:r>
        <w:rPr>
          <w:rFonts w:hint="eastAsia" w:ascii="宋体" w:hAnsi="宋体" w:eastAsia="仿宋_GB2312" w:cs="Times New Roman"/>
          <w:iCs/>
          <w:sz w:val="32"/>
          <w:szCs w:val="32"/>
        </w:rPr>
        <w:t>通过标准的宣贯促进标准的有效实施，通过应急管理部官方网站、技术交流与培训等渠道向相关单位和机构进行宣贯，使其掌握并贯彻执行本文件的相关规定。</w:t>
      </w:r>
    </w:p>
    <w:p w14:paraId="39E0011D">
      <w:pPr>
        <w:adjustRightInd w:val="0"/>
        <w:spacing w:line="560" w:lineRule="exact"/>
        <w:ind w:firstLine="640" w:firstLineChars="200"/>
        <w:rPr>
          <w:rFonts w:ascii="宋体" w:hAnsi="宋体" w:eastAsia="仿宋_GB2312" w:cs="仿宋_GB2312"/>
          <w:color w:val="000000"/>
          <w:kern w:val="0"/>
          <w:sz w:val="32"/>
          <w:szCs w:val="32"/>
        </w:rPr>
      </w:pPr>
      <w:r>
        <w:rPr>
          <w:rFonts w:hint="eastAsia" w:ascii="宋体" w:hAnsi="宋体" w:eastAsia="仿宋_GB2312" w:cs="Times New Roman"/>
          <w:iCs/>
          <w:sz w:val="32"/>
          <w:szCs w:val="32"/>
        </w:rPr>
        <w:t>本文件实施的监督管理部门为应急管理部海油安监办及其各分部。对违反强制性标准的行为，依据安全生产法等相关法律法规进行处理</w:t>
      </w:r>
      <w:r>
        <w:rPr>
          <w:rFonts w:hint="eastAsia" w:ascii="宋体" w:hAnsi="宋体" w:eastAsia="仿宋_GB2312" w:cs="仿宋_GB2312"/>
          <w:color w:val="000000"/>
          <w:kern w:val="0"/>
          <w:sz w:val="32"/>
          <w:szCs w:val="32"/>
        </w:rPr>
        <w:t>。</w:t>
      </w:r>
    </w:p>
    <w:p w14:paraId="547D719F">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399" w:name="_Toc193319252"/>
      <w:bookmarkStart w:id="400" w:name="_Toc20380"/>
      <w:bookmarkStart w:id="401" w:name="_Toc13247"/>
      <w:bookmarkStart w:id="402" w:name="_Toc2979"/>
      <w:bookmarkStart w:id="403" w:name="_Toc29737"/>
      <w:bookmarkStart w:id="404" w:name="_Toc7349"/>
      <w:bookmarkStart w:id="405" w:name="_Toc28691"/>
      <w:bookmarkStart w:id="406" w:name="_Toc18041"/>
      <w:bookmarkStart w:id="407" w:name="_Toc193375466"/>
      <w:r>
        <w:rPr>
          <w:rFonts w:hint="eastAsia" w:ascii="宋体" w:hAnsi="宋体" w:eastAsia="黑体" w:cs="Times New Roman"/>
          <w:color w:val="000000"/>
          <w:sz w:val="32"/>
          <w:szCs w:val="32"/>
        </w:rPr>
        <w:t>是否需要对外通报的建议及理由</w:t>
      </w:r>
      <w:bookmarkEnd w:id="399"/>
      <w:bookmarkEnd w:id="400"/>
      <w:bookmarkEnd w:id="401"/>
      <w:bookmarkEnd w:id="402"/>
      <w:bookmarkEnd w:id="403"/>
      <w:bookmarkEnd w:id="404"/>
      <w:bookmarkEnd w:id="405"/>
      <w:bookmarkEnd w:id="406"/>
      <w:bookmarkEnd w:id="407"/>
    </w:p>
    <w:p w14:paraId="233705D8">
      <w:pPr>
        <w:adjustRightInd w:val="0"/>
        <w:spacing w:line="560" w:lineRule="exact"/>
        <w:ind w:firstLine="640" w:firstLineChars="200"/>
        <w:rPr>
          <w:rFonts w:ascii="宋体" w:hAnsi="宋体" w:eastAsia="仿宋_GB2312" w:cs="Times New Roman"/>
          <w:color w:val="000000"/>
          <w:sz w:val="32"/>
          <w:szCs w:val="32"/>
        </w:rPr>
      </w:pPr>
      <w:r>
        <w:rPr>
          <w:rFonts w:hint="eastAsia" w:ascii="宋体" w:hAnsi="宋体" w:eastAsia="仿宋_GB2312" w:cs="Times New Roman"/>
          <w:sz w:val="32"/>
          <w:szCs w:val="32"/>
          <w:shd w:val="clear" w:color="auto" w:fill="FFFFFF"/>
        </w:rPr>
        <w:t>本文件不需要</w:t>
      </w:r>
      <w:r>
        <w:rPr>
          <w:rFonts w:hint="eastAsia" w:ascii="宋体" w:hAnsi="宋体" w:eastAsia="仿宋_GB2312" w:cs="Times New Roman"/>
          <w:color w:val="000000"/>
          <w:sz w:val="32"/>
          <w:szCs w:val="32"/>
        </w:rPr>
        <w:t>对外通报。</w:t>
      </w:r>
    </w:p>
    <w:p w14:paraId="193BF225">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408" w:name="_Toc17537"/>
      <w:bookmarkStart w:id="409" w:name="_Toc7455"/>
      <w:bookmarkStart w:id="410" w:name="_Toc26087"/>
      <w:bookmarkStart w:id="411" w:name="_Toc25851"/>
      <w:bookmarkStart w:id="412" w:name="_Toc25122"/>
      <w:bookmarkStart w:id="413" w:name="_Toc193319253"/>
      <w:bookmarkStart w:id="414" w:name="_Toc31243"/>
      <w:bookmarkStart w:id="415" w:name="_Toc30132"/>
      <w:bookmarkStart w:id="416" w:name="_Toc193375467"/>
      <w:r>
        <w:rPr>
          <w:rFonts w:ascii="宋体" w:hAnsi="宋体" w:eastAsia="黑体" w:cs="Times New Roman"/>
          <w:color w:val="000000"/>
          <w:sz w:val="32"/>
          <w:szCs w:val="32"/>
        </w:rPr>
        <w:t>废止现行有关标准的建议</w:t>
      </w:r>
      <w:bookmarkEnd w:id="408"/>
      <w:bookmarkEnd w:id="409"/>
      <w:bookmarkEnd w:id="410"/>
      <w:bookmarkEnd w:id="411"/>
      <w:bookmarkEnd w:id="412"/>
      <w:bookmarkEnd w:id="413"/>
      <w:bookmarkEnd w:id="414"/>
      <w:bookmarkEnd w:id="415"/>
      <w:bookmarkEnd w:id="416"/>
    </w:p>
    <w:p w14:paraId="31B9FBB4">
      <w:pPr>
        <w:adjustRightInd w:val="0"/>
        <w:spacing w:line="560" w:lineRule="exact"/>
        <w:ind w:firstLine="640" w:firstLineChars="200"/>
        <w:rPr>
          <w:rFonts w:ascii="宋体" w:hAnsi="宋体" w:eastAsia="仿宋_GB2312" w:cs="Times New Roman"/>
          <w:i/>
          <w:iCs/>
          <w:color w:val="000000"/>
          <w:sz w:val="32"/>
          <w:szCs w:val="32"/>
        </w:rPr>
      </w:pPr>
      <w:r>
        <w:rPr>
          <w:rFonts w:hint="eastAsia" w:ascii="宋体" w:hAnsi="宋体" w:eastAsia="仿宋_GB2312" w:cs="Times New Roman"/>
          <w:color w:val="000000"/>
          <w:sz w:val="32"/>
          <w:szCs w:val="32"/>
        </w:rPr>
        <w:t>无。</w:t>
      </w:r>
    </w:p>
    <w:p w14:paraId="4685E277">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417" w:name="_Toc193375468"/>
      <w:bookmarkStart w:id="418" w:name="_Toc648"/>
      <w:bookmarkStart w:id="419" w:name="_Toc193319254"/>
      <w:bookmarkStart w:id="420" w:name="_Toc17641"/>
      <w:bookmarkStart w:id="421" w:name="_Toc19734"/>
      <w:bookmarkStart w:id="422" w:name="_Toc23950"/>
      <w:bookmarkStart w:id="423" w:name="_Toc21457"/>
      <w:bookmarkStart w:id="424" w:name="_Toc31431"/>
      <w:bookmarkStart w:id="425" w:name="_Toc10910"/>
      <w:r>
        <w:rPr>
          <w:rFonts w:hint="eastAsia" w:ascii="宋体" w:hAnsi="宋体" w:eastAsia="黑体" w:cs="Times New Roman"/>
          <w:color w:val="000000"/>
          <w:sz w:val="32"/>
          <w:szCs w:val="32"/>
        </w:rPr>
        <w:t>涉及专利的有关说明</w:t>
      </w:r>
      <w:bookmarkEnd w:id="417"/>
      <w:bookmarkEnd w:id="418"/>
      <w:bookmarkEnd w:id="419"/>
      <w:bookmarkEnd w:id="420"/>
      <w:bookmarkEnd w:id="421"/>
      <w:bookmarkEnd w:id="422"/>
      <w:bookmarkEnd w:id="423"/>
      <w:bookmarkEnd w:id="424"/>
      <w:bookmarkEnd w:id="425"/>
    </w:p>
    <w:p w14:paraId="44DBC906">
      <w:pPr>
        <w:adjustRightInd w:val="0"/>
        <w:spacing w:line="560" w:lineRule="exact"/>
        <w:ind w:firstLine="640" w:firstLineChars="200"/>
        <w:rPr>
          <w:rFonts w:ascii="宋体" w:hAnsi="宋体" w:eastAsia="仿宋_GB2312" w:cs="Times New Roman"/>
          <w:color w:val="000000"/>
          <w:sz w:val="32"/>
          <w:szCs w:val="32"/>
        </w:rPr>
      </w:pPr>
      <w:r>
        <w:rPr>
          <w:rFonts w:hint="eastAsia" w:ascii="宋体" w:hAnsi="宋体" w:eastAsia="仿宋_GB2312" w:cs="Times New Roman"/>
          <w:color w:val="000000"/>
          <w:sz w:val="32"/>
          <w:szCs w:val="32"/>
        </w:rPr>
        <w:t>本文件未涉及相关专利。</w:t>
      </w:r>
    </w:p>
    <w:p w14:paraId="55E82F9F">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426" w:name="_Toc193375469"/>
      <w:bookmarkStart w:id="427" w:name="_Toc13861"/>
      <w:bookmarkStart w:id="428" w:name="_Toc15652"/>
      <w:bookmarkStart w:id="429" w:name="_Toc733"/>
      <w:bookmarkStart w:id="430" w:name="_Toc193319255"/>
      <w:bookmarkStart w:id="431" w:name="_Toc15361"/>
      <w:bookmarkStart w:id="432" w:name="_Toc30984"/>
      <w:bookmarkStart w:id="433" w:name="_Toc16348"/>
      <w:bookmarkStart w:id="434" w:name="_Toc10702"/>
      <w:r>
        <w:rPr>
          <w:rFonts w:hint="eastAsia" w:ascii="宋体" w:hAnsi="宋体" w:eastAsia="黑体" w:cs="Times New Roman"/>
          <w:color w:val="000000"/>
          <w:sz w:val="32"/>
          <w:szCs w:val="32"/>
        </w:rPr>
        <w:t>标准所涉及的产品、过程或者服务目录</w:t>
      </w:r>
      <w:bookmarkEnd w:id="426"/>
      <w:bookmarkEnd w:id="427"/>
      <w:bookmarkEnd w:id="428"/>
      <w:bookmarkEnd w:id="429"/>
      <w:bookmarkEnd w:id="430"/>
      <w:bookmarkEnd w:id="431"/>
      <w:bookmarkEnd w:id="432"/>
      <w:bookmarkEnd w:id="433"/>
      <w:bookmarkEnd w:id="434"/>
    </w:p>
    <w:p w14:paraId="539E7161">
      <w:pPr>
        <w:adjustRightInd w:val="0"/>
        <w:spacing w:line="560" w:lineRule="exact"/>
        <w:ind w:firstLine="640" w:firstLineChars="200"/>
        <w:rPr>
          <w:rFonts w:ascii="宋体" w:hAnsi="宋体" w:eastAsia="仿宋_GB2312" w:cs="Times New Roman"/>
          <w:color w:val="000000"/>
          <w:sz w:val="32"/>
          <w:szCs w:val="32"/>
        </w:rPr>
      </w:pPr>
      <w:r>
        <w:rPr>
          <w:rFonts w:ascii="宋体" w:hAnsi="宋体" w:eastAsia="仿宋_GB2312" w:cs="Times New Roman"/>
          <w:sz w:val="32"/>
          <w:szCs w:val="32"/>
        </w:rPr>
        <w:t>本</w:t>
      </w:r>
      <w:r>
        <w:rPr>
          <w:rFonts w:hint="eastAsia" w:ascii="宋体" w:hAnsi="宋体" w:eastAsia="仿宋_GB2312" w:cs="Times New Roman"/>
          <w:sz w:val="32"/>
          <w:szCs w:val="32"/>
        </w:rPr>
        <w:t>文件</w:t>
      </w:r>
      <w:r>
        <w:rPr>
          <w:rFonts w:ascii="宋体" w:hAnsi="宋体" w:eastAsia="仿宋_GB2312" w:cs="Times New Roman"/>
          <w:sz w:val="32"/>
          <w:szCs w:val="32"/>
        </w:rPr>
        <w:t>不涉及产品、过程或者服务目录</w:t>
      </w:r>
      <w:r>
        <w:rPr>
          <w:rFonts w:hint="eastAsia" w:ascii="宋体" w:hAnsi="宋体" w:eastAsia="仿宋_GB2312" w:cs="Times New Roman"/>
          <w:color w:val="000000"/>
          <w:sz w:val="32"/>
          <w:szCs w:val="32"/>
        </w:rPr>
        <w:t>。</w:t>
      </w:r>
    </w:p>
    <w:p w14:paraId="177B94DF">
      <w:pPr>
        <w:widowControl/>
        <w:numPr>
          <w:ilvl w:val="0"/>
          <w:numId w:val="32"/>
        </w:numPr>
        <w:spacing w:line="560" w:lineRule="exact"/>
        <w:ind w:firstLine="640" w:firstLineChars="200"/>
        <w:outlineLvl w:val="0"/>
        <w:rPr>
          <w:rFonts w:ascii="宋体" w:hAnsi="宋体" w:eastAsia="黑体" w:cs="Times New Roman"/>
          <w:color w:val="000000"/>
          <w:sz w:val="32"/>
          <w:szCs w:val="32"/>
        </w:rPr>
      </w:pPr>
      <w:bookmarkStart w:id="435" w:name="_Toc7044"/>
      <w:bookmarkStart w:id="436" w:name="_Toc3623"/>
      <w:bookmarkStart w:id="437" w:name="_Toc610"/>
      <w:bookmarkStart w:id="438" w:name="_Toc19326"/>
      <w:bookmarkStart w:id="439" w:name="_Toc8576"/>
      <w:bookmarkStart w:id="440" w:name="_Toc193319256"/>
      <w:bookmarkStart w:id="441" w:name="_Toc10333"/>
      <w:bookmarkStart w:id="442" w:name="_Toc193375470"/>
      <w:bookmarkStart w:id="443" w:name="_Toc27022"/>
      <w:r>
        <w:rPr>
          <w:rFonts w:hint="eastAsia" w:ascii="宋体" w:hAnsi="宋体" w:eastAsia="黑体" w:cs="Times New Roman"/>
          <w:color w:val="000000"/>
          <w:sz w:val="32"/>
          <w:szCs w:val="32"/>
        </w:rPr>
        <w:t>其他</w:t>
      </w:r>
      <w:r>
        <w:rPr>
          <w:rFonts w:ascii="宋体" w:hAnsi="宋体" w:eastAsia="黑体" w:cs="Times New Roman"/>
          <w:color w:val="000000"/>
          <w:sz w:val="32"/>
          <w:szCs w:val="32"/>
        </w:rPr>
        <w:t>应予以说明的事项</w:t>
      </w:r>
      <w:bookmarkEnd w:id="435"/>
      <w:bookmarkEnd w:id="436"/>
      <w:bookmarkEnd w:id="437"/>
      <w:bookmarkEnd w:id="438"/>
      <w:bookmarkEnd w:id="439"/>
      <w:bookmarkEnd w:id="440"/>
      <w:bookmarkEnd w:id="441"/>
      <w:bookmarkEnd w:id="442"/>
      <w:bookmarkEnd w:id="443"/>
    </w:p>
    <w:p w14:paraId="6FD2F937">
      <w:pPr>
        <w:adjustRightInd w:val="0"/>
        <w:spacing w:line="560" w:lineRule="exact"/>
        <w:ind w:firstLine="640" w:firstLineChars="200"/>
        <w:rPr>
          <w:rFonts w:ascii="宋体" w:hAnsi="宋体" w:eastAsia="仿宋_GB2312" w:cs="Times New Roman"/>
          <w:color w:val="000000"/>
          <w:sz w:val="32"/>
          <w:szCs w:val="32"/>
        </w:rPr>
      </w:pPr>
      <w:r>
        <w:rPr>
          <w:rFonts w:ascii="宋体" w:hAnsi="宋体" w:eastAsia="仿宋_GB2312" w:cs="Times New Roman"/>
          <w:sz w:val="32"/>
          <w:szCs w:val="32"/>
        </w:rPr>
        <w:t>本</w:t>
      </w:r>
      <w:r>
        <w:rPr>
          <w:rFonts w:hint="eastAsia" w:ascii="宋体" w:hAnsi="宋体" w:eastAsia="仿宋_GB2312" w:cs="Times New Roman"/>
          <w:color w:val="000000"/>
          <w:sz w:val="32"/>
          <w:szCs w:val="32"/>
        </w:rPr>
        <w:t>文件不含影响公平竞争的有关内容。</w:t>
      </w:r>
    </w:p>
    <w:bookmarkEnd w:id="253"/>
    <w:bookmarkEnd w:id="254"/>
    <w:p w14:paraId="256EF2A5">
      <w:pPr>
        <w:spacing w:line="560" w:lineRule="exact"/>
        <w:ind w:firstLine="420" w:firstLineChars="200"/>
        <w:rPr>
          <w:rFonts w:ascii="宋体" w:hAnsi="宋体"/>
        </w:rPr>
      </w:pPr>
    </w:p>
    <w:p w14:paraId="3BE351DD">
      <w:pPr>
        <w:pStyle w:val="24"/>
        <w:ind w:firstLine="0" w:firstLineChars="0"/>
        <w:rPr>
          <w:rFonts w:ascii="宋体" w:hAnsi="宋体"/>
        </w:rPr>
      </w:pPr>
    </w:p>
    <w:p w14:paraId="60BD6D64">
      <w:pPr>
        <w:rPr>
          <w:rFonts w:ascii="宋体" w:hAnsi="宋体"/>
        </w:rPr>
      </w:pPr>
    </w:p>
    <w:sectPr>
      <w:footerReference r:id="rId24" w:type="default"/>
      <w:footerReference r:id="rId25" w:type="even"/>
      <w:pgSz w:w="11906" w:h="16838"/>
      <w:pgMar w:top="1701" w:right="1474" w:bottom="147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embedRegular r:id="rId1" w:fontKey="{EE80D37C-C948-4AC9-9687-550BD826AA2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00E12CF1-7212-4052-B7B5-4CCA1F7EE064}"/>
  </w:font>
  <w:font w:name="仿宋_GB2312">
    <w:panose1 w:val="02010609030101010101"/>
    <w:charset w:val="86"/>
    <w:family w:val="modern"/>
    <w:pitch w:val="default"/>
    <w:sig w:usb0="00000001" w:usb1="080E0000" w:usb2="00000000" w:usb3="00000000" w:csb0="00040000" w:csb1="00000000"/>
    <w:embedRegular r:id="rId3" w:fontKey="{BF985823-420D-4EB4-98AB-C99FECB5F82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embedRegular r:id="rId4" w:fontKey="{4C0B41C8-01BC-4FAE-93FD-77EE647CDEB7}"/>
  </w:font>
  <w:font w:name="方正小标宋简体">
    <w:panose1 w:val="02010601030101010101"/>
    <w:charset w:val="86"/>
    <w:family w:val="auto"/>
    <w:pitch w:val="default"/>
    <w:sig w:usb0="00000001" w:usb1="080E0000" w:usb2="00000000" w:usb3="00000000" w:csb0="00040000" w:csb1="00000000"/>
  </w:font>
  <w:font w:name="方正小标宋_GBK">
    <w:altName w:val="Arial Unicode MS"/>
    <w:panose1 w:val="03000509000000000000"/>
    <w:charset w:val="86"/>
    <w:family w:val="auto"/>
    <w:pitch w:val="default"/>
    <w:sig w:usb0="00000000" w:usb1="00000000" w:usb2="00082016" w:usb3="00000000" w:csb0="00040001" w:csb1="00000000"/>
    <w:embedRegular r:id="rId5" w:fontKey="{1C232226-5068-4D83-825E-A9C4A3BDCB28}"/>
  </w:font>
  <w:font w:name="Arial Unicode MS">
    <w:panose1 w:val="020B0604020202020204"/>
    <w:charset w:val="86"/>
    <w:family w:val="auto"/>
    <w:pitch w:val="default"/>
    <w:sig w:usb0="FFFFFFFF" w:usb1="E9FFFFFF" w:usb2="0000003F" w:usb3="00000000" w:csb0="603F01FF" w:csb1="FFFF0000"/>
  </w:font>
  <w:font w:name="华文宋体">
    <w:panose1 w:val="02010600040101010101"/>
    <w:charset w:val="86"/>
    <w:family w:val="auto"/>
    <w:pitch w:val="default"/>
    <w:sig w:usb0="00000287" w:usb1="080F0000" w:usb2="00000000" w:usb3="00000000" w:csb0="0004009F" w:csb1="DFD70000"/>
    <w:embedRegular r:id="rId6" w:fontKey="{F7F737D7-3504-4250-9AF7-166A5EDE2E60}"/>
  </w:font>
  <w:font w:name="等线">
    <w:altName w:val="Arial Unicode MS"/>
    <w:panose1 w:val="00000000000000000000"/>
    <w:charset w:val="86"/>
    <w:family w:val="auto"/>
    <w:pitch w:val="default"/>
    <w:sig w:usb0="00000000" w:usb1="00000000" w:usb2="00000016" w:usb3="00000000" w:csb0="0004000F" w:csb1="00000000"/>
    <w:embedRegular r:id="rId7" w:fontKey="{EB21D960-A54F-4052-B263-34D9D96DFFCD}"/>
  </w:font>
  <w:font w:name="楷体">
    <w:panose1 w:val="02010609060101010101"/>
    <w:charset w:val="86"/>
    <w:family w:val="modern"/>
    <w:pitch w:val="default"/>
    <w:sig w:usb0="800002BF" w:usb1="38CF7CFA" w:usb2="00000016" w:usb3="00000000" w:csb0="00040001" w:csb1="00000000"/>
    <w:embedRegular r:id="rId8" w:fontKey="{1F224463-D5ED-4942-AE37-3205E791672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91E5F">
    <w:pPr>
      <w:pStyle w:val="53"/>
      <w:ind w:right="360" w:firstLine="360"/>
      <w:rPr>
        <w:rStyle w:val="5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BDEB0">
    <w:pPr>
      <w:pStyle w:val="19"/>
      <w:framePr w:wrap="around" w:vAnchor="text" w:hAnchor="margin" w:xAlign="outside" w:yAlign="top"/>
    </w:pPr>
    <w:r>
      <w:fldChar w:fldCharType="begin"/>
    </w:r>
    <w:r>
      <w:rPr>
        <w:rStyle w:val="29"/>
      </w:rPr>
      <w:instrText xml:space="preserve"> PAGE  </w:instrText>
    </w:r>
    <w:r>
      <w:fldChar w:fldCharType="separate"/>
    </w:r>
    <w:r>
      <w:rPr>
        <w:rStyle w:val="29"/>
      </w:rPr>
      <w:t>1</w:t>
    </w:r>
    <w:r>
      <w:fldChar w:fldCharType="end"/>
    </w:r>
  </w:p>
  <w:p w14:paraId="7B21E633">
    <w:pPr>
      <w:pStyle w:val="1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8966D">
    <w:pPr>
      <w:pStyle w:val="53"/>
      <w:ind w:right="360" w:firstLine="360"/>
      <w:rPr>
        <w:rStyle w:val="54"/>
      </w:rPr>
    </w:pPr>
    <w:r>
      <w:pict>
        <v:shape id="文本框 13"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Vcs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VcszAgAAZQQAAA4AAAAAAAAAAQAgAAAAHwEAAGRycy9lMm9Eb2MueG1sUEsF&#10;BgAAAAAGAAYAWQEAAMQFAAAAAA==&#10;">
          <v:path/>
          <v:fill on="f" focussize="0,0"/>
          <v:stroke on="f" weight="0.5pt" joinstyle="miter"/>
          <v:imagedata o:title=""/>
          <o:lock v:ext="edit"/>
          <v:textbox inset="0mm,0mm,0mm,0mm" style="mso-fit-shape-to-text:t;">
            <w:txbxContent>
              <w:p w14:paraId="38993DFB">
                <w:pPr>
                  <w:pStyle w:val="19"/>
                  <w:rPr>
                    <w:rFonts w:ascii="宋体" w:hAnsi="宋体" w:eastAsia="宋体" w:cs="宋体"/>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I</w:t>
                </w:r>
                <w:r>
                  <w:rPr>
                    <w:rFonts w:hint="eastAsia" w:ascii="宋体" w:hAnsi="宋体" w:eastAsia="宋体" w:cs="宋体"/>
                    <w:sz w:val="21"/>
                    <w:szCs w:val="21"/>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ECCB7">
    <w:pPr>
      <w:pStyle w:val="19"/>
    </w:pPr>
    <w:r>
      <w:pict>
        <v:shape id="文本框 17" o:spid="_x0000_s1035"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GJtrQzAgAAZQQAAA4AAABkcnMvZTJvRG9jLnhtbK1UzY7TMBC+I/EO&#10;lu80aVcs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GJtrQzAgAAZQQAAA4AAAAAAAAAAQAgAAAAHwEAAGRycy9lMm9Eb2MueG1sUEsF&#10;BgAAAAAGAAYAWQEAAMQFAAAAAA==&#10;">
          <v:path/>
          <v:fill on="f" focussize="0,0"/>
          <v:stroke on="f" weight="0.5pt" joinstyle="miter"/>
          <v:imagedata o:title=""/>
          <o:lock v:ext="edit"/>
          <v:textbox inset="0mm,0mm,0mm,0mm" style="mso-fit-shape-to-text:t;">
            <w:txbxContent>
              <w:p w14:paraId="5E2D63A5">
                <w:pPr>
                  <w:pStyle w:val="19"/>
                  <w:rPr>
                    <w:rFonts w:ascii="Times New Roman" w:hAnsi="Times New Roman" w:cs="Times New Roman"/>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II</w:t>
                </w:r>
                <w:r>
                  <w:rPr>
                    <w:rFonts w:hint="eastAsia" w:ascii="宋体" w:hAnsi="宋体" w:eastAsia="宋体" w:cs="宋体"/>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96D40">
    <w:pPr>
      <w:pStyle w:val="53"/>
      <w:ind w:right="360" w:firstLine="360"/>
      <w:rPr>
        <w:rStyle w:val="54"/>
        <w:rFonts w:ascii="宋体" w:hAnsi="宋体" w:cs="宋体"/>
      </w:rPr>
    </w:pPr>
    <w:r>
      <w:rPr>
        <w:rFonts w:ascii="宋体" w:hAnsi="宋体" w:cs="宋体"/>
      </w:rPr>
      <w:pict>
        <v:shape id="_x0000_s1034" o:spid="_x0000_s1034" o:spt="202" type="#_x0000_t202" style="position:absolute;left:0pt;margin-top:0pt;height:144pt;width:144pt;mso-position-horizontal:outside;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Xbh9QzAgAAZQQAAA4AAAAAAAAAAQAgAAAAHwEAAGRycy9lMm9Eb2MueG1sUEsF&#10;BgAAAAAGAAYAWQEAAMQFAAAAAA==&#10;">
          <v:path/>
          <v:fill on="f" focussize="0,0"/>
          <v:stroke on="f" weight="0.5pt" joinstyle="miter"/>
          <v:imagedata o:title=""/>
          <o:lock v:ext="edit"/>
          <v:textbox inset="0mm,0mm,0mm,0mm" style="mso-fit-shape-to-text:t;">
            <w:txbxContent>
              <w:p w14:paraId="49B971BF">
                <w:pPr>
                  <w:pStyle w:val="19"/>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15</w:t>
                </w:r>
                <w:r>
                  <w:rPr>
                    <w:rFonts w:hint="eastAsia" w:ascii="宋体" w:hAnsi="宋体" w:eastAsia="宋体" w:cs="宋体"/>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06E01">
    <w:pPr>
      <w:pStyle w:val="19"/>
    </w:pPr>
    <w:r>
      <w:pict>
        <v:shape id="_x0000_s1033" o:spid="_x0000_s1033" o:spt="202" type="#_x0000_t202" style="position:absolute;left:0pt;margin-top:0pt;height:144pt;width:144pt;mso-position-horizontal:outside;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66j1MzAgAAZQQAAA4AAABkcnMvZTJvRG9jLnhtbK1UzY7TMBC+I/EO&#10;lu80aRFL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66j1MzAgAAZQQAAA4AAAAAAAAAAQAgAAAAHwEAAGRycy9lMm9Eb2MueG1sUEsF&#10;BgAAAAAGAAYAWQEAAMQFAAAAAA==&#10;">
          <v:path/>
          <v:fill on="f" focussize="0,0"/>
          <v:stroke on="f" weight="0.5pt" joinstyle="miter"/>
          <v:imagedata o:title=""/>
          <o:lock v:ext="edit"/>
          <v:textbox inset="0mm,0mm,0mm,0mm" style="mso-fit-shape-to-text:t;">
            <w:txbxContent>
              <w:p w14:paraId="784268A3">
                <w:pPr>
                  <w:pStyle w:val="19"/>
                  <w:rPr>
                    <w:rFonts w:ascii="Times New Roman" w:hAnsi="Times New Roman" w:cs="Times New Roman"/>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16</w:t>
                </w:r>
                <w:r>
                  <w:rPr>
                    <w:rFonts w:hint="eastAsia" w:ascii="宋体" w:hAnsi="宋体" w:eastAsia="宋体" w:cs="宋体"/>
                  </w:rP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E5345">
    <w:pPr>
      <w:pStyle w:val="53"/>
      <w:ind w:right="360" w:firstLine="360"/>
      <w:rPr>
        <w:rStyle w:val="54"/>
      </w:rPr>
    </w:pPr>
    <w:r>
      <w:pict>
        <v:shape id="_x0000_s1032" o:spid="_x0000_s1032"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uvd0zAgAAZQQAAA4AAABkcnMvZTJvRG9jLnhtbK1UzY7TMBC+I/EO&#10;lu80aVcs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kuvd0zAgAAZQQAAA4AAAAAAAAAAQAgAAAAHwEAAGRycy9lMm9Eb2MueG1sUEsF&#10;BgAAAAAGAAYAWQEAAMQFAAAAAA==&#10;">
          <v:path/>
          <v:fill on="f" focussize="0,0"/>
          <v:stroke on="f" weight="0.5pt" joinstyle="miter"/>
          <v:imagedata o:title=""/>
          <o:lock v:ext="edit"/>
          <v:textbox inset="0mm,0mm,0mm,0mm" style="mso-fit-shape-to-text:t;">
            <w:txbxContent>
              <w:p w14:paraId="7A1BAA25">
                <w:pPr>
                  <w:pStyle w:val="19"/>
                  <w:rPr>
                    <w:rFonts w:ascii="宋体" w:hAnsi="宋体" w:eastAsia="宋体" w:cs="宋体"/>
                  </w:rPr>
                </w:pPr>
                <w:r>
                  <w:rPr>
                    <w:rFonts w:hint="eastAsia" w:ascii="宋体" w:hAnsi="宋体" w:eastAsia="宋体" w:cs="宋体"/>
                  </w:rPr>
                  <w:fldChar w:fldCharType="begin"/>
                </w:r>
                <w:r>
                  <w:rPr>
                    <w:rFonts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19</w:t>
                </w:r>
                <w:r>
                  <w:rPr>
                    <w:rFonts w:hint="eastAsia" w:ascii="宋体" w:hAnsi="宋体" w:eastAsia="宋体" w:cs="宋体"/>
                  </w:rP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55A2D">
    <w:pPr>
      <w:pStyle w:val="19"/>
    </w:pPr>
    <w:r>
      <w:pict>
        <v:shape id="_x0000_s1031" o:spid="_x0000_s1031" o:spt="202" type="#_x0000_t202" style="position:absolute;left:0pt;margin-top:0pt;height:144pt;width:144pt;mso-position-horizontal:out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R+p0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9H6nTICAABlBAAADgAAAAAAAAABACAAAAAfAQAAZHJzL2Uyb0RvYy54bWxQSwUG&#10;AAAAAAYABgBZAQAAwwUAAAAA&#10;">
          <v:path/>
          <v:fill on="f" focussize="0,0"/>
          <v:stroke on="f" weight="0.5pt" joinstyle="miter"/>
          <v:imagedata o:title=""/>
          <o:lock v:ext="edit"/>
          <v:textbox inset="0mm,0mm,0mm,0mm" style="mso-fit-shape-to-text:t;">
            <w:txbxContent>
              <w:p w14:paraId="36513D63">
                <w:pPr>
                  <w:pStyle w:val="19"/>
                  <w:rPr>
                    <w:rFonts w:ascii="Times New Roman" w:hAnsi="Times New Roman" w:cs="Times New Roman"/>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18</w:t>
                </w:r>
                <w:r>
                  <w:rPr>
                    <w:rFonts w:hint="eastAsia" w:ascii="宋体" w:hAnsi="宋体" w:eastAsia="宋体" w:cs="宋体"/>
                  </w:rP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304DD">
    <w:pPr>
      <w:pStyle w:val="53"/>
      <w:ind w:right="360" w:firstLine="360"/>
      <w:rPr>
        <w:rStyle w:val="54"/>
      </w:rPr>
    </w:pPr>
    <w:r>
      <w:pict>
        <v:shape id="文本框 27" o:spid="_x0000_s1030"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779sy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Xvv2zICAABlBAAADgAAAAAAAAABACAAAAAfAQAAZHJzL2Uyb0RvYy54bWxQSwUG&#10;AAAAAAYABgBZAQAAwwUAAAAA&#10;">
          <v:path/>
          <v:fill on="f" focussize="0,0"/>
          <v:stroke on="f" weight="0.5pt" joinstyle="miter"/>
          <v:imagedata o:title=""/>
          <o:lock v:ext="edit"/>
          <v:textbox inset="0mm,0mm,0mm,0mm" style="mso-fit-shape-to-text:t;">
            <w:txbxContent>
              <w:p w14:paraId="3F359B6C">
                <w:pPr>
                  <w:pStyle w:val="19"/>
                  <w:rPr>
                    <w:rFonts w:asciiTheme="minorEastAsia" w:hAnsiTheme="minorEastAsia" w:cstheme="minorEastAsia"/>
                    <w:sz w:val="21"/>
                    <w:szCs w:val="21"/>
                  </w:rPr>
                </w:pPr>
                <w:r>
                  <w:rPr>
                    <w:rFonts w:hint="eastAsia" w:asciiTheme="minorEastAsia" w:hAnsiTheme="minorEastAsia" w:cstheme="minorEastAsia"/>
                  </w:rPr>
                  <w:fldChar w:fldCharType="begin"/>
                </w:r>
                <w:r>
                  <w:rPr>
                    <w:rFonts w:hint="eastAsia" w:asciiTheme="minorEastAsia" w:hAnsiTheme="minorEastAsia" w:cstheme="minorEastAsia"/>
                  </w:rPr>
                  <w:instrText xml:space="preserve"> PAGE  \* MERGEFORMAT </w:instrText>
                </w:r>
                <w:r>
                  <w:rPr>
                    <w:rFonts w:hint="eastAsia" w:asciiTheme="minorEastAsia" w:hAnsiTheme="minorEastAsia" w:cstheme="minorEastAsia"/>
                  </w:rPr>
                  <w:fldChar w:fldCharType="separate"/>
                </w:r>
                <w:r>
                  <w:rPr>
                    <w:rFonts w:asciiTheme="minorEastAsia" w:hAnsiTheme="minorEastAsia" w:cstheme="minorEastAsia"/>
                  </w:rPr>
                  <w:t>39</w:t>
                </w:r>
                <w:r>
                  <w:rPr>
                    <w:rFonts w:hint="eastAsia" w:asciiTheme="minorEastAsia" w:hAnsiTheme="minorEastAsia" w:cstheme="minorEastAsia"/>
                  </w:rP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0A9DF">
    <w:pPr>
      <w:pStyle w:val="19"/>
    </w:pPr>
    <w:r>
      <w:pict>
        <v:shape id="文本框 28" o:spid="_x0000_s1029" o:spt="202" type="#_x0000_t202" style="position:absolute;left:0pt;margin-left:7.2pt;margin-top:-9.3pt;height:11.5pt;width:15.55pt;mso-position-horizontal-relative:margin;z-index:251660288;mso-width-relative:page;mso-height-relative:page;" filled="f" stroked="f" coordsize="21600,21600" o:gfxdata="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hmkv/dUAAAAHAQAADwAAAAAAAAABACAAAAAiAAAAZHJzL2Rvd25yZXYu&#10;eG1sUEsBAhQAFAAAAAgAh07iQHSFCbY3AgAAZQQAAA4AAAAAAAAAAQAgAAAAJAEAAGRycy9lMm9E&#10;b2MueG1sUEsFBgAAAAAGAAYAWQEAAM0FAAAAAA==&#10;">
          <v:path/>
          <v:fill on="f" focussize="0,0"/>
          <v:stroke on="f" weight="0.5pt" joinstyle="miter"/>
          <v:imagedata o:title=""/>
          <o:lock v:ext="edit"/>
          <v:textbox inset="0mm,0mm,0mm,0mm">
            <w:txbxContent>
              <w:p w14:paraId="3081E74C">
                <w:pPr>
                  <w:pStyle w:val="19"/>
                  <w:rPr>
                    <w:rFonts w:asciiTheme="minorEastAsia" w:hAnsiTheme="minorEastAsia" w:cstheme="minorEastAsia"/>
                  </w:rPr>
                </w:pPr>
                <w:r>
                  <w:rPr>
                    <w:rFonts w:hint="eastAsia" w:asciiTheme="minorEastAsia" w:hAnsiTheme="minorEastAsia" w:cstheme="minorEastAsia"/>
                  </w:rPr>
                  <w:fldChar w:fldCharType="begin"/>
                </w:r>
                <w:r>
                  <w:rPr>
                    <w:rFonts w:hint="eastAsia" w:asciiTheme="minorEastAsia" w:hAnsiTheme="minorEastAsia" w:cstheme="minorEastAsia"/>
                  </w:rPr>
                  <w:instrText xml:space="preserve"> PAGE  \* MERGEFORMAT </w:instrText>
                </w:r>
                <w:r>
                  <w:rPr>
                    <w:rFonts w:hint="eastAsia" w:asciiTheme="minorEastAsia" w:hAnsiTheme="minorEastAsia" w:cstheme="minorEastAsia"/>
                  </w:rPr>
                  <w:fldChar w:fldCharType="separate"/>
                </w:r>
                <w:r>
                  <w:rPr>
                    <w:rFonts w:asciiTheme="minorEastAsia" w:hAnsiTheme="minorEastAsia" w:cstheme="minorEastAsia"/>
                  </w:rPr>
                  <w:t>40</w:t>
                </w:r>
                <w:r>
                  <w:rPr>
                    <w:rFonts w:hint="eastAsia" w:asciiTheme="minorEastAsia" w:hAnsiTheme="minorEastAsia" w:cstheme="minorEastAsia"/>
                  </w:rP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24ADC">
    <w:pPr>
      <w:pStyle w:val="53"/>
      <w:spacing w:before="0"/>
      <w:rPr>
        <w:rStyle w:val="54"/>
        <w:rFonts w:ascii="宋体" w:hAnsi="宋体" w:cs="宋体"/>
      </w:rPr>
    </w:pPr>
    <w:r>
      <w:rPr>
        <w:rStyle w:val="54"/>
        <w:rFonts w:hint="eastAsia" w:ascii="宋体" w:hAnsi="宋体" w:cs="宋体"/>
      </w:rPr>
      <w:t>41</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7E1FD">
    <w:pPr>
      <w:pStyle w:val="19"/>
      <w:jc w:val="left"/>
      <w:rPr>
        <w:rFonts w:ascii="宋体" w:hAnsi="宋体" w:eastAsia="宋体" w:cs="宋体"/>
      </w:rPr>
    </w:pPr>
    <w:r>
      <w:rPr>
        <w:rFonts w:hint="eastAsia" w:ascii="宋体" w:hAnsi="宋体" w:eastAsia="宋体" w:cs="宋体"/>
      </w:rPr>
      <w:t>40</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974C1">
    <w:pPr>
      <w:pStyle w:val="53"/>
      <w:ind w:right="360" w:firstLine="360"/>
      <w:rPr>
        <w:rStyle w:val="54"/>
      </w:rPr>
    </w:pPr>
    <w:r>
      <w:pict>
        <v:shape id="_x0000_s1028" o:spid="_x0000_s1028"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ZPio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DZPiozAgAAZQQAAA4AAAAAAAAAAQAgAAAAHwEAAGRycy9lMm9Eb2MueG1sUEsF&#10;BgAAAAAGAAYAWQEAAMQFAAAAAA==&#10;">
          <v:path/>
          <v:fill on="f" focussize="0,0"/>
          <v:stroke on="f" weight="0.5pt" joinstyle="miter"/>
          <v:imagedata o:title=""/>
          <o:lock v:ext="edit"/>
          <v:textbox inset="0mm,0mm,0mm,0mm" style="mso-fit-shape-to-text:t;">
            <w:txbxContent>
              <w:p w14:paraId="347679E5">
                <w:pPr>
                  <w:pStyle w:val="19"/>
                  <w:rPr>
                    <w:rFonts w:asciiTheme="minorEastAsia" w:hAnsiTheme="minorEastAsia" w:cstheme="minorEastAsia"/>
                    <w:sz w:val="21"/>
                    <w:szCs w:val="21"/>
                  </w:rPr>
                </w:pPr>
                <w:r>
                  <w:rPr>
                    <w:rFonts w:hint="eastAsia" w:asciiTheme="minorEastAsia" w:hAnsiTheme="minorEastAsia" w:cstheme="minorEastAsia"/>
                  </w:rPr>
                  <w:fldChar w:fldCharType="begin"/>
                </w:r>
                <w:r>
                  <w:rPr>
                    <w:rFonts w:hint="eastAsia" w:asciiTheme="minorEastAsia" w:hAnsiTheme="minorEastAsia" w:cstheme="minorEastAsia"/>
                  </w:rPr>
                  <w:instrText xml:space="preserve"> PAGE  \* MERGEFORMAT </w:instrText>
                </w:r>
                <w:r>
                  <w:rPr>
                    <w:rFonts w:hint="eastAsia" w:asciiTheme="minorEastAsia" w:hAnsiTheme="minorEastAsia" w:cstheme="minorEastAsia"/>
                  </w:rPr>
                  <w:fldChar w:fldCharType="separate"/>
                </w:r>
                <w:r>
                  <w:rPr>
                    <w:rFonts w:asciiTheme="minorEastAsia" w:hAnsiTheme="minorEastAsia" w:cstheme="minorEastAsia"/>
                  </w:rPr>
                  <w:t>51</w:t>
                </w:r>
                <w:r>
                  <w:rPr>
                    <w:rFonts w:hint="eastAsia" w:asciiTheme="minorEastAsia" w:hAnsiTheme="minorEastAsia" w:cstheme="minorEastAsia"/>
                  </w:rP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0D9DA">
    <w:pPr>
      <w:pStyle w:val="19"/>
    </w:pPr>
    <w:r>
      <w:pict>
        <v:shape id="_x0000_s1027" o:spid="_x0000_s1027" o:spt="202" type="#_x0000_t202" style="position:absolute;left:0pt;margin-left:7.2pt;margin-top:-9.3pt;height:11.5pt;width:15.55pt;mso-position-horizontal-relative:margin;z-index:251668480;mso-width-relative:page;mso-height-relative:page;" filled="f" stroked="f" coordsize="21600,21600" o:gfxdata="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IZpL/3VAAAABwEAAA8AAAAAAAAAAQAgAAAAIgAAAGRycy9kb3ducmV2&#10;LnhtbFBLAQIUABQAAAAIAIdO4kDZ7nx4OAIAAGUEAAAOAAAAAAAAAAEAIAAAACQBAABkcnMvZTJv&#10;RG9jLnhtbFBLBQYAAAAABgAGAFkBAADOBQAAAAA=&#10;">
          <v:path/>
          <v:fill on="f" focussize="0,0"/>
          <v:stroke on="f" weight="0.5pt" joinstyle="miter"/>
          <v:imagedata o:title=""/>
          <o:lock v:ext="edit"/>
          <v:textbox inset="0mm,0mm,0mm,0mm">
            <w:txbxContent>
              <w:p w14:paraId="4894A8A2">
                <w:pPr>
                  <w:pStyle w:val="19"/>
                  <w:rPr>
                    <w:rFonts w:asciiTheme="minorEastAsia" w:hAnsiTheme="minorEastAsia" w:cstheme="minorEastAsia"/>
                  </w:rPr>
                </w:pPr>
                <w:r>
                  <w:rPr>
                    <w:rFonts w:hint="eastAsia" w:asciiTheme="minorEastAsia" w:hAnsiTheme="minorEastAsia" w:cstheme="minorEastAsia"/>
                  </w:rPr>
                  <w:fldChar w:fldCharType="begin"/>
                </w:r>
                <w:r>
                  <w:rPr>
                    <w:rFonts w:hint="eastAsia" w:asciiTheme="minorEastAsia" w:hAnsiTheme="minorEastAsia" w:cstheme="minorEastAsia"/>
                  </w:rPr>
                  <w:instrText xml:space="preserve"> PAGE  \* MERGEFORMAT </w:instrText>
                </w:r>
                <w:r>
                  <w:rPr>
                    <w:rFonts w:hint="eastAsia" w:asciiTheme="minorEastAsia" w:hAnsiTheme="minorEastAsia" w:cstheme="minorEastAsia"/>
                  </w:rPr>
                  <w:fldChar w:fldCharType="separate"/>
                </w:r>
                <w:r>
                  <w:rPr>
                    <w:rFonts w:asciiTheme="minorEastAsia" w:hAnsiTheme="minorEastAsia" w:cstheme="minorEastAsia"/>
                  </w:rPr>
                  <w:t>50</w:t>
                </w:r>
                <w:r>
                  <w:rPr>
                    <w:rFonts w:hint="eastAsia" w:asciiTheme="minorEastAsia" w:hAnsiTheme="minorEastAsia" w:cstheme="minorEastAsia"/>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D1E9B">
    <w:pPr>
      <w:tabs>
        <w:tab w:val="left" w:pos="786"/>
      </w:tabs>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89D2A">
    <w:pPr>
      <w:pStyle w:val="20"/>
      <w:pBdr>
        <w:bottom w:val="none" w:color="auto" w:sz="0" w:space="0"/>
      </w:pBdr>
      <w:spacing w:after="240"/>
      <w:jc w:val="left"/>
      <w:rPr>
        <w:sz w:val="21"/>
        <w:szCs w:val="21"/>
      </w:rPr>
    </w:pPr>
    <w:r>
      <w:rPr>
        <w:rFonts w:hint="eastAsia" w:ascii="黑体" w:eastAsia="黑体"/>
        <w:sz w:val="21"/>
        <w:szCs w:val="21"/>
      </w:rPr>
      <w:t>Q/SH XXXX-XXXX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41C2C">
    <w:pPr>
      <w:pStyle w:val="52"/>
      <w:spacing w:before="240" w:after="240"/>
    </w:pPr>
    <w: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ACD6F">
    <w:pPr>
      <w:tabs>
        <w:tab w:val="left" w:pos="786"/>
      </w:tabs>
      <w:jc w:val="right"/>
      <w:rPr>
        <w:rFonts w:ascii="黑体" w:hAnsi="黑体" w:eastAsia="黑体" w:cs="黑体"/>
      </w:rPr>
    </w:pPr>
    <w:r>
      <w:rPr>
        <w:rFonts w:hint="eastAsia" w:ascii="黑体" w:hAnsi="黑体" w:eastAsia="黑体" w:cs="黑体"/>
      </w:rPr>
      <w:t>AQ XXXX—XXXX</w:t>
    </w:r>
  </w:p>
  <w:p w14:paraId="238A855B">
    <w:pPr>
      <w:pStyle w:val="24"/>
      <w:ind w:firstLine="0" w:firstLineChars="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0ED33">
    <w:pPr>
      <w:pStyle w:val="20"/>
      <w:pBdr>
        <w:bottom w:val="none" w:color="auto" w:sz="0" w:space="1"/>
      </w:pBdr>
      <w:jc w:val="left"/>
      <w:rPr>
        <w:rFonts w:ascii="黑体" w:hAnsi="黑体" w:eastAsia="黑体" w:cs="黑体"/>
        <w:sz w:val="21"/>
        <w:szCs w:val="21"/>
      </w:rPr>
    </w:pPr>
    <w:r>
      <w:rPr>
        <w:rFonts w:hint="eastAsia" w:ascii="黑体" w:hAnsi="黑体" w:eastAsia="黑体" w:cs="黑体"/>
        <w:sz w:val="21"/>
        <w:szCs w:val="21"/>
      </w:rPr>
      <w:t>AQ XXXX—XXXX</w:t>
    </w:r>
  </w:p>
  <w:p w14:paraId="749DA8C3">
    <w:pPr>
      <w:pStyle w:val="20"/>
      <w:pBdr>
        <w:bottom w:val="none" w:color="auto" w:sz="0" w:space="1"/>
      </w:pBdr>
      <w:jc w:val="left"/>
      <w:rPr>
        <w:rFonts w:ascii="黑体" w:hAnsi="黑体" w:eastAsia="黑体" w:cs="黑体"/>
        <w:sz w:val="21"/>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5877C">
    <w:pPr>
      <w:tabs>
        <w:tab w:val="left" w:pos="786"/>
      </w:tabs>
      <w:jc w:val="right"/>
      <w:rPr>
        <w:rFonts w:ascii="黑体" w:hAnsi="黑体" w:eastAsia="黑体" w:cs="黑体"/>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353EB">
    <w:pPr>
      <w:tabs>
        <w:tab w:val="left" w:pos="786"/>
      </w:tabs>
      <w:jc w:val="left"/>
      <w:rPr>
        <w:rFonts w:ascii="黑体" w:hAnsi="黑体" w:eastAsia="黑体" w:cs="黑体"/>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FC6AA">
    <w:pPr>
      <w:pStyle w:val="20"/>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E1DA3B">
    <w:pPr>
      <w:tabs>
        <w:tab w:val="left" w:pos="786"/>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E78EE8"/>
    <w:multiLevelType w:val="multilevel"/>
    <w:tmpl w:val="ADE78EE8"/>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
    <w:nsid w:val="B0D5C7D0"/>
    <w:multiLevelType w:val="singleLevel"/>
    <w:tmpl w:val="B0D5C7D0"/>
    <w:lvl w:ilvl="0" w:tentative="0">
      <w:start w:val="1"/>
      <w:numFmt w:val="decimal"/>
      <w:suff w:val="space"/>
      <w:lvlText w:val="[%1]"/>
      <w:lvlJc w:val="left"/>
    </w:lvl>
  </w:abstractNum>
  <w:abstractNum w:abstractNumId="2">
    <w:nsid w:val="D1C2CE2E"/>
    <w:multiLevelType w:val="multilevel"/>
    <w:tmpl w:val="D1C2CE2E"/>
    <w:lvl w:ilvl="0" w:tentative="0">
      <w:start w:val="1"/>
      <w:numFmt w:val="upperLetter"/>
      <w:pStyle w:val="113"/>
      <w:suff w:val="space"/>
      <w:lvlText w:val="%1"/>
      <w:lvlJc w:val="left"/>
      <w:pPr>
        <w:ind w:left="425" w:hanging="425"/>
      </w:pPr>
      <w:rPr>
        <w:rFonts w:hint="eastAsia"/>
      </w:rPr>
    </w:lvl>
    <w:lvl w:ilvl="1" w:tentative="0">
      <w:start w:val="1"/>
      <w:numFmt w:val="decimal"/>
      <w:pStyle w:val="108"/>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E1C5EEC5"/>
    <w:multiLevelType w:val="multilevel"/>
    <w:tmpl w:val="E1C5EEC5"/>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
    <w:nsid w:val="EFEE6F9B"/>
    <w:multiLevelType w:val="singleLevel"/>
    <w:tmpl w:val="EFEE6F9B"/>
    <w:lvl w:ilvl="0" w:tentative="0">
      <w:start w:val="2"/>
      <w:numFmt w:val="chineseCounting"/>
      <w:suff w:val="nothing"/>
      <w:lvlText w:val="%1、"/>
      <w:lvlJc w:val="left"/>
      <w:rPr>
        <w:rFonts w:hint="eastAsia"/>
      </w:rPr>
    </w:lvl>
  </w:abstractNum>
  <w:abstractNum w:abstractNumId="5">
    <w:nsid w:val="02837933"/>
    <w:multiLevelType w:val="multilevel"/>
    <w:tmpl w:val="02837933"/>
    <w:lvl w:ilvl="0" w:tentative="0">
      <w:start w:val="1"/>
      <w:numFmt w:val="decimal"/>
      <w:lvlText w:val="[%1]"/>
      <w:lvlJc w:val="left"/>
      <w:pPr>
        <w:tabs>
          <w:tab w:val="left" w:pos="1646"/>
        </w:tabs>
        <w:ind w:left="1646" w:hanging="648"/>
      </w:pPr>
    </w:lvl>
    <w:lvl w:ilvl="1" w:tentative="0">
      <w:start w:val="1"/>
      <w:numFmt w:val="lowerLetter"/>
      <w:pStyle w:val="89"/>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6">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97"/>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7">
    <w:nsid w:val="079102AD"/>
    <w:multiLevelType w:val="multilevel"/>
    <w:tmpl w:val="079102AD"/>
    <w:lvl w:ilvl="0" w:tentative="0">
      <w:start w:val="1"/>
      <w:numFmt w:val="decimal"/>
      <w:pStyle w:val="122"/>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8">
    <w:nsid w:val="07ED3FEA"/>
    <w:multiLevelType w:val="multilevel"/>
    <w:tmpl w:val="07ED3FEA"/>
    <w:lvl w:ilvl="0" w:tentative="0">
      <w:start w:val="1"/>
      <w:numFmt w:val="none"/>
      <w:pStyle w:val="87"/>
      <w:lvlText w:val="%1"/>
      <w:lvlJc w:val="left"/>
      <w:pPr>
        <w:ind w:left="425" w:hanging="425"/>
      </w:pPr>
      <w:rPr>
        <w:rFonts w:hint="eastAsia"/>
      </w:rPr>
    </w:lvl>
    <w:lvl w:ilvl="1" w:tentative="0">
      <w:start w:val="1"/>
      <w:numFmt w:val="decimal"/>
      <w:suff w:val="nothing"/>
      <w:lvlText w:val="%10.%2 "/>
      <w:lvlJc w:val="left"/>
      <w:pPr>
        <w:ind w:left="0" w:firstLine="0"/>
      </w:pPr>
      <w:rPr>
        <w:rFonts w:hint="eastAsia" w:ascii="黑体" w:eastAsia="黑体" w:hAnsiTheme="minorHAnsi"/>
        <w:b w:val="0"/>
        <w:i w:val="0"/>
        <w:sz w:val="21"/>
      </w:rPr>
    </w:lvl>
    <w:lvl w:ilvl="2" w:tentative="0">
      <w:start w:val="1"/>
      <w:numFmt w:val="decimal"/>
      <w:suff w:val="nothing"/>
      <w:lvlText w:val="%10.%2.%3 "/>
      <w:lvlJc w:val="left"/>
      <w:pPr>
        <w:ind w:left="0" w:firstLine="0"/>
      </w:pPr>
      <w:rPr>
        <w:rFonts w:hint="eastAsia" w:ascii="黑体" w:eastAsia="黑体" w:hAnsiTheme="minorHAnsi"/>
        <w:b w:val="0"/>
        <w:i w:val="0"/>
        <w:sz w:val="21"/>
      </w:rPr>
    </w:lvl>
    <w:lvl w:ilvl="3" w:tentative="0">
      <w:start w:val="1"/>
      <w:numFmt w:val="decimal"/>
      <w:suff w:val="nothing"/>
      <w:lvlText w:val="%10.%2.%3.%4 "/>
      <w:lvlJc w:val="left"/>
      <w:pPr>
        <w:ind w:left="0" w:firstLine="0"/>
      </w:pPr>
      <w:rPr>
        <w:rFonts w:hint="eastAsia" w:ascii="黑体" w:eastAsia="黑体" w:hAnsiTheme="minorHAnsi"/>
        <w:b w:val="0"/>
        <w:i w:val="0"/>
        <w:sz w:val="21"/>
      </w:rPr>
    </w:lvl>
    <w:lvl w:ilvl="4" w:tentative="0">
      <w:start w:val="1"/>
      <w:numFmt w:val="decimal"/>
      <w:suff w:val="nothing"/>
      <w:lvlText w:val="%10.%2.%3.%4.%5 "/>
      <w:lvlJc w:val="left"/>
      <w:pPr>
        <w:ind w:left="0" w:firstLine="0"/>
      </w:pPr>
      <w:rPr>
        <w:rFonts w:hint="eastAsia" w:ascii="黑体" w:eastAsia="黑体" w:hAnsiTheme="minorHAnsi"/>
        <w:b w:val="0"/>
        <w:i w:val="0"/>
        <w:sz w:val="21"/>
      </w:rPr>
    </w:lvl>
    <w:lvl w:ilvl="5" w:tentative="0">
      <w:start w:val="1"/>
      <w:numFmt w:val="decimal"/>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1E55D37A"/>
    <w:multiLevelType w:val="multilevel"/>
    <w:tmpl w:val="1E55D37A"/>
    <w:lvl w:ilvl="0" w:tentative="0">
      <w:start w:val="6"/>
      <w:numFmt w:val="decimal"/>
      <w:pStyle w:val="3"/>
      <w:lvlText w:val="%1."/>
      <w:lvlJc w:val="left"/>
      <w:pPr>
        <w:ind w:left="432" w:hanging="432"/>
      </w:pPr>
      <w:rPr>
        <w:rFonts w:hint="default" w:ascii="宋体" w:hAnsi="宋体" w:eastAsia="宋体" w:cs="宋体"/>
      </w:rPr>
    </w:lvl>
    <w:lvl w:ilvl="1" w:tentative="0">
      <w:start w:val="7"/>
      <w:numFmt w:val="decimal"/>
      <w:pStyle w:val="4"/>
      <w:lvlText w:val="%1.%2"/>
      <w:lvlJc w:val="left"/>
      <w:pPr>
        <w:ind w:left="575" w:hanging="575"/>
      </w:pPr>
      <w:rPr>
        <w:rFonts w:hint="default" w:ascii="宋体" w:hAnsi="宋体" w:eastAsia="宋体" w:cs="宋体"/>
      </w:rPr>
    </w:lvl>
    <w:lvl w:ilvl="2" w:tentative="0">
      <w:start w:val="1"/>
      <w:numFmt w:val="decimal"/>
      <w:pStyle w:val="5"/>
      <w:lvlText w:val="%1.%2.%3"/>
      <w:lvlJc w:val="left"/>
      <w:pPr>
        <w:ind w:left="567" w:hanging="567"/>
      </w:pPr>
      <w:rPr>
        <w:rFonts w:hint="default" w:ascii="宋体" w:hAnsi="宋体" w:eastAsia="宋体" w:cs="宋体"/>
        <w:sz w:val="21"/>
        <w:szCs w:val="21"/>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10">
    <w:nsid w:val="28709851"/>
    <w:multiLevelType w:val="multilevel"/>
    <w:tmpl w:val="28709851"/>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1">
    <w:nsid w:val="2A6F7A7C"/>
    <w:multiLevelType w:val="multilevel"/>
    <w:tmpl w:val="2A6F7A7C"/>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2">
    <w:nsid w:val="32F04FB2"/>
    <w:multiLevelType w:val="multilevel"/>
    <w:tmpl w:val="32F04FB2"/>
    <w:lvl w:ilvl="0" w:tentative="0">
      <w:start w:val="1"/>
      <w:numFmt w:val="lowerLetter"/>
      <w:pStyle w:val="109"/>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3">
    <w:nsid w:val="36C20E4D"/>
    <w:multiLevelType w:val="multilevel"/>
    <w:tmpl w:val="36C20E4D"/>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4">
    <w:nsid w:val="39641884"/>
    <w:multiLevelType w:val="multilevel"/>
    <w:tmpl w:val="39641884"/>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5">
    <w:nsid w:val="44C50F90"/>
    <w:multiLevelType w:val="multilevel"/>
    <w:tmpl w:val="44C50F90"/>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6">
    <w:nsid w:val="45E16FCB"/>
    <w:multiLevelType w:val="singleLevel"/>
    <w:tmpl w:val="45E16FCB"/>
    <w:lvl w:ilvl="0" w:tentative="0">
      <w:start w:val="1"/>
      <w:numFmt w:val="decimal"/>
      <w:suff w:val="nothing"/>
      <w:lvlText w:val="（%1）"/>
      <w:lvlJc w:val="left"/>
      <w:pPr>
        <w:tabs>
          <w:tab w:val="left" w:pos="0"/>
        </w:tabs>
      </w:pPr>
      <w:rPr>
        <w:rFonts w:hint="default"/>
      </w:rPr>
    </w:lvl>
  </w:abstractNum>
  <w:abstractNum w:abstractNumId="17">
    <w:nsid w:val="47892506"/>
    <w:multiLevelType w:val="multilevel"/>
    <w:tmpl w:val="47892506"/>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8">
    <w:nsid w:val="48922BCE"/>
    <w:multiLevelType w:val="multilevel"/>
    <w:tmpl w:val="48922BCE"/>
    <w:lvl w:ilvl="0" w:tentative="0">
      <w:start w:val="1"/>
      <w:numFmt w:val="lowerLetter"/>
      <w:pStyle w:val="107"/>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9">
    <w:nsid w:val="4DBC6E03"/>
    <w:multiLevelType w:val="multilevel"/>
    <w:tmpl w:val="4DBC6E03"/>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0">
    <w:nsid w:val="5ECBF40B"/>
    <w:multiLevelType w:val="multilevel"/>
    <w:tmpl w:val="5ECBF40B"/>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1">
    <w:nsid w:val="5FED267D"/>
    <w:multiLevelType w:val="multilevel"/>
    <w:tmpl w:val="5FED267D"/>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2">
    <w:nsid w:val="6112F0D0"/>
    <w:multiLevelType w:val="multilevel"/>
    <w:tmpl w:val="6112F0D0"/>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3">
    <w:nsid w:val="657D3FBC"/>
    <w:multiLevelType w:val="multilevel"/>
    <w:tmpl w:val="657D3FBC"/>
    <w:lvl w:ilvl="0" w:tentative="0">
      <w:start w:val="1"/>
      <w:numFmt w:val="upperLetter"/>
      <w:pStyle w:val="90"/>
      <w:suff w:val="nothing"/>
      <w:lvlText w:val="附　录　%1"/>
      <w:lvlJc w:val="left"/>
      <w:pPr>
        <w:ind w:left="4252" w:firstLine="0"/>
      </w:pPr>
      <w:rPr>
        <w:rFonts w:hint="default" w:ascii="黑体" w:hAnsi="黑体" w:eastAsia="黑体" w:cs="黑体"/>
        <w:b w:val="0"/>
        <w:i w:val="0"/>
        <w:sz w:val="21"/>
        <w:szCs w:val="21"/>
        <w:lang w:val="en-US"/>
      </w:rPr>
    </w:lvl>
    <w:lvl w:ilvl="1" w:tentative="0">
      <w:start w:val="1"/>
      <w:numFmt w:val="decimal"/>
      <w:suff w:val="nothing"/>
      <w:lvlText w:val="%1.%2　"/>
      <w:lvlJc w:val="left"/>
      <w:pPr>
        <w:ind w:left="41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4110" w:firstLine="0"/>
      </w:pPr>
      <w:rPr>
        <w:rFonts w:hint="eastAsia" w:ascii="黑体" w:hAnsi="Times New Roman" w:eastAsia="黑体"/>
        <w:b w:val="0"/>
        <w:i w:val="0"/>
        <w:sz w:val="21"/>
      </w:rPr>
    </w:lvl>
    <w:lvl w:ilvl="3" w:tentative="0">
      <w:start w:val="1"/>
      <w:numFmt w:val="decimal"/>
      <w:suff w:val="nothing"/>
      <w:lvlText w:val="%1.%2.%3.%4　"/>
      <w:lvlJc w:val="left"/>
      <w:pPr>
        <w:ind w:left="4110" w:firstLine="0"/>
      </w:pPr>
      <w:rPr>
        <w:rFonts w:hint="eastAsia" w:ascii="黑体" w:hAnsi="Times New Roman" w:eastAsia="黑体"/>
        <w:b w:val="0"/>
        <w:i w:val="0"/>
        <w:sz w:val="21"/>
      </w:rPr>
    </w:lvl>
    <w:lvl w:ilvl="4" w:tentative="0">
      <w:start w:val="1"/>
      <w:numFmt w:val="decimal"/>
      <w:suff w:val="nothing"/>
      <w:lvlText w:val="%1.%2.%3.%4.%5　"/>
      <w:lvlJc w:val="left"/>
      <w:pPr>
        <w:ind w:left="4110" w:firstLine="0"/>
      </w:pPr>
      <w:rPr>
        <w:rFonts w:hint="eastAsia" w:ascii="黑体" w:hAnsi="Times New Roman" w:eastAsia="黑体"/>
        <w:b w:val="0"/>
        <w:i w:val="0"/>
        <w:sz w:val="21"/>
      </w:rPr>
    </w:lvl>
    <w:lvl w:ilvl="5" w:tentative="0">
      <w:start w:val="1"/>
      <w:numFmt w:val="decimal"/>
      <w:suff w:val="nothing"/>
      <w:lvlText w:val="%1.%2.%3.%4.%5.%6　"/>
      <w:lvlJc w:val="left"/>
      <w:pPr>
        <w:ind w:left="4110" w:firstLine="0"/>
      </w:pPr>
      <w:rPr>
        <w:rFonts w:hint="eastAsia" w:ascii="黑体" w:hAnsi="Times New Roman" w:eastAsia="黑体"/>
        <w:b w:val="0"/>
        <w:i w:val="0"/>
        <w:sz w:val="21"/>
      </w:rPr>
    </w:lvl>
    <w:lvl w:ilvl="6" w:tentative="0">
      <w:start w:val="1"/>
      <w:numFmt w:val="decimal"/>
      <w:suff w:val="nothing"/>
      <w:lvlText w:val="%1.%2.%3.%4.%5.%6.%7　"/>
      <w:lvlJc w:val="left"/>
      <w:pPr>
        <w:ind w:left="4110" w:firstLine="0"/>
      </w:pPr>
      <w:rPr>
        <w:rFonts w:hint="eastAsia" w:ascii="黑体" w:hAnsi="Times New Roman" w:eastAsia="黑体"/>
        <w:b w:val="0"/>
        <w:i w:val="0"/>
        <w:sz w:val="21"/>
      </w:rPr>
    </w:lvl>
    <w:lvl w:ilvl="7" w:tentative="0">
      <w:start w:val="1"/>
      <w:numFmt w:val="decimal"/>
      <w:lvlText w:val="%1.%2.%3.%4.%5.%6.%7.%8"/>
      <w:lvlJc w:val="left"/>
      <w:pPr>
        <w:tabs>
          <w:tab w:val="left" w:pos="8504"/>
        </w:tabs>
        <w:ind w:left="8504" w:hanging="1418"/>
      </w:pPr>
      <w:rPr>
        <w:rFonts w:hint="eastAsia"/>
      </w:rPr>
    </w:lvl>
    <w:lvl w:ilvl="8" w:tentative="0">
      <w:start w:val="1"/>
      <w:numFmt w:val="decimal"/>
      <w:lvlText w:val="%1.%2.%3.%4.%5.%6.%7.%8.%9"/>
      <w:lvlJc w:val="left"/>
      <w:pPr>
        <w:tabs>
          <w:tab w:val="left" w:pos="9212"/>
        </w:tabs>
        <w:ind w:left="9212" w:hanging="1700"/>
      </w:pPr>
      <w:rPr>
        <w:rFonts w:hint="eastAsia"/>
      </w:rPr>
    </w:lvl>
  </w:abstractNum>
  <w:abstractNum w:abstractNumId="24">
    <w:nsid w:val="670A4DCB"/>
    <w:multiLevelType w:val="multilevel"/>
    <w:tmpl w:val="670A4DCB"/>
    <w:lvl w:ilvl="0" w:tentative="0">
      <w:start w:val="1"/>
      <w:numFmt w:val="none"/>
      <w:pStyle w:val="69"/>
      <w:suff w:val="space"/>
      <w:lvlText w:val="5.1"/>
      <w:lvlJc w:val="left"/>
      <w:pPr>
        <w:tabs>
          <w:tab w:val="left" w:pos="0"/>
        </w:tabs>
        <w:ind w:left="0" w:firstLine="0"/>
      </w:pPr>
      <w:rPr>
        <w:rFonts w:hint="default" w:ascii="宋体" w:hAnsi="宋体" w:eastAsia="宋体" w:cs="宋体"/>
        <w:b/>
        <w:i w:val="0"/>
        <w:sz w:val="30"/>
      </w:rPr>
    </w:lvl>
    <w:lvl w:ilvl="1" w:tentative="0">
      <w:start w:val="1"/>
      <w:numFmt w:val="decimal"/>
      <w:pStyle w:val="70"/>
      <w:suff w:val="space"/>
      <w:lvlText w:val="%1.%2"/>
      <w:lvlJc w:val="left"/>
      <w:pPr>
        <w:tabs>
          <w:tab w:val="left" w:pos="0"/>
        </w:tabs>
        <w:ind w:left="284" w:firstLine="0"/>
      </w:pPr>
      <w:rPr>
        <w:rFonts w:hint="default" w:ascii="Times New Roman" w:hAnsi="Times New Roman" w:eastAsia="宋体"/>
        <w:b/>
        <w:i w:val="0"/>
        <w:sz w:val="28"/>
      </w:rPr>
    </w:lvl>
    <w:lvl w:ilvl="2" w:tentative="0">
      <w:start w:val="1"/>
      <w:numFmt w:val="decimal"/>
      <w:pStyle w:val="71"/>
      <w:suff w:val="space"/>
      <w:lvlText w:val="%1.%2.%3"/>
      <w:lvlJc w:val="left"/>
      <w:pPr>
        <w:ind w:left="568" w:firstLine="0"/>
      </w:pPr>
      <w:rPr>
        <w:rFonts w:hint="default" w:ascii="Times New Roman" w:hAnsi="Times New Roman" w:eastAsia="宋体" w:cs="Times New Roman"/>
        <w:sz w:val="24"/>
        <w:szCs w:val="24"/>
      </w:rPr>
    </w:lvl>
    <w:lvl w:ilvl="3" w:tentative="0">
      <w:start w:val="1"/>
      <w:numFmt w:val="decimal"/>
      <w:pStyle w:val="72"/>
      <w:suff w:val="space"/>
      <w:lvlText w:val="%1.%2.%3.%4"/>
      <w:lvlJc w:val="left"/>
      <w:pPr>
        <w:tabs>
          <w:tab w:val="left" w:pos="0"/>
        </w:tabs>
        <w:ind w:left="0" w:firstLine="0"/>
      </w:pPr>
      <w:rPr>
        <w:rFonts w:hint="default" w:ascii="Times New Roman" w:hAnsi="Times New Roman" w:eastAsia="宋体" w:cs="Times New Roman"/>
        <w:b/>
        <w:bCs/>
        <w:i w:val="0"/>
        <w:sz w:val="24"/>
      </w:rPr>
    </w:lvl>
    <w:lvl w:ilvl="4" w:tentative="0">
      <w:start w:val="1"/>
      <w:numFmt w:val="decimal"/>
      <w:pStyle w:val="73"/>
      <w:lvlText w:val="%1.%2.%3.%4.%5"/>
      <w:lvlJc w:val="left"/>
      <w:pPr>
        <w:tabs>
          <w:tab w:val="left" w:pos="420"/>
        </w:tabs>
        <w:ind w:left="1700" w:firstLine="0"/>
      </w:pPr>
      <w:rPr>
        <w:rFonts w:hint="default" w:ascii="宋体" w:hAnsi="宋体" w:eastAsia="宋体" w:cs="仿宋_GB2312"/>
      </w:rPr>
    </w:lvl>
    <w:lvl w:ilvl="5" w:tentative="0">
      <w:start w:val="1"/>
      <w:numFmt w:val="decimal"/>
      <w:lvlText w:val="%1.%2.%3.%4.%5.%6"/>
      <w:lvlJc w:val="left"/>
      <w:pPr>
        <w:ind w:left="2125" w:firstLine="0"/>
      </w:pPr>
      <w:rPr>
        <w:rFonts w:hint="eastAsia"/>
      </w:rPr>
    </w:lvl>
    <w:lvl w:ilvl="6" w:tentative="0">
      <w:start w:val="1"/>
      <w:numFmt w:val="decimal"/>
      <w:lvlText w:val="%1.%2.%3.%4.%5.%6.%7"/>
      <w:lvlJc w:val="left"/>
      <w:pPr>
        <w:ind w:left="2550" w:firstLine="0"/>
      </w:pPr>
      <w:rPr>
        <w:rFonts w:hint="eastAsia"/>
      </w:rPr>
    </w:lvl>
    <w:lvl w:ilvl="7" w:tentative="0">
      <w:start w:val="1"/>
      <w:numFmt w:val="decimal"/>
      <w:lvlText w:val="%1.%2.%3.%4.%5.%6.%7.%8"/>
      <w:lvlJc w:val="left"/>
      <w:pPr>
        <w:ind w:left="2975" w:firstLine="0"/>
      </w:pPr>
      <w:rPr>
        <w:rFonts w:hint="eastAsia"/>
      </w:rPr>
    </w:lvl>
    <w:lvl w:ilvl="8" w:tentative="0">
      <w:start w:val="1"/>
      <w:numFmt w:val="decimal"/>
      <w:lvlText w:val="%1.%2.%3.%4.%5.%6.%7.%8.%9"/>
      <w:lvlJc w:val="left"/>
      <w:pPr>
        <w:ind w:left="3400" w:firstLine="0"/>
      </w:pPr>
      <w:rPr>
        <w:rFonts w:hint="eastAsia"/>
      </w:rPr>
    </w:lvl>
  </w:abstractNum>
  <w:abstractNum w:abstractNumId="25">
    <w:nsid w:val="671F11B1"/>
    <w:multiLevelType w:val="singleLevel"/>
    <w:tmpl w:val="671F11B1"/>
    <w:lvl w:ilvl="0" w:tentative="0">
      <w:start w:val="4"/>
      <w:numFmt w:val="chineseCounting"/>
      <w:suff w:val="nothing"/>
      <w:lvlText w:val="%1、"/>
      <w:lvlJc w:val="left"/>
      <w:rPr>
        <w:rFonts w:hint="eastAsia"/>
      </w:rPr>
    </w:lvl>
  </w:abstractNum>
  <w:abstractNum w:abstractNumId="26">
    <w:nsid w:val="6CEA2025"/>
    <w:multiLevelType w:val="multilevel"/>
    <w:tmpl w:val="6CEA2025"/>
    <w:lvl w:ilvl="0" w:tentative="0">
      <w:start w:val="1"/>
      <w:numFmt w:val="none"/>
      <w:pStyle w:val="60"/>
      <w:suff w:val="nothing"/>
      <w:lvlText w:val="%1"/>
      <w:lvlJc w:val="left"/>
      <w:pPr>
        <w:ind w:left="0" w:firstLine="0"/>
      </w:pPr>
      <w:rPr>
        <w:rFonts w:hint="default" w:ascii="Times New Roman" w:hAnsi="Times New Roman"/>
        <w:b/>
        <w:i w:val="0"/>
        <w:sz w:val="21"/>
      </w:rPr>
    </w:lvl>
    <w:lvl w:ilvl="1" w:tentative="0">
      <w:start w:val="1"/>
      <w:numFmt w:val="decimal"/>
      <w:pStyle w:val="58"/>
      <w:suff w:val="nothing"/>
      <w:lvlText w:val="%1%2　"/>
      <w:lvlJc w:val="left"/>
      <w:pPr>
        <w:ind w:left="0" w:firstLine="0"/>
      </w:pPr>
      <w:rPr>
        <w:rFonts w:hint="default" w:ascii="黑体" w:hAnsi="黑体" w:eastAsia="黑体" w:cs="黑体"/>
        <w:b w:val="0"/>
        <w:i w:val="0"/>
        <w:sz w:val="21"/>
      </w:rPr>
    </w:lvl>
    <w:lvl w:ilvl="2" w:tentative="0">
      <w:start w:val="1"/>
      <w:numFmt w:val="decimal"/>
      <w:pStyle w:val="57"/>
      <w:suff w:val="nothing"/>
      <w:lvlText w:val="%1%2.%3　"/>
      <w:lvlJc w:val="left"/>
      <w:pPr>
        <w:ind w:left="851" w:firstLine="0"/>
      </w:pPr>
      <w:rPr>
        <w:rFonts w:hint="default" w:ascii="黑体" w:hAnsi="黑体" w:eastAsia="黑体" w:cs="黑体"/>
        <w:b w:val="0"/>
        <w:i w:val="0"/>
        <w:sz w:val="21"/>
      </w:rPr>
    </w:lvl>
    <w:lvl w:ilvl="3" w:tentative="0">
      <w:start w:val="1"/>
      <w:numFmt w:val="decimal"/>
      <w:pStyle w:val="98"/>
      <w:suff w:val="nothing"/>
      <w:lvlText w:val="%1%2.%3.%4　"/>
      <w:lvlJc w:val="left"/>
      <w:pPr>
        <w:ind w:left="0" w:firstLine="0"/>
      </w:pPr>
      <w:rPr>
        <w:rFonts w:hint="default" w:ascii="黑体" w:hAnsi="黑体" w:eastAsia="黑体" w:cs="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7">
    <w:nsid w:val="6DBF04F4"/>
    <w:multiLevelType w:val="multilevel"/>
    <w:tmpl w:val="6DBF04F4"/>
    <w:lvl w:ilvl="0" w:tentative="0">
      <w:start w:val="1"/>
      <w:numFmt w:val="none"/>
      <w:pStyle w:val="106"/>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8">
    <w:nsid w:val="7292A7DD"/>
    <w:multiLevelType w:val="multilevel"/>
    <w:tmpl w:val="7292A7DD"/>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29">
    <w:nsid w:val="7B77E127"/>
    <w:multiLevelType w:val="multilevel"/>
    <w:tmpl w:val="7B77E127"/>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30">
    <w:nsid w:val="7F693951"/>
    <w:multiLevelType w:val="multilevel"/>
    <w:tmpl w:val="7F693951"/>
    <w:lvl w:ilvl="0" w:tentative="0">
      <w:start w:val="1"/>
      <w:numFmt w:val="lowerLetter"/>
      <w:lvlText w:val="%1)"/>
      <w:lvlJc w:val="left"/>
      <w:pPr>
        <w:tabs>
          <w:tab w:val="left" w:pos="851"/>
        </w:tabs>
        <w:ind w:left="851" w:hanging="426"/>
      </w:pPr>
      <w:rPr>
        <w:rFonts w:hint="default" w:ascii="宋体" w:hAnsi="Times New Roman" w:eastAsia="宋体"/>
        <w:b w:val="0"/>
        <w:bCs/>
        <w:sz w:val="21"/>
      </w:rPr>
    </w:lvl>
    <w:lvl w:ilvl="1" w:tentative="0">
      <w:start w:val="1"/>
      <w:numFmt w:val="decimal"/>
      <w:lvlText w:val="%2)"/>
      <w:lvlJc w:val="left"/>
      <w:pPr>
        <w:tabs>
          <w:tab w:val="left" w:pos="1276"/>
        </w:tabs>
        <w:ind w:left="1276" w:hanging="425"/>
      </w:pPr>
      <w:rPr>
        <w:rFonts w:hint="eastAsia" w:ascii="宋体" w:hAnsi="Times New Roman" w:eastAsia="宋体"/>
        <w:sz w:val="21"/>
      </w:rPr>
    </w:lvl>
    <w:lvl w:ilvl="2" w:tentative="0">
      <w:start w:val="1"/>
      <w:numFmt w:val="decimal"/>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num w:numId="1">
    <w:abstractNumId w:val="9"/>
  </w:num>
  <w:num w:numId="2">
    <w:abstractNumId w:val="26"/>
  </w:num>
  <w:num w:numId="3">
    <w:abstractNumId w:val="24"/>
  </w:num>
  <w:num w:numId="4">
    <w:abstractNumId w:val="8"/>
  </w:num>
  <w:num w:numId="5">
    <w:abstractNumId w:val="5"/>
  </w:num>
  <w:num w:numId="6">
    <w:abstractNumId w:val="23"/>
  </w:num>
  <w:num w:numId="7">
    <w:abstractNumId w:val="6"/>
  </w:num>
  <w:num w:numId="8">
    <w:abstractNumId w:val="27"/>
  </w:num>
  <w:num w:numId="9">
    <w:abstractNumId w:val="18"/>
  </w:num>
  <w:num w:numId="10">
    <w:abstractNumId w:val="2"/>
  </w:num>
  <w:num w:numId="11">
    <w:abstractNumId w:val="12"/>
  </w:num>
  <w:num w:numId="12">
    <w:abstractNumId w:val="7"/>
  </w:num>
  <w:num w:numId="13">
    <w:abstractNumId w:val="15"/>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1"/>
  </w:num>
  <w:num w:numId="17">
    <w:abstractNumId w:val="13"/>
  </w:num>
  <w:num w:numId="18">
    <w:abstractNumId w:val="21"/>
  </w:num>
  <w:num w:numId="19">
    <w:abstractNumId w:val="20"/>
  </w:num>
  <w:num w:numId="20">
    <w:abstractNumId w:val="3"/>
  </w:num>
  <w:num w:numId="21">
    <w:abstractNumId w:val="30"/>
  </w:num>
  <w:num w:numId="22">
    <w:abstractNumId w:val="0"/>
  </w:num>
  <w:num w:numId="23">
    <w:abstractNumId w:val="28"/>
  </w:num>
  <w:num w:numId="24">
    <w:abstractNumId w:val="22"/>
  </w:num>
  <w:num w:numId="25">
    <w:abstractNumId w:val="14"/>
  </w:num>
  <w:num w:numId="26">
    <w:abstractNumId w:val="29"/>
  </w:num>
  <w:num w:numId="27">
    <w:abstractNumId w:val="19"/>
  </w:num>
  <w:num w:numId="28">
    <w:abstractNumId w:val="17"/>
  </w:num>
  <w:num w:numId="29">
    <w:abstractNumId w:val="1"/>
  </w:num>
  <w:num w:numId="30">
    <w:abstractNumId w:val="4"/>
  </w:num>
  <w:num w:numId="31">
    <w:abstractNumId w:val="16"/>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jMyM2RjZGE5YzIzZTg3NjMxYjVkMjAxZWM2Mzg3M2IifQ=="/>
  </w:docVars>
  <w:rsids>
    <w:rsidRoot w:val="00172A27"/>
    <w:rsid w:val="00001E56"/>
    <w:rsid w:val="00021474"/>
    <w:rsid w:val="00024598"/>
    <w:rsid w:val="00033856"/>
    <w:rsid w:val="000441A7"/>
    <w:rsid w:val="00054FDF"/>
    <w:rsid w:val="000742A9"/>
    <w:rsid w:val="00091720"/>
    <w:rsid w:val="00096F2F"/>
    <w:rsid w:val="000A13D7"/>
    <w:rsid w:val="000C7C57"/>
    <w:rsid w:val="000D1496"/>
    <w:rsid w:val="000D2A9B"/>
    <w:rsid w:val="000F01DF"/>
    <w:rsid w:val="000F6773"/>
    <w:rsid w:val="000F6F3E"/>
    <w:rsid w:val="0010136E"/>
    <w:rsid w:val="00101C51"/>
    <w:rsid w:val="00102B61"/>
    <w:rsid w:val="00103FDA"/>
    <w:rsid w:val="00113E14"/>
    <w:rsid w:val="00116EE5"/>
    <w:rsid w:val="00120100"/>
    <w:rsid w:val="00122DF8"/>
    <w:rsid w:val="001368E3"/>
    <w:rsid w:val="00140B4E"/>
    <w:rsid w:val="00146113"/>
    <w:rsid w:val="00156207"/>
    <w:rsid w:val="00156E7B"/>
    <w:rsid w:val="00161817"/>
    <w:rsid w:val="00161ACE"/>
    <w:rsid w:val="00166048"/>
    <w:rsid w:val="0016769F"/>
    <w:rsid w:val="00172A27"/>
    <w:rsid w:val="00175474"/>
    <w:rsid w:val="00175CE4"/>
    <w:rsid w:val="00175F1C"/>
    <w:rsid w:val="00185BB9"/>
    <w:rsid w:val="001973F3"/>
    <w:rsid w:val="001A1433"/>
    <w:rsid w:val="001A54CE"/>
    <w:rsid w:val="001B45C3"/>
    <w:rsid w:val="001D161F"/>
    <w:rsid w:val="001E0537"/>
    <w:rsid w:val="001E137B"/>
    <w:rsid w:val="001E2E48"/>
    <w:rsid w:val="00204B63"/>
    <w:rsid w:val="002116B9"/>
    <w:rsid w:val="002116C0"/>
    <w:rsid w:val="00215115"/>
    <w:rsid w:val="00215AA4"/>
    <w:rsid w:val="00222920"/>
    <w:rsid w:val="0022332A"/>
    <w:rsid w:val="00226C5A"/>
    <w:rsid w:val="00230EAF"/>
    <w:rsid w:val="002313D4"/>
    <w:rsid w:val="00232296"/>
    <w:rsid w:val="0023278C"/>
    <w:rsid w:val="00233572"/>
    <w:rsid w:val="00234420"/>
    <w:rsid w:val="0026133D"/>
    <w:rsid w:val="002646EF"/>
    <w:rsid w:val="00267B1F"/>
    <w:rsid w:val="002725A7"/>
    <w:rsid w:val="00273085"/>
    <w:rsid w:val="00273E35"/>
    <w:rsid w:val="00274C34"/>
    <w:rsid w:val="0027585D"/>
    <w:rsid w:val="002779C1"/>
    <w:rsid w:val="00294DF0"/>
    <w:rsid w:val="002C2A14"/>
    <w:rsid w:val="002C4C47"/>
    <w:rsid w:val="002D32CE"/>
    <w:rsid w:val="002E06A4"/>
    <w:rsid w:val="002F56E6"/>
    <w:rsid w:val="002F61E8"/>
    <w:rsid w:val="003006EB"/>
    <w:rsid w:val="0030242C"/>
    <w:rsid w:val="003045A0"/>
    <w:rsid w:val="003112BA"/>
    <w:rsid w:val="00320DA4"/>
    <w:rsid w:val="003214FD"/>
    <w:rsid w:val="003267AA"/>
    <w:rsid w:val="003279F6"/>
    <w:rsid w:val="00332945"/>
    <w:rsid w:val="0033601C"/>
    <w:rsid w:val="003472C4"/>
    <w:rsid w:val="00347DFE"/>
    <w:rsid w:val="003506A5"/>
    <w:rsid w:val="003526A1"/>
    <w:rsid w:val="003559C5"/>
    <w:rsid w:val="00356B66"/>
    <w:rsid w:val="00357FE9"/>
    <w:rsid w:val="00360E88"/>
    <w:rsid w:val="00362087"/>
    <w:rsid w:val="00362E4E"/>
    <w:rsid w:val="0037796B"/>
    <w:rsid w:val="00381A08"/>
    <w:rsid w:val="003838BB"/>
    <w:rsid w:val="00383F2F"/>
    <w:rsid w:val="003A2F5B"/>
    <w:rsid w:val="003A3D9C"/>
    <w:rsid w:val="003C0CDB"/>
    <w:rsid w:val="003C13F1"/>
    <w:rsid w:val="003C3A88"/>
    <w:rsid w:val="003C3BEF"/>
    <w:rsid w:val="003C4E9B"/>
    <w:rsid w:val="003D10B9"/>
    <w:rsid w:val="00413AEF"/>
    <w:rsid w:val="00421679"/>
    <w:rsid w:val="0042777E"/>
    <w:rsid w:val="00434404"/>
    <w:rsid w:val="00434712"/>
    <w:rsid w:val="004459B9"/>
    <w:rsid w:val="00446EB9"/>
    <w:rsid w:val="004562C3"/>
    <w:rsid w:val="00462FF7"/>
    <w:rsid w:val="00470135"/>
    <w:rsid w:val="00471CE6"/>
    <w:rsid w:val="00473B74"/>
    <w:rsid w:val="00480542"/>
    <w:rsid w:val="00480BB0"/>
    <w:rsid w:val="00483DCE"/>
    <w:rsid w:val="0049728B"/>
    <w:rsid w:val="004A1C7A"/>
    <w:rsid w:val="004A5B71"/>
    <w:rsid w:val="004A69C7"/>
    <w:rsid w:val="004C46D0"/>
    <w:rsid w:val="004D16AC"/>
    <w:rsid w:val="004F13BB"/>
    <w:rsid w:val="004F6D01"/>
    <w:rsid w:val="005019A0"/>
    <w:rsid w:val="0052256D"/>
    <w:rsid w:val="0054230F"/>
    <w:rsid w:val="0057443A"/>
    <w:rsid w:val="005841FD"/>
    <w:rsid w:val="005842E1"/>
    <w:rsid w:val="005854EF"/>
    <w:rsid w:val="00587329"/>
    <w:rsid w:val="00592F74"/>
    <w:rsid w:val="005969F7"/>
    <w:rsid w:val="005B7CAE"/>
    <w:rsid w:val="005C007D"/>
    <w:rsid w:val="005C3E84"/>
    <w:rsid w:val="005C6E78"/>
    <w:rsid w:val="005C6FAA"/>
    <w:rsid w:val="005D0814"/>
    <w:rsid w:val="005E1387"/>
    <w:rsid w:val="005E3BF8"/>
    <w:rsid w:val="005F12AE"/>
    <w:rsid w:val="005F258D"/>
    <w:rsid w:val="00601FB7"/>
    <w:rsid w:val="006069D8"/>
    <w:rsid w:val="006135E1"/>
    <w:rsid w:val="00615485"/>
    <w:rsid w:val="00621CB1"/>
    <w:rsid w:val="00622A99"/>
    <w:rsid w:val="006273B3"/>
    <w:rsid w:val="006324F9"/>
    <w:rsid w:val="00636126"/>
    <w:rsid w:val="006421B2"/>
    <w:rsid w:val="006435AD"/>
    <w:rsid w:val="00644F97"/>
    <w:rsid w:val="00652F62"/>
    <w:rsid w:val="00657FFE"/>
    <w:rsid w:val="0066031F"/>
    <w:rsid w:val="006654EC"/>
    <w:rsid w:val="00666186"/>
    <w:rsid w:val="00677FCE"/>
    <w:rsid w:val="006823BB"/>
    <w:rsid w:val="006943EA"/>
    <w:rsid w:val="006A01F4"/>
    <w:rsid w:val="006C092E"/>
    <w:rsid w:val="006D287F"/>
    <w:rsid w:val="006D2AE8"/>
    <w:rsid w:val="006D7ADD"/>
    <w:rsid w:val="006E0BD8"/>
    <w:rsid w:val="006F32AE"/>
    <w:rsid w:val="007036C7"/>
    <w:rsid w:val="00704EEE"/>
    <w:rsid w:val="00712BFC"/>
    <w:rsid w:val="007145B2"/>
    <w:rsid w:val="00714951"/>
    <w:rsid w:val="00714D3C"/>
    <w:rsid w:val="00715C07"/>
    <w:rsid w:val="0071628D"/>
    <w:rsid w:val="007306E1"/>
    <w:rsid w:val="007308DF"/>
    <w:rsid w:val="00730E59"/>
    <w:rsid w:val="00734C52"/>
    <w:rsid w:val="007451A1"/>
    <w:rsid w:val="0075554F"/>
    <w:rsid w:val="00763FB2"/>
    <w:rsid w:val="00767CCB"/>
    <w:rsid w:val="00771982"/>
    <w:rsid w:val="00777A2A"/>
    <w:rsid w:val="0079077F"/>
    <w:rsid w:val="00791330"/>
    <w:rsid w:val="007947FF"/>
    <w:rsid w:val="007A1DD4"/>
    <w:rsid w:val="007A52C8"/>
    <w:rsid w:val="007B2A24"/>
    <w:rsid w:val="007C0F2D"/>
    <w:rsid w:val="007C1E11"/>
    <w:rsid w:val="007C2C53"/>
    <w:rsid w:val="007D4D32"/>
    <w:rsid w:val="007E0D91"/>
    <w:rsid w:val="007E11E7"/>
    <w:rsid w:val="007E21F9"/>
    <w:rsid w:val="007F0341"/>
    <w:rsid w:val="007F2C3E"/>
    <w:rsid w:val="007F7F4E"/>
    <w:rsid w:val="00806D84"/>
    <w:rsid w:val="008205C1"/>
    <w:rsid w:val="008231D8"/>
    <w:rsid w:val="00834A48"/>
    <w:rsid w:val="008367FF"/>
    <w:rsid w:val="00846F99"/>
    <w:rsid w:val="00850451"/>
    <w:rsid w:val="00852A98"/>
    <w:rsid w:val="00853FED"/>
    <w:rsid w:val="00871E96"/>
    <w:rsid w:val="0087216A"/>
    <w:rsid w:val="00882D80"/>
    <w:rsid w:val="008872FB"/>
    <w:rsid w:val="008B3BAA"/>
    <w:rsid w:val="008B79CF"/>
    <w:rsid w:val="008C0D62"/>
    <w:rsid w:val="008E40EE"/>
    <w:rsid w:val="008E4BED"/>
    <w:rsid w:val="008F4DF1"/>
    <w:rsid w:val="0090089F"/>
    <w:rsid w:val="00900E40"/>
    <w:rsid w:val="009132FE"/>
    <w:rsid w:val="00914C31"/>
    <w:rsid w:val="00923E70"/>
    <w:rsid w:val="00932717"/>
    <w:rsid w:val="0093673F"/>
    <w:rsid w:val="00936748"/>
    <w:rsid w:val="00943900"/>
    <w:rsid w:val="00946962"/>
    <w:rsid w:val="00950707"/>
    <w:rsid w:val="009564AA"/>
    <w:rsid w:val="00962448"/>
    <w:rsid w:val="009627C5"/>
    <w:rsid w:val="0097076E"/>
    <w:rsid w:val="0097317D"/>
    <w:rsid w:val="00983BEF"/>
    <w:rsid w:val="009879DE"/>
    <w:rsid w:val="009929F8"/>
    <w:rsid w:val="00992F4A"/>
    <w:rsid w:val="00993676"/>
    <w:rsid w:val="00993FA5"/>
    <w:rsid w:val="009A274B"/>
    <w:rsid w:val="009B0676"/>
    <w:rsid w:val="009B07B8"/>
    <w:rsid w:val="009B28D0"/>
    <w:rsid w:val="009B42F7"/>
    <w:rsid w:val="009B56F1"/>
    <w:rsid w:val="009D1C3F"/>
    <w:rsid w:val="009D4A91"/>
    <w:rsid w:val="009D5C64"/>
    <w:rsid w:val="009D60DA"/>
    <w:rsid w:val="009D778C"/>
    <w:rsid w:val="009F0EFE"/>
    <w:rsid w:val="009F6385"/>
    <w:rsid w:val="00A035C0"/>
    <w:rsid w:val="00A11415"/>
    <w:rsid w:val="00A1359E"/>
    <w:rsid w:val="00A13B73"/>
    <w:rsid w:val="00A13BBC"/>
    <w:rsid w:val="00A174E7"/>
    <w:rsid w:val="00A21BDF"/>
    <w:rsid w:val="00A2587D"/>
    <w:rsid w:val="00A31C57"/>
    <w:rsid w:val="00A43A11"/>
    <w:rsid w:val="00A445A0"/>
    <w:rsid w:val="00A50F67"/>
    <w:rsid w:val="00A5341E"/>
    <w:rsid w:val="00A75F80"/>
    <w:rsid w:val="00A8217C"/>
    <w:rsid w:val="00A82458"/>
    <w:rsid w:val="00A92149"/>
    <w:rsid w:val="00A927E3"/>
    <w:rsid w:val="00AA321E"/>
    <w:rsid w:val="00AB4C05"/>
    <w:rsid w:val="00AD5F7E"/>
    <w:rsid w:val="00AD7943"/>
    <w:rsid w:val="00AD7C33"/>
    <w:rsid w:val="00AF2168"/>
    <w:rsid w:val="00AF2E95"/>
    <w:rsid w:val="00AF3FE1"/>
    <w:rsid w:val="00B00B31"/>
    <w:rsid w:val="00B06B01"/>
    <w:rsid w:val="00B1709B"/>
    <w:rsid w:val="00B26D8F"/>
    <w:rsid w:val="00B34FA5"/>
    <w:rsid w:val="00B41DF7"/>
    <w:rsid w:val="00B44CE9"/>
    <w:rsid w:val="00B51AB9"/>
    <w:rsid w:val="00B61F59"/>
    <w:rsid w:val="00B6572E"/>
    <w:rsid w:val="00B65B62"/>
    <w:rsid w:val="00B74FAB"/>
    <w:rsid w:val="00B82A79"/>
    <w:rsid w:val="00B8467B"/>
    <w:rsid w:val="00B855B3"/>
    <w:rsid w:val="00B9526C"/>
    <w:rsid w:val="00B967DD"/>
    <w:rsid w:val="00BA0EC2"/>
    <w:rsid w:val="00BA3042"/>
    <w:rsid w:val="00BA4E4F"/>
    <w:rsid w:val="00BA56B4"/>
    <w:rsid w:val="00BB0F68"/>
    <w:rsid w:val="00BC752C"/>
    <w:rsid w:val="00BD070C"/>
    <w:rsid w:val="00BD32E3"/>
    <w:rsid w:val="00BD5761"/>
    <w:rsid w:val="00BD74A5"/>
    <w:rsid w:val="00BE32F3"/>
    <w:rsid w:val="00C032BA"/>
    <w:rsid w:val="00C319CE"/>
    <w:rsid w:val="00C34C05"/>
    <w:rsid w:val="00C359BD"/>
    <w:rsid w:val="00C4201F"/>
    <w:rsid w:val="00C443AB"/>
    <w:rsid w:val="00C5584C"/>
    <w:rsid w:val="00C562D5"/>
    <w:rsid w:val="00C626CA"/>
    <w:rsid w:val="00C62EEE"/>
    <w:rsid w:val="00C6585C"/>
    <w:rsid w:val="00C93FD1"/>
    <w:rsid w:val="00CA37D9"/>
    <w:rsid w:val="00CA4352"/>
    <w:rsid w:val="00CB2E47"/>
    <w:rsid w:val="00CC14C8"/>
    <w:rsid w:val="00CC758D"/>
    <w:rsid w:val="00CD67FA"/>
    <w:rsid w:val="00CE081A"/>
    <w:rsid w:val="00CF3BF4"/>
    <w:rsid w:val="00D01073"/>
    <w:rsid w:val="00D13C20"/>
    <w:rsid w:val="00D1625B"/>
    <w:rsid w:val="00D246C9"/>
    <w:rsid w:val="00D334D5"/>
    <w:rsid w:val="00D3599F"/>
    <w:rsid w:val="00D44F65"/>
    <w:rsid w:val="00D45096"/>
    <w:rsid w:val="00D532E6"/>
    <w:rsid w:val="00D61685"/>
    <w:rsid w:val="00D62FF3"/>
    <w:rsid w:val="00D75976"/>
    <w:rsid w:val="00D75E35"/>
    <w:rsid w:val="00D7663D"/>
    <w:rsid w:val="00D76A19"/>
    <w:rsid w:val="00D86AF1"/>
    <w:rsid w:val="00D876B0"/>
    <w:rsid w:val="00D90C9A"/>
    <w:rsid w:val="00D95328"/>
    <w:rsid w:val="00D95B05"/>
    <w:rsid w:val="00DA1429"/>
    <w:rsid w:val="00DB0982"/>
    <w:rsid w:val="00DB30FD"/>
    <w:rsid w:val="00DB68DB"/>
    <w:rsid w:val="00DB73EB"/>
    <w:rsid w:val="00DC3BD2"/>
    <w:rsid w:val="00DC5E6C"/>
    <w:rsid w:val="00DC7CB4"/>
    <w:rsid w:val="00DD0B9E"/>
    <w:rsid w:val="00DD2F28"/>
    <w:rsid w:val="00DD44D2"/>
    <w:rsid w:val="00DD6DF4"/>
    <w:rsid w:val="00DE7DE2"/>
    <w:rsid w:val="00DF4E46"/>
    <w:rsid w:val="00E00481"/>
    <w:rsid w:val="00E01AEB"/>
    <w:rsid w:val="00E06B9E"/>
    <w:rsid w:val="00E06CF9"/>
    <w:rsid w:val="00E1031D"/>
    <w:rsid w:val="00E16517"/>
    <w:rsid w:val="00E24FC0"/>
    <w:rsid w:val="00E25056"/>
    <w:rsid w:val="00E26784"/>
    <w:rsid w:val="00E32839"/>
    <w:rsid w:val="00E345DD"/>
    <w:rsid w:val="00E35AED"/>
    <w:rsid w:val="00E36AD3"/>
    <w:rsid w:val="00E44BCE"/>
    <w:rsid w:val="00E453F7"/>
    <w:rsid w:val="00E46A81"/>
    <w:rsid w:val="00E575F8"/>
    <w:rsid w:val="00E63475"/>
    <w:rsid w:val="00E65DC5"/>
    <w:rsid w:val="00E6698A"/>
    <w:rsid w:val="00E673BE"/>
    <w:rsid w:val="00E76F45"/>
    <w:rsid w:val="00E82FE3"/>
    <w:rsid w:val="00EA111E"/>
    <w:rsid w:val="00EA61B0"/>
    <w:rsid w:val="00EB3C7D"/>
    <w:rsid w:val="00EB5F3C"/>
    <w:rsid w:val="00EB6131"/>
    <w:rsid w:val="00EC236C"/>
    <w:rsid w:val="00EC7018"/>
    <w:rsid w:val="00ED5FDA"/>
    <w:rsid w:val="00EE04D2"/>
    <w:rsid w:val="00EF0F01"/>
    <w:rsid w:val="00EF0F31"/>
    <w:rsid w:val="00EF4229"/>
    <w:rsid w:val="00F013AA"/>
    <w:rsid w:val="00F06BA0"/>
    <w:rsid w:val="00F16983"/>
    <w:rsid w:val="00F177A8"/>
    <w:rsid w:val="00F24F9B"/>
    <w:rsid w:val="00F46378"/>
    <w:rsid w:val="00F5036F"/>
    <w:rsid w:val="00F82844"/>
    <w:rsid w:val="00F82D1C"/>
    <w:rsid w:val="00FA059C"/>
    <w:rsid w:val="00FA2AC6"/>
    <w:rsid w:val="00FB76B5"/>
    <w:rsid w:val="00FB77A8"/>
    <w:rsid w:val="00FC6F60"/>
    <w:rsid w:val="00FC7D44"/>
    <w:rsid w:val="00FD1E75"/>
    <w:rsid w:val="00FD5620"/>
    <w:rsid w:val="00FE2B3F"/>
    <w:rsid w:val="00FF2266"/>
    <w:rsid w:val="014940A9"/>
    <w:rsid w:val="014A134D"/>
    <w:rsid w:val="015D24CA"/>
    <w:rsid w:val="017B42E9"/>
    <w:rsid w:val="01963074"/>
    <w:rsid w:val="019752CC"/>
    <w:rsid w:val="01B36BD0"/>
    <w:rsid w:val="01D54D98"/>
    <w:rsid w:val="01E6152D"/>
    <w:rsid w:val="01EA6E24"/>
    <w:rsid w:val="01F53911"/>
    <w:rsid w:val="020C4532"/>
    <w:rsid w:val="02167B18"/>
    <w:rsid w:val="022814E6"/>
    <w:rsid w:val="02287A18"/>
    <w:rsid w:val="02393A81"/>
    <w:rsid w:val="0242236A"/>
    <w:rsid w:val="025263E9"/>
    <w:rsid w:val="0252665D"/>
    <w:rsid w:val="025E27F6"/>
    <w:rsid w:val="028B6DF0"/>
    <w:rsid w:val="02C10E79"/>
    <w:rsid w:val="02C52557"/>
    <w:rsid w:val="02CC42EB"/>
    <w:rsid w:val="02EE1D5F"/>
    <w:rsid w:val="02F7430E"/>
    <w:rsid w:val="031406A2"/>
    <w:rsid w:val="03257258"/>
    <w:rsid w:val="033A26E8"/>
    <w:rsid w:val="03457C81"/>
    <w:rsid w:val="036208AE"/>
    <w:rsid w:val="03737FFF"/>
    <w:rsid w:val="03753116"/>
    <w:rsid w:val="0377736B"/>
    <w:rsid w:val="038B6C98"/>
    <w:rsid w:val="03940FD8"/>
    <w:rsid w:val="03A11D4F"/>
    <w:rsid w:val="03AC1317"/>
    <w:rsid w:val="03AD0694"/>
    <w:rsid w:val="03BB23AC"/>
    <w:rsid w:val="03D9783A"/>
    <w:rsid w:val="03DE3A4C"/>
    <w:rsid w:val="04210E4E"/>
    <w:rsid w:val="042332DB"/>
    <w:rsid w:val="042672FD"/>
    <w:rsid w:val="042A32D5"/>
    <w:rsid w:val="043C73D7"/>
    <w:rsid w:val="043F1E6F"/>
    <w:rsid w:val="04441D61"/>
    <w:rsid w:val="04471852"/>
    <w:rsid w:val="044B0325"/>
    <w:rsid w:val="045460CE"/>
    <w:rsid w:val="048E27FC"/>
    <w:rsid w:val="04A076BF"/>
    <w:rsid w:val="04A74CD8"/>
    <w:rsid w:val="04C05F6D"/>
    <w:rsid w:val="04C14D1C"/>
    <w:rsid w:val="04DD1B9E"/>
    <w:rsid w:val="04EB042F"/>
    <w:rsid w:val="04F51D6D"/>
    <w:rsid w:val="04F94A8F"/>
    <w:rsid w:val="05065FC7"/>
    <w:rsid w:val="052427F3"/>
    <w:rsid w:val="05396ACB"/>
    <w:rsid w:val="05654966"/>
    <w:rsid w:val="05697EB5"/>
    <w:rsid w:val="056E0D42"/>
    <w:rsid w:val="057660B9"/>
    <w:rsid w:val="05A449FD"/>
    <w:rsid w:val="05B253F0"/>
    <w:rsid w:val="05EA4B8A"/>
    <w:rsid w:val="05EE26F9"/>
    <w:rsid w:val="06181018"/>
    <w:rsid w:val="061A1413"/>
    <w:rsid w:val="06360372"/>
    <w:rsid w:val="063F41AF"/>
    <w:rsid w:val="064E4AF6"/>
    <w:rsid w:val="064E6F0D"/>
    <w:rsid w:val="0664305A"/>
    <w:rsid w:val="066A124B"/>
    <w:rsid w:val="068735F2"/>
    <w:rsid w:val="06AD74DD"/>
    <w:rsid w:val="06C632A9"/>
    <w:rsid w:val="06E6470A"/>
    <w:rsid w:val="06E9274F"/>
    <w:rsid w:val="06EA653A"/>
    <w:rsid w:val="06F05449"/>
    <w:rsid w:val="070370AC"/>
    <w:rsid w:val="071801B1"/>
    <w:rsid w:val="07226CDA"/>
    <w:rsid w:val="07443F59"/>
    <w:rsid w:val="074A1304"/>
    <w:rsid w:val="07527CF9"/>
    <w:rsid w:val="075A4718"/>
    <w:rsid w:val="075F6D1F"/>
    <w:rsid w:val="077305B5"/>
    <w:rsid w:val="077765AA"/>
    <w:rsid w:val="07B502F4"/>
    <w:rsid w:val="07C67528"/>
    <w:rsid w:val="08342361"/>
    <w:rsid w:val="083B701D"/>
    <w:rsid w:val="084041BA"/>
    <w:rsid w:val="08406CE4"/>
    <w:rsid w:val="085F1154"/>
    <w:rsid w:val="0879751F"/>
    <w:rsid w:val="08B0728C"/>
    <w:rsid w:val="08B1267C"/>
    <w:rsid w:val="08CF73AA"/>
    <w:rsid w:val="08D833C0"/>
    <w:rsid w:val="08FD347B"/>
    <w:rsid w:val="09075A53"/>
    <w:rsid w:val="090E5300"/>
    <w:rsid w:val="091C3566"/>
    <w:rsid w:val="09261B0E"/>
    <w:rsid w:val="09372C1B"/>
    <w:rsid w:val="095903F7"/>
    <w:rsid w:val="096468F9"/>
    <w:rsid w:val="09895708"/>
    <w:rsid w:val="098B798E"/>
    <w:rsid w:val="0990577C"/>
    <w:rsid w:val="09A035AC"/>
    <w:rsid w:val="09C771CC"/>
    <w:rsid w:val="09D92310"/>
    <w:rsid w:val="0A1207C3"/>
    <w:rsid w:val="0A172CBC"/>
    <w:rsid w:val="0A1B6EAE"/>
    <w:rsid w:val="0A1C108A"/>
    <w:rsid w:val="0A312D88"/>
    <w:rsid w:val="0A326B00"/>
    <w:rsid w:val="0A726E98"/>
    <w:rsid w:val="0A730BB8"/>
    <w:rsid w:val="0A923B58"/>
    <w:rsid w:val="0A937EF2"/>
    <w:rsid w:val="0A981303"/>
    <w:rsid w:val="0AA556D8"/>
    <w:rsid w:val="0AB31191"/>
    <w:rsid w:val="0AB56AAE"/>
    <w:rsid w:val="0AC72C7F"/>
    <w:rsid w:val="0AD602D8"/>
    <w:rsid w:val="0AE1614F"/>
    <w:rsid w:val="0B1C3A38"/>
    <w:rsid w:val="0B410F04"/>
    <w:rsid w:val="0B472C62"/>
    <w:rsid w:val="0B6017B9"/>
    <w:rsid w:val="0B641E18"/>
    <w:rsid w:val="0B8E457E"/>
    <w:rsid w:val="0BAB6822"/>
    <w:rsid w:val="0BB32536"/>
    <w:rsid w:val="0C1530FE"/>
    <w:rsid w:val="0C2B044C"/>
    <w:rsid w:val="0C3D73FD"/>
    <w:rsid w:val="0C4F256F"/>
    <w:rsid w:val="0C585B12"/>
    <w:rsid w:val="0C5A7C24"/>
    <w:rsid w:val="0C60588C"/>
    <w:rsid w:val="0C767D91"/>
    <w:rsid w:val="0C784A0F"/>
    <w:rsid w:val="0C791877"/>
    <w:rsid w:val="0C7A34A0"/>
    <w:rsid w:val="0C7D0506"/>
    <w:rsid w:val="0C952E53"/>
    <w:rsid w:val="0C9E0929"/>
    <w:rsid w:val="0CC955E0"/>
    <w:rsid w:val="0CD874F5"/>
    <w:rsid w:val="0CDF39B8"/>
    <w:rsid w:val="0CF71C50"/>
    <w:rsid w:val="0CFC3AD5"/>
    <w:rsid w:val="0D074FED"/>
    <w:rsid w:val="0D18022F"/>
    <w:rsid w:val="0D20121A"/>
    <w:rsid w:val="0D3D5E1A"/>
    <w:rsid w:val="0D597375"/>
    <w:rsid w:val="0D625DFC"/>
    <w:rsid w:val="0D7F4022"/>
    <w:rsid w:val="0D811CA4"/>
    <w:rsid w:val="0DB16A5F"/>
    <w:rsid w:val="0DBF479B"/>
    <w:rsid w:val="0DC36DDB"/>
    <w:rsid w:val="0DDA01E5"/>
    <w:rsid w:val="0DEE32A0"/>
    <w:rsid w:val="0E48565C"/>
    <w:rsid w:val="0E4B0AA7"/>
    <w:rsid w:val="0E567261"/>
    <w:rsid w:val="0E6A4ABA"/>
    <w:rsid w:val="0E787483"/>
    <w:rsid w:val="0E81124B"/>
    <w:rsid w:val="0E9449DD"/>
    <w:rsid w:val="0E9C55D3"/>
    <w:rsid w:val="0EB36C49"/>
    <w:rsid w:val="0EB5284D"/>
    <w:rsid w:val="0EF911E7"/>
    <w:rsid w:val="0F0271B1"/>
    <w:rsid w:val="0F2932A2"/>
    <w:rsid w:val="0F5C7F19"/>
    <w:rsid w:val="0F706100"/>
    <w:rsid w:val="0F774135"/>
    <w:rsid w:val="0F881477"/>
    <w:rsid w:val="0F8D5141"/>
    <w:rsid w:val="0F8E175D"/>
    <w:rsid w:val="0F960860"/>
    <w:rsid w:val="0FA65EC5"/>
    <w:rsid w:val="0FB2044E"/>
    <w:rsid w:val="0FBA36AC"/>
    <w:rsid w:val="0FC37DCC"/>
    <w:rsid w:val="0FE772F7"/>
    <w:rsid w:val="0FE94DB7"/>
    <w:rsid w:val="10111E62"/>
    <w:rsid w:val="101B492E"/>
    <w:rsid w:val="105A5869"/>
    <w:rsid w:val="105B53E4"/>
    <w:rsid w:val="105F01DB"/>
    <w:rsid w:val="10631FFF"/>
    <w:rsid w:val="1087681D"/>
    <w:rsid w:val="108A26B0"/>
    <w:rsid w:val="10A5455F"/>
    <w:rsid w:val="10AA3580"/>
    <w:rsid w:val="10AE31FA"/>
    <w:rsid w:val="10C00446"/>
    <w:rsid w:val="10C86D4C"/>
    <w:rsid w:val="10C95A18"/>
    <w:rsid w:val="10DB57FB"/>
    <w:rsid w:val="10EB3F53"/>
    <w:rsid w:val="10EF28A1"/>
    <w:rsid w:val="10F15F9F"/>
    <w:rsid w:val="10F75262"/>
    <w:rsid w:val="11495CD6"/>
    <w:rsid w:val="114C5FF1"/>
    <w:rsid w:val="11572C14"/>
    <w:rsid w:val="116F3864"/>
    <w:rsid w:val="117A3266"/>
    <w:rsid w:val="11936B19"/>
    <w:rsid w:val="119857FC"/>
    <w:rsid w:val="11A96A27"/>
    <w:rsid w:val="11D127E3"/>
    <w:rsid w:val="11E143A2"/>
    <w:rsid w:val="11FB22E8"/>
    <w:rsid w:val="12101B1D"/>
    <w:rsid w:val="12174FF3"/>
    <w:rsid w:val="123B4E32"/>
    <w:rsid w:val="127631F4"/>
    <w:rsid w:val="127D09A2"/>
    <w:rsid w:val="12876C72"/>
    <w:rsid w:val="128A15F3"/>
    <w:rsid w:val="12936308"/>
    <w:rsid w:val="12A5765F"/>
    <w:rsid w:val="12AF0907"/>
    <w:rsid w:val="12B53287"/>
    <w:rsid w:val="12BD1962"/>
    <w:rsid w:val="12C429A7"/>
    <w:rsid w:val="12CE432B"/>
    <w:rsid w:val="12E96B96"/>
    <w:rsid w:val="12EA64C2"/>
    <w:rsid w:val="12EB0148"/>
    <w:rsid w:val="12F8077D"/>
    <w:rsid w:val="13342E98"/>
    <w:rsid w:val="13370CE3"/>
    <w:rsid w:val="134A595A"/>
    <w:rsid w:val="134B7007"/>
    <w:rsid w:val="135A26F6"/>
    <w:rsid w:val="136A4B72"/>
    <w:rsid w:val="136F49F2"/>
    <w:rsid w:val="13872563"/>
    <w:rsid w:val="1389075A"/>
    <w:rsid w:val="139C1DCF"/>
    <w:rsid w:val="139F11B6"/>
    <w:rsid w:val="13A45F34"/>
    <w:rsid w:val="13AE3C47"/>
    <w:rsid w:val="13B41C63"/>
    <w:rsid w:val="13C20EF5"/>
    <w:rsid w:val="13D5193B"/>
    <w:rsid w:val="13D546BC"/>
    <w:rsid w:val="13D708F7"/>
    <w:rsid w:val="13DF5B38"/>
    <w:rsid w:val="13E0557F"/>
    <w:rsid w:val="142E0338"/>
    <w:rsid w:val="142E1CD0"/>
    <w:rsid w:val="145F0B56"/>
    <w:rsid w:val="14636234"/>
    <w:rsid w:val="14767D2C"/>
    <w:rsid w:val="14780875"/>
    <w:rsid w:val="147B4D62"/>
    <w:rsid w:val="148368D6"/>
    <w:rsid w:val="14976B05"/>
    <w:rsid w:val="14BF3244"/>
    <w:rsid w:val="14C63842"/>
    <w:rsid w:val="14C848E6"/>
    <w:rsid w:val="150C0679"/>
    <w:rsid w:val="151C034D"/>
    <w:rsid w:val="15284BAB"/>
    <w:rsid w:val="15433259"/>
    <w:rsid w:val="15536575"/>
    <w:rsid w:val="155F11AF"/>
    <w:rsid w:val="15660BAF"/>
    <w:rsid w:val="15667E1D"/>
    <w:rsid w:val="156E25C9"/>
    <w:rsid w:val="15763D45"/>
    <w:rsid w:val="157D1B04"/>
    <w:rsid w:val="15821A12"/>
    <w:rsid w:val="158E28F0"/>
    <w:rsid w:val="159655F4"/>
    <w:rsid w:val="15A659BB"/>
    <w:rsid w:val="15AC49D5"/>
    <w:rsid w:val="15C82F93"/>
    <w:rsid w:val="15E038B4"/>
    <w:rsid w:val="16122D65"/>
    <w:rsid w:val="161D2A4D"/>
    <w:rsid w:val="16363332"/>
    <w:rsid w:val="166F4D71"/>
    <w:rsid w:val="16756D52"/>
    <w:rsid w:val="1677410E"/>
    <w:rsid w:val="168A40D7"/>
    <w:rsid w:val="169C652C"/>
    <w:rsid w:val="16A12540"/>
    <w:rsid w:val="16AB26F4"/>
    <w:rsid w:val="16D908DA"/>
    <w:rsid w:val="16E55353"/>
    <w:rsid w:val="16E829AB"/>
    <w:rsid w:val="16EE188D"/>
    <w:rsid w:val="16F65238"/>
    <w:rsid w:val="17150DEE"/>
    <w:rsid w:val="172224CA"/>
    <w:rsid w:val="17684135"/>
    <w:rsid w:val="1781721A"/>
    <w:rsid w:val="17967DB8"/>
    <w:rsid w:val="179820C5"/>
    <w:rsid w:val="1799180F"/>
    <w:rsid w:val="17A76871"/>
    <w:rsid w:val="17BA4A97"/>
    <w:rsid w:val="17BF6FE3"/>
    <w:rsid w:val="17D9680D"/>
    <w:rsid w:val="17F94FDA"/>
    <w:rsid w:val="182C2DE0"/>
    <w:rsid w:val="18324F43"/>
    <w:rsid w:val="183B3104"/>
    <w:rsid w:val="18492666"/>
    <w:rsid w:val="188538F5"/>
    <w:rsid w:val="18897007"/>
    <w:rsid w:val="18920D14"/>
    <w:rsid w:val="18B64C04"/>
    <w:rsid w:val="18DA2B19"/>
    <w:rsid w:val="18E73F57"/>
    <w:rsid w:val="18EA0E1B"/>
    <w:rsid w:val="18F63C9B"/>
    <w:rsid w:val="19037AFC"/>
    <w:rsid w:val="194B0F90"/>
    <w:rsid w:val="196E2635"/>
    <w:rsid w:val="198212A8"/>
    <w:rsid w:val="198545EC"/>
    <w:rsid w:val="19AF33FF"/>
    <w:rsid w:val="19BE76E4"/>
    <w:rsid w:val="19F72E31"/>
    <w:rsid w:val="1A3C6CBC"/>
    <w:rsid w:val="1A464073"/>
    <w:rsid w:val="1A5F503B"/>
    <w:rsid w:val="1A9936BB"/>
    <w:rsid w:val="1AE30B95"/>
    <w:rsid w:val="1AE6663D"/>
    <w:rsid w:val="1AF171D6"/>
    <w:rsid w:val="1AF31ACB"/>
    <w:rsid w:val="1B08018F"/>
    <w:rsid w:val="1B0A0242"/>
    <w:rsid w:val="1B1005B4"/>
    <w:rsid w:val="1B103525"/>
    <w:rsid w:val="1B18764C"/>
    <w:rsid w:val="1B416B39"/>
    <w:rsid w:val="1B671479"/>
    <w:rsid w:val="1B7F6C67"/>
    <w:rsid w:val="1B8655C3"/>
    <w:rsid w:val="1BAE0C4D"/>
    <w:rsid w:val="1BBE3B3D"/>
    <w:rsid w:val="1BD05DB4"/>
    <w:rsid w:val="1BD72E94"/>
    <w:rsid w:val="1BF4566B"/>
    <w:rsid w:val="1C085539"/>
    <w:rsid w:val="1C0C208C"/>
    <w:rsid w:val="1C212B49"/>
    <w:rsid w:val="1C2400F8"/>
    <w:rsid w:val="1C3B2149"/>
    <w:rsid w:val="1C4F6C7E"/>
    <w:rsid w:val="1C6A3ED7"/>
    <w:rsid w:val="1C86432D"/>
    <w:rsid w:val="1C915908"/>
    <w:rsid w:val="1C9A2A0F"/>
    <w:rsid w:val="1CAC4C2B"/>
    <w:rsid w:val="1CBE6E56"/>
    <w:rsid w:val="1CC260D1"/>
    <w:rsid w:val="1CCC4B92"/>
    <w:rsid w:val="1CE2619F"/>
    <w:rsid w:val="1CE26E36"/>
    <w:rsid w:val="1CE26FCD"/>
    <w:rsid w:val="1CFF1616"/>
    <w:rsid w:val="1D274763"/>
    <w:rsid w:val="1D303B85"/>
    <w:rsid w:val="1D42700D"/>
    <w:rsid w:val="1D7A4369"/>
    <w:rsid w:val="1DA75843"/>
    <w:rsid w:val="1DC77F04"/>
    <w:rsid w:val="1DE5480D"/>
    <w:rsid w:val="1DF6072F"/>
    <w:rsid w:val="1E002ABC"/>
    <w:rsid w:val="1E031DF1"/>
    <w:rsid w:val="1E0E501C"/>
    <w:rsid w:val="1E14234D"/>
    <w:rsid w:val="1E1F1EBF"/>
    <w:rsid w:val="1E2C1E4B"/>
    <w:rsid w:val="1E2C323D"/>
    <w:rsid w:val="1E2C43F7"/>
    <w:rsid w:val="1E410930"/>
    <w:rsid w:val="1E8C3266"/>
    <w:rsid w:val="1EAA105C"/>
    <w:rsid w:val="1EE86942"/>
    <w:rsid w:val="1EEF041C"/>
    <w:rsid w:val="1F040613"/>
    <w:rsid w:val="1F136AA8"/>
    <w:rsid w:val="1F193A1B"/>
    <w:rsid w:val="1F243A1B"/>
    <w:rsid w:val="1F2C5176"/>
    <w:rsid w:val="1F3D085A"/>
    <w:rsid w:val="1F527425"/>
    <w:rsid w:val="1F83778A"/>
    <w:rsid w:val="1F93345C"/>
    <w:rsid w:val="1FAF2289"/>
    <w:rsid w:val="1FB73684"/>
    <w:rsid w:val="1FB976A9"/>
    <w:rsid w:val="1FBF5BEA"/>
    <w:rsid w:val="1FC44B58"/>
    <w:rsid w:val="1FC81DE3"/>
    <w:rsid w:val="1FD10951"/>
    <w:rsid w:val="1FF640E5"/>
    <w:rsid w:val="2000655C"/>
    <w:rsid w:val="200E7D4D"/>
    <w:rsid w:val="2031313F"/>
    <w:rsid w:val="2059673D"/>
    <w:rsid w:val="205F5C8D"/>
    <w:rsid w:val="2077140A"/>
    <w:rsid w:val="208214F9"/>
    <w:rsid w:val="20BC5300"/>
    <w:rsid w:val="20C37C27"/>
    <w:rsid w:val="20F0781A"/>
    <w:rsid w:val="21026DD4"/>
    <w:rsid w:val="211969F4"/>
    <w:rsid w:val="21290176"/>
    <w:rsid w:val="21380790"/>
    <w:rsid w:val="213940DB"/>
    <w:rsid w:val="21460077"/>
    <w:rsid w:val="21512779"/>
    <w:rsid w:val="215155F8"/>
    <w:rsid w:val="216E446A"/>
    <w:rsid w:val="2171026D"/>
    <w:rsid w:val="21B05A2D"/>
    <w:rsid w:val="21C04148"/>
    <w:rsid w:val="21C75F5A"/>
    <w:rsid w:val="21EE14C6"/>
    <w:rsid w:val="21FA3487"/>
    <w:rsid w:val="22096969"/>
    <w:rsid w:val="222D2630"/>
    <w:rsid w:val="222D60D3"/>
    <w:rsid w:val="22504FAE"/>
    <w:rsid w:val="225D5C35"/>
    <w:rsid w:val="22612A01"/>
    <w:rsid w:val="2264405B"/>
    <w:rsid w:val="226442A0"/>
    <w:rsid w:val="227F03EB"/>
    <w:rsid w:val="228272B2"/>
    <w:rsid w:val="228C097F"/>
    <w:rsid w:val="22952C4B"/>
    <w:rsid w:val="22A0440D"/>
    <w:rsid w:val="22A91843"/>
    <w:rsid w:val="230A3575"/>
    <w:rsid w:val="230A4021"/>
    <w:rsid w:val="230E380E"/>
    <w:rsid w:val="231C03EB"/>
    <w:rsid w:val="2334661A"/>
    <w:rsid w:val="234D3861"/>
    <w:rsid w:val="238002CA"/>
    <w:rsid w:val="239744F7"/>
    <w:rsid w:val="23A9620B"/>
    <w:rsid w:val="23CB4BAE"/>
    <w:rsid w:val="23D259BA"/>
    <w:rsid w:val="23D418C7"/>
    <w:rsid w:val="24021647"/>
    <w:rsid w:val="24030C48"/>
    <w:rsid w:val="24376272"/>
    <w:rsid w:val="24466FD8"/>
    <w:rsid w:val="244C7F4B"/>
    <w:rsid w:val="245A3536"/>
    <w:rsid w:val="246C475D"/>
    <w:rsid w:val="246D64CA"/>
    <w:rsid w:val="246F581E"/>
    <w:rsid w:val="24743B45"/>
    <w:rsid w:val="248E6E98"/>
    <w:rsid w:val="24A36C24"/>
    <w:rsid w:val="24A87C93"/>
    <w:rsid w:val="24C53218"/>
    <w:rsid w:val="24C67B25"/>
    <w:rsid w:val="24CD1BC1"/>
    <w:rsid w:val="24D4317A"/>
    <w:rsid w:val="25063306"/>
    <w:rsid w:val="250B1159"/>
    <w:rsid w:val="25170ACA"/>
    <w:rsid w:val="25190206"/>
    <w:rsid w:val="252D4FBC"/>
    <w:rsid w:val="253011EB"/>
    <w:rsid w:val="254C72D0"/>
    <w:rsid w:val="25663EB1"/>
    <w:rsid w:val="256D3348"/>
    <w:rsid w:val="256D4F58"/>
    <w:rsid w:val="25733DFD"/>
    <w:rsid w:val="25755DC7"/>
    <w:rsid w:val="258D6E68"/>
    <w:rsid w:val="25A17E17"/>
    <w:rsid w:val="25A66F0C"/>
    <w:rsid w:val="25AA6E80"/>
    <w:rsid w:val="25B208F5"/>
    <w:rsid w:val="25C37E80"/>
    <w:rsid w:val="25C74C8F"/>
    <w:rsid w:val="25CE07A6"/>
    <w:rsid w:val="25E230A5"/>
    <w:rsid w:val="26185714"/>
    <w:rsid w:val="262E013A"/>
    <w:rsid w:val="265577FD"/>
    <w:rsid w:val="266C06A5"/>
    <w:rsid w:val="267430FB"/>
    <w:rsid w:val="267E6EFD"/>
    <w:rsid w:val="26E85164"/>
    <w:rsid w:val="26EF6CED"/>
    <w:rsid w:val="26FA69C1"/>
    <w:rsid w:val="270B76CD"/>
    <w:rsid w:val="27190705"/>
    <w:rsid w:val="27395638"/>
    <w:rsid w:val="273B136A"/>
    <w:rsid w:val="273B54A9"/>
    <w:rsid w:val="27507933"/>
    <w:rsid w:val="2754427C"/>
    <w:rsid w:val="276C4606"/>
    <w:rsid w:val="27837B4E"/>
    <w:rsid w:val="278D505B"/>
    <w:rsid w:val="27B747B7"/>
    <w:rsid w:val="27B74DD8"/>
    <w:rsid w:val="27C231B8"/>
    <w:rsid w:val="28115915"/>
    <w:rsid w:val="28190B07"/>
    <w:rsid w:val="281A4285"/>
    <w:rsid w:val="282E3B80"/>
    <w:rsid w:val="28347193"/>
    <w:rsid w:val="286B6D6B"/>
    <w:rsid w:val="28715CBE"/>
    <w:rsid w:val="287C2306"/>
    <w:rsid w:val="28956124"/>
    <w:rsid w:val="289C4AF7"/>
    <w:rsid w:val="28A3284C"/>
    <w:rsid w:val="28A9232F"/>
    <w:rsid w:val="28AB20FF"/>
    <w:rsid w:val="28B560B1"/>
    <w:rsid w:val="28B815D0"/>
    <w:rsid w:val="28C5217E"/>
    <w:rsid w:val="28C9179E"/>
    <w:rsid w:val="28CF57EE"/>
    <w:rsid w:val="28F95380"/>
    <w:rsid w:val="2912392D"/>
    <w:rsid w:val="292406C4"/>
    <w:rsid w:val="293200E2"/>
    <w:rsid w:val="294C4AEE"/>
    <w:rsid w:val="294F537F"/>
    <w:rsid w:val="29603063"/>
    <w:rsid w:val="2961719E"/>
    <w:rsid w:val="296B733B"/>
    <w:rsid w:val="29757990"/>
    <w:rsid w:val="297F62D8"/>
    <w:rsid w:val="29966C9A"/>
    <w:rsid w:val="29966FCB"/>
    <w:rsid w:val="29981B6F"/>
    <w:rsid w:val="29A953CE"/>
    <w:rsid w:val="29BB3C76"/>
    <w:rsid w:val="29CC5CF6"/>
    <w:rsid w:val="29E637C2"/>
    <w:rsid w:val="29FD68B0"/>
    <w:rsid w:val="2A005376"/>
    <w:rsid w:val="2A070F00"/>
    <w:rsid w:val="2A0F5990"/>
    <w:rsid w:val="2A104310"/>
    <w:rsid w:val="2A141E18"/>
    <w:rsid w:val="2A147014"/>
    <w:rsid w:val="2A227795"/>
    <w:rsid w:val="2A4C2E6E"/>
    <w:rsid w:val="2A5401FA"/>
    <w:rsid w:val="2A652838"/>
    <w:rsid w:val="2A7043B1"/>
    <w:rsid w:val="2AAC2374"/>
    <w:rsid w:val="2AAF2DEC"/>
    <w:rsid w:val="2AC32AF8"/>
    <w:rsid w:val="2B14398C"/>
    <w:rsid w:val="2B2142FB"/>
    <w:rsid w:val="2B236F2B"/>
    <w:rsid w:val="2B25203D"/>
    <w:rsid w:val="2B431D6A"/>
    <w:rsid w:val="2B82339F"/>
    <w:rsid w:val="2B8A7A1A"/>
    <w:rsid w:val="2B8C1D80"/>
    <w:rsid w:val="2B9351F9"/>
    <w:rsid w:val="2B9503F1"/>
    <w:rsid w:val="2BA333F6"/>
    <w:rsid w:val="2BBD0B4F"/>
    <w:rsid w:val="2BC06E62"/>
    <w:rsid w:val="2BE42BD5"/>
    <w:rsid w:val="2BF636C7"/>
    <w:rsid w:val="2BFB66F7"/>
    <w:rsid w:val="2C2736A5"/>
    <w:rsid w:val="2C4F340C"/>
    <w:rsid w:val="2C586430"/>
    <w:rsid w:val="2C637962"/>
    <w:rsid w:val="2C9F0A22"/>
    <w:rsid w:val="2CCC68CD"/>
    <w:rsid w:val="2D102879"/>
    <w:rsid w:val="2D127A41"/>
    <w:rsid w:val="2D25125D"/>
    <w:rsid w:val="2D52215F"/>
    <w:rsid w:val="2D5E14CD"/>
    <w:rsid w:val="2D6A155A"/>
    <w:rsid w:val="2D73008C"/>
    <w:rsid w:val="2D8A36A7"/>
    <w:rsid w:val="2D97193F"/>
    <w:rsid w:val="2DA00557"/>
    <w:rsid w:val="2DA96734"/>
    <w:rsid w:val="2DBE22D5"/>
    <w:rsid w:val="2DD01B68"/>
    <w:rsid w:val="2DE0224B"/>
    <w:rsid w:val="2DE031E8"/>
    <w:rsid w:val="2DE72397"/>
    <w:rsid w:val="2DEE1235"/>
    <w:rsid w:val="2E107CBA"/>
    <w:rsid w:val="2E1D7F4E"/>
    <w:rsid w:val="2E393004"/>
    <w:rsid w:val="2E5B41E4"/>
    <w:rsid w:val="2E61338C"/>
    <w:rsid w:val="2E7D3F3E"/>
    <w:rsid w:val="2E7D5AE7"/>
    <w:rsid w:val="2E8452CD"/>
    <w:rsid w:val="2E8A25C7"/>
    <w:rsid w:val="2EA849C2"/>
    <w:rsid w:val="2EAA494B"/>
    <w:rsid w:val="2ED00512"/>
    <w:rsid w:val="2ED1017B"/>
    <w:rsid w:val="2F024AB9"/>
    <w:rsid w:val="2F11299A"/>
    <w:rsid w:val="2F16264C"/>
    <w:rsid w:val="2F1E331E"/>
    <w:rsid w:val="2F2067E5"/>
    <w:rsid w:val="2F281948"/>
    <w:rsid w:val="2F48454C"/>
    <w:rsid w:val="2F4E3B9C"/>
    <w:rsid w:val="2F551109"/>
    <w:rsid w:val="2F745341"/>
    <w:rsid w:val="2FA772ED"/>
    <w:rsid w:val="2FD2418B"/>
    <w:rsid w:val="302B7E0C"/>
    <w:rsid w:val="304A0924"/>
    <w:rsid w:val="304A1F0B"/>
    <w:rsid w:val="3089479E"/>
    <w:rsid w:val="308A4F2F"/>
    <w:rsid w:val="309410C2"/>
    <w:rsid w:val="30B0712E"/>
    <w:rsid w:val="30B8300C"/>
    <w:rsid w:val="30BA3228"/>
    <w:rsid w:val="30D159EF"/>
    <w:rsid w:val="30D54206"/>
    <w:rsid w:val="30DF7518"/>
    <w:rsid w:val="30E442B6"/>
    <w:rsid w:val="30F63C84"/>
    <w:rsid w:val="31152402"/>
    <w:rsid w:val="31197F9C"/>
    <w:rsid w:val="315952F5"/>
    <w:rsid w:val="31D60B8C"/>
    <w:rsid w:val="31DB3455"/>
    <w:rsid w:val="31E05861"/>
    <w:rsid w:val="31E84E08"/>
    <w:rsid w:val="31F8693B"/>
    <w:rsid w:val="32025742"/>
    <w:rsid w:val="32041C3B"/>
    <w:rsid w:val="320D7387"/>
    <w:rsid w:val="32154752"/>
    <w:rsid w:val="322044B5"/>
    <w:rsid w:val="32300F54"/>
    <w:rsid w:val="32385E9F"/>
    <w:rsid w:val="32480BB4"/>
    <w:rsid w:val="32601864"/>
    <w:rsid w:val="327B56DF"/>
    <w:rsid w:val="32B102A1"/>
    <w:rsid w:val="32EC0963"/>
    <w:rsid w:val="32F15FC7"/>
    <w:rsid w:val="330B03F2"/>
    <w:rsid w:val="332B11A7"/>
    <w:rsid w:val="334308AF"/>
    <w:rsid w:val="33793E00"/>
    <w:rsid w:val="33851476"/>
    <w:rsid w:val="338C3013"/>
    <w:rsid w:val="33962F20"/>
    <w:rsid w:val="33B33035"/>
    <w:rsid w:val="33B8572A"/>
    <w:rsid w:val="33FE540F"/>
    <w:rsid w:val="34070EF2"/>
    <w:rsid w:val="34244AC0"/>
    <w:rsid w:val="34262D68"/>
    <w:rsid w:val="34454F45"/>
    <w:rsid w:val="34664659"/>
    <w:rsid w:val="347653AF"/>
    <w:rsid w:val="34895FBE"/>
    <w:rsid w:val="3489758A"/>
    <w:rsid w:val="3490310E"/>
    <w:rsid w:val="34907349"/>
    <w:rsid w:val="34961252"/>
    <w:rsid w:val="34986315"/>
    <w:rsid w:val="34AB6063"/>
    <w:rsid w:val="34C42E76"/>
    <w:rsid w:val="34CA7FA6"/>
    <w:rsid w:val="34F21649"/>
    <w:rsid w:val="34F75D1A"/>
    <w:rsid w:val="35050C1D"/>
    <w:rsid w:val="35112D42"/>
    <w:rsid w:val="35520069"/>
    <w:rsid w:val="356C734F"/>
    <w:rsid w:val="357E2571"/>
    <w:rsid w:val="357F67EE"/>
    <w:rsid w:val="35977E54"/>
    <w:rsid w:val="35A40002"/>
    <w:rsid w:val="35A54B4F"/>
    <w:rsid w:val="35B5220F"/>
    <w:rsid w:val="35B86BAA"/>
    <w:rsid w:val="35C747A5"/>
    <w:rsid w:val="35CD25D4"/>
    <w:rsid w:val="35DA792B"/>
    <w:rsid w:val="35E05D71"/>
    <w:rsid w:val="35E34777"/>
    <w:rsid w:val="35E968BB"/>
    <w:rsid w:val="35F8696B"/>
    <w:rsid w:val="3603609C"/>
    <w:rsid w:val="36404909"/>
    <w:rsid w:val="36564DF5"/>
    <w:rsid w:val="368340BC"/>
    <w:rsid w:val="368B54B2"/>
    <w:rsid w:val="369E49C1"/>
    <w:rsid w:val="36A9434B"/>
    <w:rsid w:val="36A95715"/>
    <w:rsid w:val="36C051B3"/>
    <w:rsid w:val="36C10723"/>
    <w:rsid w:val="36D35768"/>
    <w:rsid w:val="36E06269"/>
    <w:rsid w:val="370337D9"/>
    <w:rsid w:val="370B7562"/>
    <w:rsid w:val="372617C9"/>
    <w:rsid w:val="374D2DC3"/>
    <w:rsid w:val="37621763"/>
    <w:rsid w:val="3766693D"/>
    <w:rsid w:val="37977641"/>
    <w:rsid w:val="37982A83"/>
    <w:rsid w:val="379C0A32"/>
    <w:rsid w:val="37A01FAB"/>
    <w:rsid w:val="37F5323F"/>
    <w:rsid w:val="37F97ADB"/>
    <w:rsid w:val="380A6ED3"/>
    <w:rsid w:val="383832E4"/>
    <w:rsid w:val="38426866"/>
    <w:rsid w:val="385B738D"/>
    <w:rsid w:val="385D1988"/>
    <w:rsid w:val="38617368"/>
    <w:rsid w:val="38657F1D"/>
    <w:rsid w:val="38766CAF"/>
    <w:rsid w:val="389B146D"/>
    <w:rsid w:val="38D4582C"/>
    <w:rsid w:val="38D5034D"/>
    <w:rsid w:val="390B4FA4"/>
    <w:rsid w:val="391028D4"/>
    <w:rsid w:val="39124D4B"/>
    <w:rsid w:val="3930134B"/>
    <w:rsid w:val="39306A56"/>
    <w:rsid w:val="393B2BEC"/>
    <w:rsid w:val="393B352E"/>
    <w:rsid w:val="395D7340"/>
    <w:rsid w:val="3973509E"/>
    <w:rsid w:val="398443D3"/>
    <w:rsid w:val="39931EFF"/>
    <w:rsid w:val="399436ED"/>
    <w:rsid w:val="39A53142"/>
    <w:rsid w:val="39AD48CC"/>
    <w:rsid w:val="39C12F31"/>
    <w:rsid w:val="39C20AC7"/>
    <w:rsid w:val="39E741A3"/>
    <w:rsid w:val="3A1D744C"/>
    <w:rsid w:val="3A1E058C"/>
    <w:rsid w:val="3A2709D5"/>
    <w:rsid w:val="3A617AD4"/>
    <w:rsid w:val="3A7B791D"/>
    <w:rsid w:val="3A992513"/>
    <w:rsid w:val="3A9F51A7"/>
    <w:rsid w:val="3AAD144D"/>
    <w:rsid w:val="3AD26B0E"/>
    <w:rsid w:val="3AD4023E"/>
    <w:rsid w:val="3AD7041F"/>
    <w:rsid w:val="3AF4552F"/>
    <w:rsid w:val="3B020DDE"/>
    <w:rsid w:val="3B4B0D56"/>
    <w:rsid w:val="3B4C710C"/>
    <w:rsid w:val="3B4F531C"/>
    <w:rsid w:val="3B6E533A"/>
    <w:rsid w:val="3B720DE7"/>
    <w:rsid w:val="3B831677"/>
    <w:rsid w:val="3B9A0BFF"/>
    <w:rsid w:val="3BA209AC"/>
    <w:rsid w:val="3BC12485"/>
    <w:rsid w:val="3BC4103F"/>
    <w:rsid w:val="3BD26A9F"/>
    <w:rsid w:val="3BD6517D"/>
    <w:rsid w:val="3BE66AF5"/>
    <w:rsid w:val="3BEB75DB"/>
    <w:rsid w:val="3BED44B1"/>
    <w:rsid w:val="3BF2201B"/>
    <w:rsid w:val="3BFA427C"/>
    <w:rsid w:val="3C071109"/>
    <w:rsid w:val="3C3B6FA3"/>
    <w:rsid w:val="3C4A54CA"/>
    <w:rsid w:val="3C4D55C5"/>
    <w:rsid w:val="3C663C1F"/>
    <w:rsid w:val="3C76454E"/>
    <w:rsid w:val="3C910383"/>
    <w:rsid w:val="3CA326F3"/>
    <w:rsid w:val="3CC25A7B"/>
    <w:rsid w:val="3CD209BF"/>
    <w:rsid w:val="3CDF2EAB"/>
    <w:rsid w:val="3CE412DB"/>
    <w:rsid w:val="3CF9389E"/>
    <w:rsid w:val="3D274876"/>
    <w:rsid w:val="3D2F28A7"/>
    <w:rsid w:val="3D446913"/>
    <w:rsid w:val="3D567E34"/>
    <w:rsid w:val="3D652C54"/>
    <w:rsid w:val="3D804EB1"/>
    <w:rsid w:val="3D863F46"/>
    <w:rsid w:val="3D914B93"/>
    <w:rsid w:val="3D995337"/>
    <w:rsid w:val="3D9D3510"/>
    <w:rsid w:val="3DA4163B"/>
    <w:rsid w:val="3DC7507A"/>
    <w:rsid w:val="3E0953D7"/>
    <w:rsid w:val="3E215D5D"/>
    <w:rsid w:val="3E6128BD"/>
    <w:rsid w:val="3E733FBA"/>
    <w:rsid w:val="3E9E7CE5"/>
    <w:rsid w:val="3ED01E68"/>
    <w:rsid w:val="3EED4875"/>
    <w:rsid w:val="3F326AFD"/>
    <w:rsid w:val="3F3A0D97"/>
    <w:rsid w:val="3F3B54D1"/>
    <w:rsid w:val="3F44372E"/>
    <w:rsid w:val="3F87364A"/>
    <w:rsid w:val="3F8F2A65"/>
    <w:rsid w:val="3F995816"/>
    <w:rsid w:val="3F9F0D85"/>
    <w:rsid w:val="3FA06129"/>
    <w:rsid w:val="3FBC281F"/>
    <w:rsid w:val="3FEB336E"/>
    <w:rsid w:val="3FF24D6C"/>
    <w:rsid w:val="3FFD0A3B"/>
    <w:rsid w:val="401E120B"/>
    <w:rsid w:val="402B50E4"/>
    <w:rsid w:val="40372462"/>
    <w:rsid w:val="4037319B"/>
    <w:rsid w:val="40811739"/>
    <w:rsid w:val="40882E6C"/>
    <w:rsid w:val="40896CCD"/>
    <w:rsid w:val="40997D98"/>
    <w:rsid w:val="40B548C2"/>
    <w:rsid w:val="40CE5967"/>
    <w:rsid w:val="40DD4B03"/>
    <w:rsid w:val="410F6D99"/>
    <w:rsid w:val="41843FC1"/>
    <w:rsid w:val="4186721E"/>
    <w:rsid w:val="41882C2A"/>
    <w:rsid w:val="418D4040"/>
    <w:rsid w:val="419C272D"/>
    <w:rsid w:val="41A05B22"/>
    <w:rsid w:val="41BE128D"/>
    <w:rsid w:val="41F320F5"/>
    <w:rsid w:val="42072F7D"/>
    <w:rsid w:val="42212242"/>
    <w:rsid w:val="422D0069"/>
    <w:rsid w:val="42331C4F"/>
    <w:rsid w:val="427976F2"/>
    <w:rsid w:val="4286740D"/>
    <w:rsid w:val="42971995"/>
    <w:rsid w:val="429B1880"/>
    <w:rsid w:val="429D7A6B"/>
    <w:rsid w:val="42A01C53"/>
    <w:rsid w:val="42A51917"/>
    <w:rsid w:val="42B023AD"/>
    <w:rsid w:val="42D96C15"/>
    <w:rsid w:val="42F65123"/>
    <w:rsid w:val="42FE4D96"/>
    <w:rsid w:val="430737CE"/>
    <w:rsid w:val="431B4090"/>
    <w:rsid w:val="431E0AE1"/>
    <w:rsid w:val="43264684"/>
    <w:rsid w:val="43352B14"/>
    <w:rsid w:val="434249C9"/>
    <w:rsid w:val="434A1664"/>
    <w:rsid w:val="4382724D"/>
    <w:rsid w:val="438316F5"/>
    <w:rsid w:val="438532EB"/>
    <w:rsid w:val="43896F34"/>
    <w:rsid w:val="43A8405B"/>
    <w:rsid w:val="43B16265"/>
    <w:rsid w:val="43B746F3"/>
    <w:rsid w:val="43BF4772"/>
    <w:rsid w:val="43CB14D7"/>
    <w:rsid w:val="43EE4CF8"/>
    <w:rsid w:val="43F126F7"/>
    <w:rsid w:val="44386270"/>
    <w:rsid w:val="444C3A35"/>
    <w:rsid w:val="445314F0"/>
    <w:rsid w:val="44627FA7"/>
    <w:rsid w:val="4475298B"/>
    <w:rsid w:val="449965B2"/>
    <w:rsid w:val="44996E9A"/>
    <w:rsid w:val="449B07EB"/>
    <w:rsid w:val="44B20882"/>
    <w:rsid w:val="44B9622C"/>
    <w:rsid w:val="44D255D4"/>
    <w:rsid w:val="44D47285"/>
    <w:rsid w:val="44E4312A"/>
    <w:rsid w:val="44E45F51"/>
    <w:rsid w:val="44F41E19"/>
    <w:rsid w:val="44F91387"/>
    <w:rsid w:val="450903F6"/>
    <w:rsid w:val="451D4CC0"/>
    <w:rsid w:val="452E7F44"/>
    <w:rsid w:val="453215A6"/>
    <w:rsid w:val="45354367"/>
    <w:rsid w:val="45475CA6"/>
    <w:rsid w:val="454B1256"/>
    <w:rsid w:val="45551579"/>
    <w:rsid w:val="456B6082"/>
    <w:rsid w:val="459040FF"/>
    <w:rsid w:val="459736E0"/>
    <w:rsid w:val="45A1519C"/>
    <w:rsid w:val="45BD45DD"/>
    <w:rsid w:val="45D60E9E"/>
    <w:rsid w:val="45E34313"/>
    <w:rsid w:val="45F30077"/>
    <w:rsid w:val="45FA3460"/>
    <w:rsid w:val="4604288B"/>
    <w:rsid w:val="461652E6"/>
    <w:rsid w:val="462F7F70"/>
    <w:rsid w:val="463351B6"/>
    <w:rsid w:val="46335554"/>
    <w:rsid w:val="464024F9"/>
    <w:rsid w:val="464B78AD"/>
    <w:rsid w:val="465328CD"/>
    <w:rsid w:val="465925B9"/>
    <w:rsid w:val="465966A9"/>
    <w:rsid w:val="4689127A"/>
    <w:rsid w:val="46933545"/>
    <w:rsid w:val="46A36C52"/>
    <w:rsid w:val="46AE6F33"/>
    <w:rsid w:val="46B06807"/>
    <w:rsid w:val="46B92717"/>
    <w:rsid w:val="46BB5EEB"/>
    <w:rsid w:val="46CC00B3"/>
    <w:rsid w:val="47011FAF"/>
    <w:rsid w:val="47057D20"/>
    <w:rsid w:val="470E4993"/>
    <w:rsid w:val="47116FF0"/>
    <w:rsid w:val="47233568"/>
    <w:rsid w:val="47284E86"/>
    <w:rsid w:val="473231B0"/>
    <w:rsid w:val="476935BD"/>
    <w:rsid w:val="47800E5B"/>
    <w:rsid w:val="47D62E3A"/>
    <w:rsid w:val="47D814F7"/>
    <w:rsid w:val="47DC1E2C"/>
    <w:rsid w:val="47EE7E73"/>
    <w:rsid w:val="47F22D46"/>
    <w:rsid w:val="47FB4B1C"/>
    <w:rsid w:val="48172A03"/>
    <w:rsid w:val="48275ACD"/>
    <w:rsid w:val="48552511"/>
    <w:rsid w:val="485D651B"/>
    <w:rsid w:val="488F64BD"/>
    <w:rsid w:val="48990883"/>
    <w:rsid w:val="48A57612"/>
    <w:rsid w:val="48DA4FB2"/>
    <w:rsid w:val="48E640C7"/>
    <w:rsid w:val="48EB350C"/>
    <w:rsid w:val="48FD1D08"/>
    <w:rsid w:val="48FD25AA"/>
    <w:rsid w:val="49134A25"/>
    <w:rsid w:val="49160061"/>
    <w:rsid w:val="492B6918"/>
    <w:rsid w:val="492E4A63"/>
    <w:rsid w:val="492E569F"/>
    <w:rsid w:val="49720173"/>
    <w:rsid w:val="497E6723"/>
    <w:rsid w:val="49817546"/>
    <w:rsid w:val="49853B2F"/>
    <w:rsid w:val="499524F4"/>
    <w:rsid w:val="49A60A33"/>
    <w:rsid w:val="49AE3723"/>
    <w:rsid w:val="49AF479A"/>
    <w:rsid w:val="49B510D0"/>
    <w:rsid w:val="49BA640C"/>
    <w:rsid w:val="49D22F38"/>
    <w:rsid w:val="49D7054F"/>
    <w:rsid w:val="49EF23AD"/>
    <w:rsid w:val="49F26141"/>
    <w:rsid w:val="49F414BD"/>
    <w:rsid w:val="49FB376E"/>
    <w:rsid w:val="4A1027A2"/>
    <w:rsid w:val="4A141CE9"/>
    <w:rsid w:val="4A35401A"/>
    <w:rsid w:val="4A453524"/>
    <w:rsid w:val="4A4A493E"/>
    <w:rsid w:val="4A5574B5"/>
    <w:rsid w:val="4A845C50"/>
    <w:rsid w:val="4A8561FD"/>
    <w:rsid w:val="4A8C1339"/>
    <w:rsid w:val="4A9115EB"/>
    <w:rsid w:val="4AB35E6A"/>
    <w:rsid w:val="4AC15AB5"/>
    <w:rsid w:val="4AF113A3"/>
    <w:rsid w:val="4B044207"/>
    <w:rsid w:val="4B0D7BB2"/>
    <w:rsid w:val="4B0E3F21"/>
    <w:rsid w:val="4B0F2B1B"/>
    <w:rsid w:val="4B2554C7"/>
    <w:rsid w:val="4B257918"/>
    <w:rsid w:val="4B293C8D"/>
    <w:rsid w:val="4B453C06"/>
    <w:rsid w:val="4B7778F3"/>
    <w:rsid w:val="4B8169AB"/>
    <w:rsid w:val="4B973C0C"/>
    <w:rsid w:val="4BB01057"/>
    <w:rsid w:val="4BBA1ED6"/>
    <w:rsid w:val="4BBE3774"/>
    <w:rsid w:val="4C09103D"/>
    <w:rsid w:val="4C0A494B"/>
    <w:rsid w:val="4C2061DD"/>
    <w:rsid w:val="4C2E5D58"/>
    <w:rsid w:val="4C3618F9"/>
    <w:rsid w:val="4C3D3EE6"/>
    <w:rsid w:val="4C4D4A66"/>
    <w:rsid w:val="4C573C89"/>
    <w:rsid w:val="4C587B2C"/>
    <w:rsid w:val="4C720109"/>
    <w:rsid w:val="4C7B13FA"/>
    <w:rsid w:val="4CA25D92"/>
    <w:rsid w:val="4CA3227D"/>
    <w:rsid w:val="4CB12D01"/>
    <w:rsid w:val="4CC151FB"/>
    <w:rsid w:val="4CDC3D7A"/>
    <w:rsid w:val="4CDD1387"/>
    <w:rsid w:val="4CE23768"/>
    <w:rsid w:val="4D0260E2"/>
    <w:rsid w:val="4D0913CF"/>
    <w:rsid w:val="4D0F2E24"/>
    <w:rsid w:val="4D1819C8"/>
    <w:rsid w:val="4D483EF6"/>
    <w:rsid w:val="4D67379C"/>
    <w:rsid w:val="4D8C5E66"/>
    <w:rsid w:val="4D982BE9"/>
    <w:rsid w:val="4DA92D35"/>
    <w:rsid w:val="4DC67067"/>
    <w:rsid w:val="4DDB1351"/>
    <w:rsid w:val="4DDB4207"/>
    <w:rsid w:val="4DDF44B5"/>
    <w:rsid w:val="4DFC4A28"/>
    <w:rsid w:val="4DFE4C02"/>
    <w:rsid w:val="4E2A3A23"/>
    <w:rsid w:val="4E50622E"/>
    <w:rsid w:val="4E6165D1"/>
    <w:rsid w:val="4E643BE6"/>
    <w:rsid w:val="4E7A463A"/>
    <w:rsid w:val="4E8640DC"/>
    <w:rsid w:val="4E8F31B4"/>
    <w:rsid w:val="4E954174"/>
    <w:rsid w:val="4EB63206"/>
    <w:rsid w:val="4ECA1222"/>
    <w:rsid w:val="4ECB315B"/>
    <w:rsid w:val="4ED452E8"/>
    <w:rsid w:val="4EE27B3B"/>
    <w:rsid w:val="4EF36B5E"/>
    <w:rsid w:val="4EF629F2"/>
    <w:rsid w:val="4EFC70A4"/>
    <w:rsid w:val="4EFF591D"/>
    <w:rsid w:val="4F027E1C"/>
    <w:rsid w:val="4F0967C5"/>
    <w:rsid w:val="4F473CA0"/>
    <w:rsid w:val="4FA5372C"/>
    <w:rsid w:val="4FB4350C"/>
    <w:rsid w:val="4FDB2598"/>
    <w:rsid w:val="50080677"/>
    <w:rsid w:val="501B10FA"/>
    <w:rsid w:val="5023707A"/>
    <w:rsid w:val="50343B6E"/>
    <w:rsid w:val="50396AAB"/>
    <w:rsid w:val="503F16F5"/>
    <w:rsid w:val="50666188"/>
    <w:rsid w:val="508771A2"/>
    <w:rsid w:val="50935EC0"/>
    <w:rsid w:val="50BC51E2"/>
    <w:rsid w:val="50C17E24"/>
    <w:rsid w:val="50C54111"/>
    <w:rsid w:val="50C64F1F"/>
    <w:rsid w:val="510812ED"/>
    <w:rsid w:val="51154F67"/>
    <w:rsid w:val="511970D6"/>
    <w:rsid w:val="51237038"/>
    <w:rsid w:val="512D0B10"/>
    <w:rsid w:val="513D7E5B"/>
    <w:rsid w:val="515E5F0D"/>
    <w:rsid w:val="515F39E4"/>
    <w:rsid w:val="516B6A7B"/>
    <w:rsid w:val="517843C5"/>
    <w:rsid w:val="51937FE1"/>
    <w:rsid w:val="51BC0559"/>
    <w:rsid w:val="51C34031"/>
    <w:rsid w:val="51C40B94"/>
    <w:rsid w:val="51D829C4"/>
    <w:rsid w:val="51F0503B"/>
    <w:rsid w:val="51F52932"/>
    <w:rsid w:val="51F813F6"/>
    <w:rsid w:val="5201423F"/>
    <w:rsid w:val="5208608F"/>
    <w:rsid w:val="52195BA8"/>
    <w:rsid w:val="522307D5"/>
    <w:rsid w:val="52597287"/>
    <w:rsid w:val="526B22C9"/>
    <w:rsid w:val="5274333E"/>
    <w:rsid w:val="527E2854"/>
    <w:rsid w:val="52846B00"/>
    <w:rsid w:val="5291605E"/>
    <w:rsid w:val="529E495D"/>
    <w:rsid w:val="52C33D66"/>
    <w:rsid w:val="52C5601E"/>
    <w:rsid w:val="52CD757B"/>
    <w:rsid w:val="52D2618A"/>
    <w:rsid w:val="52E650F3"/>
    <w:rsid w:val="52F479A5"/>
    <w:rsid w:val="530C451E"/>
    <w:rsid w:val="530D77B2"/>
    <w:rsid w:val="5311509B"/>
    <w:rsid w:val="53131DCD"/>
    <w:rsid w:val="53131E78"/>
    <w:rsid w:val="535A29ED"/>
    <w:rsid w:val="5383502D"/>
    <w:rsid w:val="538C0D0D"/>
    <w:rsid w:val="539155A8"/>
    <w:rsid w:val="53B27C58"/>
    <w:rsid w:val="53B61758"/>
    <w:rsid w:val="53BB66ED"/>
    <w:rsid w:val="53C00752"/>
    <w:rsid w:val="53D010B6"/>
    <w:rsid w:val="53E06252"/>
    <w:rsid w:val="54026CFB"/>
    <w:rsid w:val="5429409D"/>
    <w:rsid w:val="5449167A"/>
    <w:rsid w:val="5463310B"/>
    <w:rsid w:val="546F62CF"/>
    <w:rsid w:val="548A5AC1"/>
    <w:rsid w:val="549460A0"/>
    <w:rsid w:val="54A47299"/>
    <w:rsid w:val="54B5266C"/>
    <w:rsid w:val="54BA746C"/>
    <w:rsid w:val="54D305F2"/>
    <w:rsid w:val="54D538DD"/>
    <w:rsid w:val="54DC6027"/>
    <w:rsid w:val="54DF4FC2"/>
    <w:rsid w:val="54E04C2A"/>
    <w:rsid w:val="54E067D9"/>
    <w:rsid w:val="54E20C9B"/>
    <w:rsid w:val="54F501F6"/>
    <w:rsid w:val="54F860F5"/>
    <w:rsid w:val="550A7AED"/>
    <w:rsid w:val="551B53B0"/>
    <w:rsid w:val="552705AF"/>
    <w:rsid w:val="552955C5"/>
    <w:rsid w:val="55297495"/>
    <w:rsid w:val="552E0DB1"/>
    <w:rsid w:val="553A1CDD"/>
    <w:rsid w:val="5543746D"/>
    <w:rsid w:val="555C6C0C"/>
    <w:rsid w:val="55614691"/>
    <w:rsid w:val="55656729"/>
    <w:rsid w:val="55803592"/>
    <w:rsid w:val="558422A5"/>
    <w:rsid w:val="558A7CEC"/>
    <w:rsid w:val="55961C9E"/>
    <w:rsid w:val="5597277B"/>
    <w:rsid w:val="559D2106"/>
    <w:rsid w:val="55A03E30"/>
    <w:rsid w:val="55AF306B"/>
    <w:rsid w:val="55C7001D"/>
    <w:rsid w:val="55CE57AE"/>
    <w:rsid w:val="55D90A84"/>
    <w:rsid w:val="55DD366F"/>
    <w:rsid w:val="55E81280"/>
    <w:rsid w:val="55EF380E"/>
    <w:rsid w:val="55F235AE"/>
    <w:rsid w:val="55FD3462"/>
    <w:rsid w:val="56046C67"/>
    <w:rsid w:val="560F33DF"/>
    <w:rsid w:val="561B1007"/>
    <w:rsid w:val="5629697A"/>
    <w:rsid w:val="564144D3"/>
    <w:rsid w:val="56575EC7"/>
    <w:rsid w:val="5671656E"/>
    <w:rsid w:val="567B2E7E"/>
    <w:rsid w:val="56B31C4E"/>
    <w:rsid w:val="56C2500A"/>
    <w:rsid w:val="56FE7F16"/>
    <w:rsid w:val="572351B3"/>
    <w:rsid w:val="5735242D"/>
    <w:rsid w:val="5736635C"/>
    <w:rsid w:val="575F5B77"/>
    <w:rsid w:val="57652785"/>
    <w:rsid w:val="578E7032"/>
    <w:rsid w:val="57A77945"/>
    <w:rsid w:val="57B8376D"/>
    <w:rsid w:val="57CE2F91"/>
    <w:rsid w:val="57D1220D"/>
    <w:rsid w:val="57E97DCB"/>
    <w:rsid w:val="57F34350"/>
    <w:rsid w:val="58027A6B"/>
    <w:rsid w:val="58037D28"/>
    <w:rsid w:val="58122573"/>
    <w:rsid w:val="58135B3B"/>
    <w:rsid w:val="582B7B3C"/>
    <w:rsid w:val="583B29CE"/>
    <w:rsid w:val="58430F7B"/>
    <w:rsid w:val="58497766"/>
    <w:rsid w:val="58673A0F"/>
    <w:rsid w:val="586C0F14"/>
    <w:rsid w:val="58707F4F"/>
    <w:rsid w:val="58765C5B"/>
    <w:rsid w:val="588B77B4"/>
    <w:rsid w:val="588D12C4"/>
    <w:rsid w:val="588D2871"/>
    <w:rsid w:val="58943911"/>
    <w:rsid w:val="58A576D9"/>
    <w:rsid w:val="58B12CDF"/>
    <w:rsid w:val="58C274C7"/>
    <w:rsid w:val="58DE7D4E"/>
    <w:rsid w:val="58E467E4"/>
    <w:rsid w:val="58EF1DF9"/>
    <w:rsid w:val="58FF0BFD"/>
    <w:rsid w:val="590F10C9"/>
    <w:rsid w:val="59253BF7"/>
    <w:rsid w:val="594501B5"/>
    <w:rsid w:val="594553C5"/>
    <w:rsid w:val="5984268E"/>
    <w:rsid w:val="599B5896"/>
    <w:rsid w:val="599E0E08"/>
    <w:rsid w:val="59A445A2"/>
    <w:rsid w:val="59BA2C53"/>
    <w:rsid w:val="59BD3C80"/>
    <w:rsid w:val="59CD102D"/>
    <w:rsid w:val="59E03D93"/>
    <w:rsid w:val="59E12E79"/>
    <w:rsid w:val="59E1754D"/>
    <w:rsid w:val="59F16A67"/>
    <w:rsid w:val="5A2B56FD"/>
    <w:rsid w:val="5A48534A"/>
    <w:rsid w:val="5A5D2E13"/>
    <w:rsid w:val="5A750FF4"/>
    <w:rsid w:val="5A8C0F60"/>
    <w:rsid w:val="5A925728"/>
    <w:rsid w:val="5A936DFD"/>
    <w:rsid w:val="5ADF0069"/>
    <w:rsid w:val="5AED7BD2"/>
    <w:rsid w:val="5AFD2865"/>
    <w:rsid w:val="5B070B67"/>
    <w:rsid w:val="5B091D38"/>
    <w:rsid w:val="5B0B3650"/>
    <w:rsid w:val="5B15325A"/>
    <w:rsid w:val="5B155A7C"/>
    <w:rsid w:val="5B2F62A0"/>
    <w:rsid w:val="5B382224"/>
    <w:rsid w:val="5B3C39BF"/>
    <w:rsid w:val="5B484A66"/>
    <w:rsid w:val="5B710D6D"/>
    <w:rsid w:val="5B7232BE"/>
    <w:rsid w:val="5B900BBA"/>
    <w:rsid w:val="5B944EB1"/>
    <w:rsid w:val="5BBA168B"/>
    <w:rsid w:val="5BBE156E"/>
    <w:rsid w:val="5BD015CA"/>
    <w:rsid w:val="5BDF3E49"/>
    <w:rsid w:val="5BEE25E8"/>
    <w:rsid w:val="5BF03E36"/>
    <w:rsid w:val="5C146731"/>
    <w:rsid w:val="5C1C45D6"/>
    <w:rsid w:val="5C2048B3"/>
    <w:rsid w:val="5C212456"/>
    <w:rsid w:val="5C4202EB"/>
    <w:rsid w:val="5C5D3346"/>
    <w:rsid w:val="5C666193"/>
    <w:rsid w:val="5C797243"/>
    <w:rsid w:val="5C8F1BF1"/>
    <w:rsid w:val="5CB62828"/>
    <w:rsid w:val="5CBD5A36"/>
    <w:rsid w:val="5CEC4887"/>
    <w:rsid w:val="5CEF7384"/>
    <w:rsid w:val="5CF43AF9"/>
    <w:rsid w:val="5D0B35B7"/>
    <w:rsid w:val="5D1256CE"/>
    <w:rsid w:val="5D163B46"/>
    <w:rsid w:val="5D3115D0"/>
    <w:rsid w:val="5D3270C2"/>
    <w:rsid w:val="5D3B2A81"/>
    <w:rsid w:val="5D5604AC"/>
    <w:rsid w:val="5D6F0B74"/>
    <w:rsid w:val="5D786349"/>
    <w:rsid w:val="5D8203E1"/>
    <w:rsid w:val="5D92680F"/>
    <w:rsid w:val="5D9535D8"/>
    <w:rsid w:val="5DAB16BF"/>
    <w:rsid w:val="5DB15B4F"/>
    <w:rsid w:val="5DC32A29"/>
    <w:rsid w:val="5DC8742A"/>
    <w:rsid w:val="5DCB0A66"/>
    <w:rsid w:val="5DD40134"/>
    <w:rsid w:val="5DD454E3"/>
    <w:rsid w:val="5DD74B1F"/>
    <w:rsid w:val="5DDC4FA6"/>
    <w:rsid w:val="5DF41277"/>
    <w:rsid w:val="5E042582"/>
    <w:rsid w:val="5E065593"/>
    <w:rsid w:val="5E1D0E75"/>
    <w:rsid w:val="5E3E427B"/>
    <w:rsid w:val="5E4F3289"/>
    <w:rsid w:val="5E99410D"/>
    <w:rsid w:val="5EA47793"/>
    <w:rsid w:val="5EB635F2"/>
    <w:rsid w:val="5EC43099"/>
    <w:rsid w:val="5EEA6DDC"/>
    <w:rsid w:val="5EEE6B53"/>
    <w:rsid w:val="5EF03182"/>
    <w:rsid w:val="5F0F380E"/>
    <w:rsid w:val="5F294761"/>
    <w:rsid w:val="5F41134C"/>
    <w:rsid w:val="5F8B079F"/>
    <w:rsid w:val="5F934896"/>
    <w:rsid w:val="5F9A1346"/>
    <w:rsid w:val="5FA00FF1"/>
    <w:rsid w:val="5FB112AE"/>
    <w:rsid w:val="5FC811C2"/>
    <w:rsid w:val="5FD77B36"/>
    <w:rsid w:val="60150269"/>
    <w:rsid w:val="60207469"/>
    <w:rsid w:val="602D319C"/>
    <w:rsid w:val="603F15AB"/>
    <w:rsid w:val="604218CA"/>
    <w:rsid w:val="60484D1B"/>
    <w:rsid w:val="604E6DCB"/>
    <w:rsid w:val="607C13EF"/>
    <w:rsid w:val="608928F9"/>
    <w:rsid w:val="60AE4409"/>
    <w:rsid w:val="60BA61CC"/>
    <w:rsid w:val="60C3313B"/>
    <w:rsid w:val="60CC3396"/>
    <w:rsid w:val="60CF6A3C"/>
    <w:rsid w:val="60D86C2E"/>
    <w:rsid w:val="60F974A5"/>
    <w:rsid w:val="610A0716"/>
    <w:rsid w:val="610D69FF"/>
    <w:rsid w:val="612A6B31"/>
    <w:rsid w:val="612D6D26"/>
    <w:rsid w:val="614D6478"/>
    <w:rsid w:val="61620C52"/>
    <w:rsid w:val="61624BCF"/>
    <w:rsid w:val="61630E46"/>
    <w:rsid w:val="61873B3B"/>
    <w:rsid w:val="619E0EE1"/>
    <w:rsid w:val="619E5B5C"/>
    <w:rsid w:val="61B3163D"/>
    <w:rsid w:val="61B4360F"/>
    <w:rsid w:val="61C251E9"/>
    <w:rsid w:val="61C8279F"/>
    <w:rsid w:val="61CB51E0"/>
    <w:rsid w:val="61D57599"/>
    <w:rsid w:val="61DD2A6C"/>
    <w:rsid w:val="61EE45AE"/>
    <w:rsid w:val="61F244D6"/>
    <w:rsid w:val="62053CDF"/>
    <w:rsid w:val="621931AC"/>
    <w:rsid w:val="623F1BBD"/>
    <w:rsid w:val="624D743B"/>
    <w:rsid w:val="624F75D6"/>
    <w:rsid w:val="625258D6"/>
    <w:rsid w:val="625E106B"/>
    <w:rsid w:val="62981409"/>
    <w:rsid w:val="62A579B9"/>
    <w:rsid w:val="62AE2E73"/>
    <w:rsid w:val="62CC461F"/>
    <w:rsid w:val="62DA5821"/>
    <w:rsid w:val="62DE1FD8"/>
    <w:rsid w:val="62E32DE3"/>
    <w:rsid w:val="62F005E7"/>
    <w:rsid w:val="62F73E26"/>
    <w:rsid w:val="62FA4B8F"/>
    <w:rsid w:val="63063637"/>
    <w:rsid w:val="630C2BBF"/>
    <w:rsid w:val="630D4511"/>
    <w:rsid w:val="632F6891"/>
    <w:rsid w:val="633351B5"/>
    <w:rsid w:val="63687408"/>
    <w:rsid w:val="6399123F"/>
    <w:rsid w:val="63C33179"/>
    <w:rsid w:val="63D50FDC"/>
    <w:rsid w:val="63E9008A"/>
    <w:rsid w:val="63FA37A7"/>
    <w:rsid w:val="63FA497B"/>
    <w:rsid w:val="64131680"/>
    <w:rsid w:val="6419013F"/>
    <w:rsid w:val="64224BB1"/>
    <w:rsid w:val="64397B13"/>
    <w:rsid w:val="643C182D"/>
    <w:rsid w:val="645A326A"/>
    <w:rsid w:val="64785034"/>
    <w:rsid w:val="647943EE"/>
    <w:rsid w:val="647A0798"/>
    <w:rsid w:val="64AD2180"/>
    <w:rsid w:val="64AE0978"/>
    <w:rsid w:val="64C032FF"/>
    <w:rsid w:val="64D22B78"/>
    <w:rsid w:val="64EA1CC4"/>
    <w:rsid w:val="64F27DCF"/>
    <w:rsid w:val="650A6582"/>
    <w:rsid w:val="651B17E0"/>
    <w:rsid w:val="656A4F30"/>
    <w:rsid w:val="65785BB3"/>
    <w:rsid w:val="658211E6"/>
    <w:rsid w:val="6583251D"/>
    <w:rsid w:val="65877FAA"/>
    <w:rsid w:val="65952212"/>
    <w:rsid w:val="659821B0"/>
    <w:rsid w:val="65A02930"/>
    <w:rsid w:val="65A4255B"/>
    <w:rsid w:val="65B72987"/>
    <w:rsid w:val="65C22430"/>
    <w:rsid w:val="65CF509C"/>
    <w:rsid w:val="65DE652D"/>
    <w:rsid w:val="65EC66DE"/>
    <w:rsid w:val="65FC68C8"/>
    <w:rsid w:val="66086654"/>
    <w:rsid w:val="660C1B7F"/>
    <w:rsid w:val="660E3272"/>
    <w:rsid w:val="661E512B"/>
    <w:rsid w:val="663B0E2B"/>
    <w:rsid w:val="664B5D20"/>
    <w:rsid w:val="665F1585"/>
    <w:rsid w:val="66785AA7"/>
    <w:rsid w:val="669A4213"/>
    <w:rsid w:val="669D1A73"/>
    <w:rsid w:val="66AA6B0A"/>
    <w:rsid w:val="66C30C47"/>
    <w:rsid w:val="67045D8D"/>
    <w:rsid w:val="67131D5B"/>
    <w:rsid w:val="67362901"/>
    <w:rsid w:val="676D1623"/>
    <w:rsid w:val="676E57AC"/>
    <w:rsid w:val="677671E1"/>
    <w:rsid w:val="67D20D17"/>
    <w:rsid w:val="67D75F5E"/>
    <w:rsid w:val="680D5A3C"/>
    <w:rsid w:val="680F7C9C"/>
    <w:rsid w:val="682328F8"/>
    <w:rsid w:val="682C1DCB"/>
    <w:rsid w:val="68482FE9"/>
    <w:rsid w:val="68750B49"/>
    <w:rsid w:val="68791451"/>
    <w:rsid w:val="68795FAD"/>
    <w:rsid w:val="687A56E1"/>
    <w:rsid w:val="68844ECD"/>
    <w:rsid w:val="68B969DA"/>
    <w:rsid w:val="68CE0809"/>
    <w:rsid w:val="68E36763"/>
    <w:rsid w:val="68EC512F"/>
    <w:rsid w:val="68F01333"/>
    <w:rsid w:val="68FB318B"/>
    <w:rsid w:val="6924550B"/>
    <w:rsid w:val="692E27DB"/>
    <w:rsid w:val="695F06ED"/>
    <w:rsid w:val="69766723"/>
    <w:rsid w:val="697F0C22"/>
    <w:rsid w:val="69905932"/>
    <w:rsid w:val="69AC3535"/>
    <w:rsid w:val="69AC43F1"/>
    <w:rsid w:val="69B23D3B"/>
    <w:rsid w:val="69B53EA9"/>
    <w:rsid w:val="69B65A3F"/>
    <w:rsid w:val="69C15D4A"/>
    <w:rsid w:val="69C80DDB"/>
    <w:rsid w:val="69D065D2"/>
    <w:rsid w:val="69DC54CE"/>
    <w:rsid w:val="69FC3411"/>
    <w:rsid w:val="6A0F7A08"/>
    <w:rsid w:val="6A3C2E57"/>
    <w:rsid w:val="6A481704"/>
    <w:rsid w:val="6A48245B"/>
    <w:rsid w:val="6A635EC9"/>
    <w:rsid w:val="6A7177BA"/>
    <w:rsid w:val="6A815EA8"/>
    <w:rsid w:val="6A925614"/>
    <w:rsid w:val="6ABE5F37"/>
    <w:rsid w:val="6ACA793F"/>
    <w:rsid w:val="6AF57849"/>
    <w:rsid w:val="6B30084E"/>
    <w:rsid w:val="6B3042FF"/>
    <w:rsid w:val="6B3D61BF"/>
    <w:rsid w:val="6B4E646B"/>
    <w:rsid w:val="6B6A0B9E"/>
    <w:rsid w:val="6B731500"/>
    <w:rsid w:val="6BAE0120"/>
    <w:rsid w:val="6BC009EB"/>
    <w:rsid w:val="6BEF7027"/>
    <w:rsid w:val="6BF151A3"/>
    <w:rsid w:val="6C010AD2"/>
    <w:rsid w:val="6C045F86"/>
    <w:rsid w:val="6C300037"/>
    <w:rsid w:val="6C3D2705"/>
    <w:rsid w:val="6C677FCB"/>
    <w:rsid w:val="6C8D3707"/>
    <w:rsid w:val="6C9F6852"/>
    <w:rsid w:val="6CB542C8"/>
    <w:rsid w:val="6CC71402"/>
    <w:rsid w:val="6CCF6743"/>
    <w:rsid w:val="6CD31597"/>
    <w:rsid w:val="6CE54BAD"/>
    <w:rsid w:val="6CF96F6F"/>
    <w:rsid w:val="6CFB7C3D"/>
    <w:rsid w:val="6D061B62"/>
    <w:rsid w:val="6D1510E1"/>
    <w:rsid w:val="6D1610B8"/>
    <w:rsid w:val="6D231231"/>
    <w:rsid w:val="6D233CCC"/>
    <w:rsid w:val="6D31582E"/>
    <w:rsid w:val="6D332696"/>
    <w:rsid w:val="6D395B76"/>
    <w:rsid w:val="6D3A40D6"/>
    <w:rsid w:val="6D6A746F"/>
    <w:rsid w:val="6D7762A4"/>
    <w:rsid w:val="6D863171"/>
    <w:rsid w:val="6D904C50"/>
    <w:rsid w:val="6D920153"/>
    <w:rsid w:val="6D922092"/>
    <w:rsid w:val="6DA203ED"/>
    <w:rsid w:val="6DB806C0"/>
    <w:rsid w:val="6DCB13FE"/>
    <w:rsid w:val="6DD540BF"/>
    <w:rsid w:val="6DF97FA5"/>
    <w:rsid w:val="6E4103C3"/>
    <w:rsid w:val="6E696B31"/>
    <w:rsid w:val="6E6A2B3A"/>
    <w:rsid w:val="6E6D49CE"/>
    <w:rsid w:val="6E95615F"/>
    <w:rsid w:val="6EA8081B"/>
    <w:rsid w:val="6EAD26C2"/>
    <w:rsid w:val="6EC82F7F"/>
    <w:rsid w:val="6ECB4906"/>
    <w:rsid w:val="6EDD2134"/>
    <w:rsid w:val="6EF44CC3"/>
    <w:rsid w:val="6EF90808"/>
    <w:rsid w:val="6F0B6421"/>
    <w:rsid w:val="6F1B4C00"/>
    <w:rsid w:val="6F2474E3"/>
    <w:rsid w:val="6F287AFB"/>
    <w:rsid w:val="6F3C2F1C"/>
    <w:rsid w:val="6F404709"/>
    <w:rsid w:val="6F4A770D"/>
    <w:rsid w:val="6F5939A5"/>
    <w:rsid w:val="6F596848"/>
    <w:rsid w:val="6F6C1DC5"/>
    <w:rsid w:val="6F737876"/>
    <w:rsid w:val="6F7D4020"/>
    <w:rsid w:val="6F80296B"/>
    <w:rsid w:val="6F887733"/>
    <w:rsid w:val="6F8917A1"/>
    <w:rsid w:val="6F906624"/>
    <w:rsid w:val="6F913BDB"/>
    <w:rsid w:val="6F964177"/>
    <w:rsid w:val="6F9D319A"/>
    <w:rsid w:val="6F9F4261"/>
    <w:rsid w:val="6FAB29C1"/>
    <w:rsid w:val="6FB92D17"/>
    <w:rsid w:val="6FE74523"/>
    <w:rsid w:val="6FF63CE2"/>
    <w:rsid w:val="704D5DCD"/>
    <w:rsid w:val="705D0178"/>
    <w:rsid w:val="706978DE"/>
    <w:rsid w:val="70724D6B"/>
    <w:rsid w:val="709F348B"/>
    <w:rsid w:val="70A57F4F"/>
    <w:rsid w:val="70A71767"/>
    <w:rsid w:val="70AF75DD"/>
    <w:rsid w:val="70B62FDF"/>
    <w:rsid w:val="70B743C9"/>
    <w:rsid w:val="70B74861"/>
    <w:rsid w:val="70CE7DF3"/>
    <w:rsid w:val="70DB03D0"/>
    <w:rsid w:val="70DC61EE"/>
    <w:rsid w:val="7104137A"/>
    <w:rsid w:val="710B10FA"/>
    <w:rsid w:val="710B3A20"/>
    <w:rsid w:val="71127830"/>
    <w:rsid w:val="71224CEB"/>
    <w:rsid w:val="71500D1A"/>
    <w:rsid w:val="7164712F"/>
    <w:rsid w:val="71755DD4"/>
    <w:rsid w:val="718650DB"/>
    <w:rsid w:val="71906332"/>
    <w:rsid w:val="71C6563A"/>
    <w:rsid w:val="72044D13"/>
    <w:rsid w:val="72212C25"/>
    <w:rsid w:val="722225DB"/>
    <w:rsid w:val="722E3063"/>
    <w:rsid w:val="72356B79"/>
    <w:rsid w:val="723D12FA"/>
    <w:rsid w:val="725200E7"/>
    <w:rsid w:val="72583DCB"/>
    <w:rsid w:val="726739D4"/>
    <w:rsid w:val="726C1E4A"/>
    <w:rsid w:val="72910586"/>
    <w:rsid w:val="72A35D1B"/>
    <w:rsid w:val="72A65950"/>
    <w:rsid w:val="72AC08EF"/>
    <w:rsid w:val="72DA626D"/>
    <w:rsid w:val="72EE35E3"/>
    <w:rsid w:val="730218BE"/>
    <w:rsid w:val="730936C7"/>
    <w:rsid w:val="731629DD"/>
    <w:rsid w:val="73374D37"/>
    <w:rsid w:val="734E4B2E"/>
    <w:rsid w:val="736949E6"/>
    <w:rsid w:val="736D2CB4"/>
    <w:rsid w:val="73797EB1"/>
    <w:rsid w:val="737A554C"/>
    <w:rsid w:val="737F06A0"/>
    <w:rsid w:val="738866A5"/>
    <w:rsid w:val="73A934BF"/>
    <w:rsid w:val="73B23D3C"/>
    <w:rsid w:val="73F35AF1"/>
    <w:rsid w:val="73F90949"/>
    <w:rsid w:val="74056E60"/>
    <w:rsid w:val="74126EA2"/>
    <w:rsid w:val="742E4783"/>
    <w:rsid w:val="743330FB"/>
    <w:rsid w:val="745B7E8E"/>
    <w:rsid w:val="745D724A"/>
    <w:rsid w:val="746F034C"/>
    <w:rsid w:val="746F6DF3"/>
    <w:rsid w:val="7476788C"/>
    <w:rsid w:val="747F1FAF"/>
    <w:rsid w:val="74894D79"/>
    <w:rsid w:val="74CF6066"/>
    <w:rsid w:val="74D3353D"/>
    <w:rsid w:val="74DB0315"/>
    <w:rsid w:val="74EC38AF"/>
    <w:rsid w:val="74F26EE5"/>
    <w:rsid w:val="75170F8F"/>
    <w:rsid w:val="751759A6"/>
    <w:rsid w:val="75195947"/>
    <w:rsid w:val="751A2A6B"/>
    <w:rsid w:val="751A7F66"/>
    <w:rsid w:val="751F373A"/>
    <w:rsid w:val="75275C40"/>
    <w:rsid w:val="75291C82"/>
    <w:rsid w:val="75324995"/>
    <w:rsid w:val="754E5DEC"/>
    <w:rsid w:val="755C3F1C"/>
    <w:rsid w:val="75704A7C"/>
    <w:rsid w:val="75714726"/>
    <w:rsid w:val="75775470"/>
    <w:rsid w:val="75792D9E"/>
    <w:rsid w:val="7584246E"/>
    <w:rsid w:val="75892461"/>
    <w:rsid w:val="75CA143C"/>
    <w:rsid w:val="75D91821"/>
    <w:rsid w:val="75DF67F4"/>
    <w:rsid w:val="75F30618"/>
    <w:rsid w:val="75F50843"/>
    <w:rsid w:val="75F62E97"/>
    <w:rsid w:val="76201FB0"/>
    <w:rsid w:val="76375D4D"/>
    <w:rsid w:val="76410BE4"/>
    <w:rsid w:val="764C0B28"/>
    <w:rsid w:val="76534FF4"/>
    <w:rsid w:val="7675056F"/>
    <w:rsid w:val="768E3F8B"/>
    <w:rsid w:val="76913DFE"/>
    <w:rsid w:val="769E69DB"/>
    <w:rsid w:val="76AB383E"/>
    <w:rsid w:val="76BC01B9"/>
    <w:rsid w:val="76BC3D17"/>
    <w:rsid w:val="76C3058E"/>
    <w:rsid w:val="76C94A4F"/>
    <w:rsid w:val="76CD5A43"/>
    <w:rsid w:val="76DD6B6B"/>
    <w:rsid w:val="76F2449E"/>
    <w:rsid w:val="771101B2"/>
    <w:rsid w:val="771C3925"/>
    <w:rsid w:val="7736622E"/>
    <w:rsid w:val="77441E46"/>
    <w:rsid w:val="7753154A"/>
    <w:rsid w:val="77540AC5"/>
    <w:rsid w:val="77663B19"/>
    <w:rsid w:val="77671F5F"/>
    <w:rsid w:val="77746B0A"/>
    <w:rsid w:val="778E5151"/>
    <w:rsid w:val="77B06DBC"/>
    <w:rsid w:val="77C13386"/>
    <w:rsid w:val="77C35AEB"/>
    <w:rsid w:val="77D93E4D"/>
    <w:rsid w:val="77EE6CBB"/>
    <w:rsid w:val="77EF0957"/>
    <w:rsid w:val="77F43B54"/>
    <w:rsid w:val="78083FDE"/>
    <w:rsid w:val="780F386C"/>
    <w:rsid w:val="783D0751"/>
    <w:rsid w:val="78484242"/>
    <w:rsid w:val="78736511"/>
    <w:rsid w:val="788E6F45"/>
    <w:rsid w:val="78932A7F"/>
    <w:rsid w:val="78B07BFB"/>
    <w:rsid w:val="78B64B97"/>
    <w:rsid w:val="78BC2324"/>
    <w:rsid w:val="78C2713A"/>
    <w:rsid w:val="78C42869"/>
    <w:rsid w:val="78CA44D0"/>
    <w:rsid w:val="78DA4636"/>
    <w:rsid w:val="78F12F26"/>
    <w:rsid w:val="791B14FA"/>
    <w:rsid w:val="792C3AD1"/>
    <w:rsid w:val="79314BC4"/>
    <w:rsid w:val="793302D8"/>
    <w:rsid w:val="7937227D"/>
    <w:rsid w:val="79395171"/>
    <w:rsid w:val="79457B3C"/>
    <w:rsid w:val="7950639F"/>
    <w:rsid w:val="79542B49"/>
    <w:rsid w:val="79884A0B"/>
    <w:rsid w:val="79BB7DE8"/>
    <w:rsid w:val="79CF2DC3"/>
    <w:rsid w:val="79CF3E0F"/>
    <w:rsid w:val="7A017205"/>
    <w:rsid w:val="7A097646"/>
    <w:rsid w:val="7A1C14E2"/>
    <w:rsid w:val="7A2F7212"/>
    <w:rsid w:val="7A337AF5"/>
    <w:rsid w:val="7A915A34"/>
    <w:rsid w:val="7A923E9A"/>
    <w:rsid w:val="7A9A6032"/>
    <w:rsid w:val="7AD67F1E"/>
    <w:rsid w:val="7ADD3368"/>
    <w:rsid w:val="7ADD4061"/>
    <w:rsid w:val="7AFF1C0E"/>
    <w:rsid w:val="7B0214DB"/>
    <w:rsid w:val="7B170DD4"/>
    <w:rsid w:val="7B1A4978"/>
    <w:rsid w:val="7B6469B4"/>
    <w:rsid w:val="7B8B0121"/>
    <w:rsid w:val="7B8C0E3D"/>
    <w:rsid w:val="7B905B95"/>
    <w:rsid w:val="7B972A5E"/>
    <w:rsid w:val="7BC53E57"/>
    <w:rsid w:val="7BC816AB"/>
    <w:rsid w:val="7BCD4524"/>
    <w:rsid w:val="7BCE203D"/>
    <w:rsid w:val="7BE604CD"/>
    <w:rsid w:val="7BE71557"/>
    <w:rsid w:val="7BEE2CE5"/>
    <w:rsid w:val="7BF52DAD"/>
    <w:rsid w:val="7C06193A"/>
    <w:rsid w:val="7C120DEF"/>
    <w:rsid w:val="7C492296"/>
    <w:rsid w:val="7C5860D5"/>
    <w:rsid w:val="7C5C0448"/>
    <w:rsid w:val="7C9C3264"/>
    <w:rsid w:val="7C9F3284"/>
    <w:rsid w:val="7CD04D2E"/>
    <w:rsid w:val="7CD4217F"/>
    <w:rsid w:val="7CD47AC6"/>
    <w:rsid w:val="7CFC69F3"/>
    <w:rsid w:val="7D025527"/>
    <w:rsid w:val="7D0A0005"/>
    <w:rsid w:val="7D0C1CE2"/>
    <w:rsid w:val="7D1129CA"/>
    <w:rsid w:val="7D3272C9"/>
    <w:rsid w:val="7D3C766F"/>
    <w:rsid w:val="7D795AB1"/>
    <w:rsid w:val="7D8E7BDF"/>
    <w:rsid w:val="7DBC2D12"/>
    <w:rsid w:val="7DBE4F88"/>
    <w:rsid w:val="7DC3726C"/>
    <w:rsid w:val="7DE57C86"/>
    <w:rsid w:val="7E116F27"/>
    <w:rsid w:val="7E29077E"/>
    <w:rsid w:val="7E337128"/>
    <w:rsid w:val="7E4412F7"/>
    <w:rsid w:val="7E5703A5"/>
    <w:rsid w:val="7E606965"/>
    <w:rsid w:val="7E674C4E"/>
    <w:rsid w:val="7E69215C"/>
    <w:rsid w:val="7E793762"/>
    <w:rsid w:val="7E796D71"/>
    <w:rsid w:val="7E7E0255"/>
    <w:rsid w:val="7E803F63"/>
    <w:rsid w:val="7E8B37F2"/>
    <w:rsid w:val="7EBB238F"/>
    <w:rsid w:val="7EC6786E"/>
    <w:rsid w:val="7ECF1FD9"/>
    <w:rsid w:val="7ED128BA"/>
    <w:rsid w:val="7F01339C"/>
    <w:rsid w:val="7F020784"/>
    <w:rsid w:val="7F220792"/>
    <w:rsid w:val="7F4F4108"/>
    <w:rsid w:val="7F5B36AF"/>
    <w:rsid w:val="7F64263C"/>
    <w:rsid w:val="7F6C08DC"/>
    <w:rsid w:val="7F751728"/>
    <w:rsid w:val="7F8519C2"/>
    <w:rsid w:val="7FD73F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after="330" w:line="576" w:lineRule="auto"/>
      <w:outlineLvl w:val="0"/>
    </w:pPr>
    <w:rPr>
      <w:b/>
      <w:kern w:val="44"/>
      <w:sz w:val="44"/>
    </w:rPr>
  </w:style>
  <w:style w:type="paragraph" w:styleId="4">
    <w:name w:val="heading 2"/>
    <w:basedOn w:val="1"/>
    <w:next w:val="1"/>
    <w:semiHidden/>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5">
    <w:name w:val="heading 3"/>
    <w:basedOn w:val="1"/>
    <w:next w:val="1"/>
    <w:unhideWhenUsed/>
    <w:qFormat/>
    <w:uiPriority w:val="0"/>
    <w:pPr>
      <w:keepNext/>
      <w:keepLines/>
      <w:numPr>
        <w:ilvl w:val="2"/>
        <w:numId w:val="1"/>
      </w:numPr>
      <w:spacing w:before="260" w:after="260" w:line="413" w:lineRule="auto"/>
      <w:outlineLvl w:val="2"/>
    </w:pPr>
    <w:rPr>
      <w:b/>
      <w:sz w:val="32"/>
    </w:rPr>
  </w:style>
  <w:style w:type="paragraph" w:styleId="6">
    <w:name w:val="heading 4"/>
    <w:basedOn w:val="1"/>
    <w:next w:val="1"/>
    <w:semiHidden/>
    <w:unhideWhenUsed/>
    <w:qFormat/>
    <w:uiPriority w:val="0"/>
    <w:pPr>
      <w:keepNext/>
      <w:keepLines/>
      <w:numPr>
        <w:ilvl w:val="3"/>
        <w:numId w:val="1"/>
      </w:numPr>
      <w:spacing w:before="280" w:after="290" w:line="372" w:lineRule="auto"/>
      <w:outlineLvl w:val="3"/>
    </w:pPr>
    <w:rPr>
      <w:rFonts w:ascii="Arial" w:hAnsi="Arial" w:eastAsia="黑体"/>
      <w:b/>
      <w:sz w:val="28"/>
    </w:rPr>
  </w:style>
  <w:style w:type="paragraph" w:styleId="7">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8">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0">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39"/>
    <w:pPr>
      <w:ind w:left="420" w:leftChars="200"/>
    </w:pPr>
  </w:style>
  <w:style w:type="paragraph" w:styleId="12">
    <w:name w:val="Normal Indent"/>
    <w:basedOn w:val="1"/>
    <w:unhideWhenUsed/>
    <w:qFormat/>
    <w:uiPriority w:val="99"/>
    <w:pPr>
      <w:ind w:firstLine="420" w:firstLineChars="200"/>
    </w:pPr>
  </w:style>
  <w:style w:type="paragraph" w:styleId="13">
    <w:name w:val="annotation text"/>
    <w:basedOn w:val="1"/>
    <w:link w:val="74"/>
    <w:qFormat/>
    <w:uiPriority w:val="0"/>
    <w:pPr>
      <w:jc w:val="left"/>
    </w:pPr>
  </w:style>
  <w:style w:type="paragraph" w:styleId="14">
    <w:name w:val="Body Text"/>
    <w:basedOn w:val="1"/>
    <w:qFormat/>
    <w:uiPriority w:val="0"/>
    <w:pPr>
      <w:spacing w:after="120"/>
    </w:pPr>
  </w:style>
  <w:style w:type="paragraph" w:styleId="15">
    <w:name w:val="Body Text Indent"/>
    <w:basedOn w:val="1"/>
    <w:qFormat/>
    <w:uiPriority w:val="0"/>
    <w:pPr>
      <w:spacing w:after="120"/>
      <w:ind w:left="420" w:leftChars="200"/>
    </w:pPr>
  </w:style>
  <w:style w:type="paragraph" w:styleId="16">
    <w:name w:val="toc 3"/>
    <w:basedOn w:val="1"/>
    <w:next w:val="1"/>
    <w:qFormat/>
    <w:uiPriority w:val="39"/>
    <w:pPr>
      <w:ind w:left="840" w:leftChars="400"/>
    </w:pPr>
  </w:style>
  <w:style w:type="paragraph" w:styleId="17">
    <w:name w:val="Plain Text"/>
    <w:basedOn w:val="1"/>
    <w:semiHidden/>
    <w:qFormat/>
    <w:uiPriority w:val="0"/>
    <w:rPr>
      <w:rFonts w:ascii="宋体" w:hAnsi="Courier New"/>
      <w:color w:val="000000"/>
      <w:szCs w:val="21"/>
    </w:rPr>
  </w:style>
  <w:style w:type="paragraph" w:styleId="18">
    <w:name w:val="Balloon Text"/>
    <w:basedOn w:val="1"/>
    <w:link w:val="76"/>
    <w:qFormat/>
    <w:uiPriority w:val="0"/>
    <w:rPr>
      <w:sz w:val="18"/>
      <w:szCs w:val="18"/>
    </w:rPr>
  </w:style>
  <w:style w:type="paragraph" w:styleId="19">
    <w:name w:val="footer"/>
    <w:basedOn w:val="1"/>
    <w:qFormat/>
    <w:uiPriority w:val="99"/>
    <w:pPr>
      <w:tabs>
        <w:tab w:val="center" w:pos="4153"/>
        <w:tab w:val="right" w:pos="8306"/>
      </w:tabs>
      <w:snapToGrid w:val="0"/>
      <w:ind w:right="210" w:rightChars="100"/>
      <w:jc w:val="right"/>
    </w:pPr>
    <w:rPr>
      <w:kern w:val="0"/>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21">
    <w:name w:val="toc 1"/>
    <w:basedOn w:val="1"/>
    <w:next w:val="1"/>
    <w:qFormat/>
    <w:uiPriority w:val="39"/>
  </w:style>
  <w:style w:type="paragraph" w:styleId="22">
    <w:name w:val="Normal (Web)"/>
    <w:basedOn w:val="1"/>
    <w:qFormat/>
    <w:uiPriority w:val="0"/>
    <w:pPr>
      <w:widowControl/>
      <w:spacing w:before="100" w:beforeAutospacing="1" w:after="100" w:afterAutospacing="1"/>
      <w:jc w:val="left"/>
    </w:pPr>
    <w:rPr>
      <w:rFonts w:ascii="宋体" w:hAnsi="宋体"/>
      <w:kern w:val="0"/>
      <w:sz w:val="24"/>
    </w:rPr>
  </w:style>
  <w:style w:type="paragraph" w:styleId="23">
    <w:name w:val="annotation subject"/>
    <w:basedOn w:val="13"/>
    <w:next w:val="13"/>
    <w:link w:val="75"/>
    <w:qFormat/>
    <w:uiPriority w:val="0"/>
    <w:rPr>
      <w:b/>
      <w:bCs/>
    </w:rPr>
  </w:style>
  <w:style w:type="paragraph" w:styleId="24">
    <w:name w:val="Body Text First Indent"/>
    <w:basedOn w:val="14"/>
    <w:qFormat/>
    <w:uiPriority w:val="0"/>
    <w:pPr>
      <w:ind w:firstLine="420" w:firstLineChars="100"/>
    </w:pPr>
  </w:style>
  <w:style w:type="table" w:styleId="26">
    <w:name w:val="Table Grid"/>
    <w:basedOn w:val="2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rPr>
  </w:style>
  <w:style w:type="character" w:styleId="29">
    <w:name w:val="page number"/>
    <w:basedOn w:val="27"/>
    <w:qFormat/>
    <w:uiPriority w:val="0"/>
  </w:style>
  <w:style w:type="character" w:styleId="30">
    <w:name w:val="Emphasis"/>
    <w:basedOn w:val="27"/>
    <w:qFormat/>
    <w:uiPriority w:val="0"/>
    <w:rPr>
      <w:i/>
    </w:rPr>
  </w:style>
  <w:style w:type="character" w:styleId="31">
    <w:name w:val="Hyperlink"/>
    <w:basedOn w:val="27"/>
    <w:qFormat/>
    <w:uiPriority w:val="99"/>
    <w:rPr>
      <w:color w:val="0000FF"/>
      <w:u w:val="single"/>
    </w:rPr>
  </w:style>
  <w:style w:type="character" w:styleId="32">
    <w:name w:val="annotation reference"/>
    <w:unhideWhenUsed/>
    <w:qFormat/>
    <w:uiPriority w:val="99"/>
    <w:rPr>
      <w:sz w:val="21"/>
      <w:szCs w:val="21"/>
    </w:rPr>
  </w:style>
  <w:style w:type="paragraph" w:customStyle="1" w:styleId="33">
    <w:name w:val="标准规范"/>
    <w:basedOn w:val="15"/>
    <w:qFormat/>
    <w:uiPriority w:val="0"/>
    <w:pPr>
      <w:widowControl/>
      <w:tabs>
        <w:tab w:val="left" w:pos="1080"/>
        <w:tab w:val="right" w:leader="dot" w:pos="9600"/>
      </w:tabs>
      <w:adjustRightInd w:val="0"/>
      <w:snapToGrid w:val="0"/>
      <w:spacing w:after="0" w:line="360" w:lineRule="auto"/>
      <w:ind w:left="25" w:leftChars="25" w:right="25" w:rightChars="25" w:firstLine="200" w:firstLineChars="200"/>
    </w:pPr>
    <w:rPr>
      <w:rFonts w:ascii="仿宋_GB2312" w:eastAsia="仿宋_GB2312"/>
      <w:sz w:val="24"/>
      <w:szCs w:val="21"/>
    </w:rPr>
  </w:style>
  <w:style w:type="paragraph" w:styleId="34">
    <w:name w:val="List Paragraph"/>
    <w:basedOn w:val="1"/>
    <w:qFormat/>
    <w:uiPriority w:val="34"/>
    <w:pPr>
      <w:ind w:firstLine="420" w:firstLineChars="200"/>
    </w:pPr>
  </w:style>
  <w:style w:type="paragraph" w:customStyle="1" w:styleId="35">
    <w:name w:val="表格内部"/>
    <w:basedOn w:val="1"/>
    <w:semiHidden/>
    <w:qFormat/>
    <w:uiPriority w:val="0"/>
    <w:pPr>
      <w:adjustRightInd w:val="0"/>
      <w:snapToGrid w:val="0"/>
      <w:spacing w:line="240" w:lineRule="atLeast"/>
      <w:ind w:firstLine="200" w:firstLineChars="200"/>
      <w:jc w:val="center"/>
      <w:textAlignment w:val="baseline"/>
    </w:pPr>
    <w:rPr>
      <w:rFonts w:ascii="Arial" w:hAnsi="Arial" w:cs="Arial"/>
      <w:kern w:val="0"/>
      <w:sz w:val="28"/>
      <w:szCs w:val="20"/>
    </w:rPr>
  </w:style>
  <w:style w:type="paragraph" w:customStyle="1" w:styleId="36">
    <w:name w:val="封面正文"/>
    <w:qFormat/>
    <w:uiPriority w:val="0"/>
    <w:pPr>
      <w:jc w:val="both"/>
    </w:pPr>
    <w:rPr>
      <w:rFonts w:ascii="Times New Roman" w:hAnsi="Times New Roman" w:eastAsia="宋体" w:cs="Times New Roman"/>
      <w:lang w:val="en-US" w:eastAsia="zh-CN" w:bidi="ar-SA"/>
    </w:rPr>
  </w:style>
  <w:style w:type="paragraph" w:customStyle="1" w:styleId="37">
    <w:name w:val="封面标准号2"/>
    <w:basedOn w:val="38"/>
    <w:qFormat/>
    <w:uiPriority w:val="0"/>
    <w:pPr>
      <w:adjustRightInd w:val="0"/>
      <w:spacing w:before="357" w:line="280" w:lineRule="exact"/>
    </w:pPr>
  </w:style>
  <w:style w:type="paragraph" w:customStyle="1" w:styleId="38">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39">
    <w:name w:val="封面标准代替信息"/>
    <w:basedOn w:val="37"/>
    <w:qFormat/>
    <w:uiPriority w:val="0"/>
  </w:style>
  <w:style w:type="paragraph" w:customStyle="1" w:styleId="40">
    <w:name w:val="实施日期"/>
    <w:basedOn w:val="41"/>
    <w:qFormat/>
    <w:uiPriority w:val="0"/>
    <w:pPr>
      <w:ind w:left="1702"/>
      <w:jc w:val="right"/>
    </w:pPr>
  </w:style>
  <w:style w:type="paragraph" w:customStyle="1" w:styleId="41">
    <w:name w:val="发布日期"/>
    <w:qFormat/>
    <w:uiPriority w:val="0"/>
    <w:rPr>
      <w:rFonts w:ascii="Times New Roman" w:hAnsi="Times New Roman" w:eastAsia="黑体" w:cs="Times New Roman"/>
      <w:sz w:val="28"/>
      <w:lang w:val="en-US" w:eastAsia="zh-CN" w:bidi="ar-SA"/>
    </w:rPr>
  </w:style>
  <w:style w:type="paragraph" w:customStyle="1" w:styleId="42">
    <w:name w:val="发布部门"/>
    <w:next w:val="43"/>
    <w:qFormat/>
    <w:uiPriority w:val="0"/>
    <w:pPr>
      <w:jc w:val="center"/>
    </w:pPr>
    <w:rPr>
      <w:rFonts w:ascii="宋体" w:hAnsi="Times New Roman" w:eastAsia="宋体" w:cs="Times New Roman"/>
      <w:b/>
      <w:spacing w:val="20"/>
      <w:w w:val="135"/>
      <w:sz w:val="36"/>
      <w:lang w:val="en-US" w:eastAsia="zh-CN" w:bidi="ar-SA"/>
    </w:rPr>
  </w:style>
  <w:style w:type="paragraph" w:customStyle="1" w:styleId="43">
    <w:name w:val="标准文件_段"/>
    <w:link w:val="112"/>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4">
    <w:name w:val="段"/>
    <w:link w:val="101"/>
    <w:qFormat/>
    <w:uiPriority w:val="0"/>
    <w:pPr>
      <w:autoSpaceDE w:val="0"/>
      <w:autoSpaceDN w:val="0"/>
      <w:ind w:firstLine="200" w:firstLineChars="200"/>
      <w:jc w:val="both"/>
    </w:pPr>
    <w:rPr>
      <w:rFonts w:ascii="宋体" w:hAnsi="Calibri" w:eastAsia="宋体" w:cs="Times New Roman"/>
      <w:kern w:val="2"/>
      <w:sz w:val="21"/>
      <w:szCs w:val="22"/>
      <w:lang w:val="en-US" w:eastAsia="zh-CN" w:bidi="ar-SA"/>
    </w:rPr>
  </w:style>
  <w:style w:type="character" w:customStyle="1" w:styleId="45">
    <w:name w:val="发布"/>
    <w:qFormat/>
    <w:uiPriority w:val="0"/>
    <w:rPr>
      <w:rFonts w:ascii="黑体" w:eastAsia="黑体"/>
      <w:spacing w:val="22"/>
      <w:w w:val="100"/>
      <w:position w:val="3"/>
      <w:sz w:val="28"/>
    </w:rPr>
  </w:style>
  <w:style w:type="paragraph" w:customStyle="1" w:styleId="46">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4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4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5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52">
    <w:name w:val="标准书眉一"/>
    <w:qFormat/>
    <w:uiPriority w:val="0"/>
    <w:pPr>
      <w:jc w:val="both"/>
    </w:pPr>
    <w:rPr>
      <w:rFonts w:ascii="Times New Roman" w:hAnsi="Times New Roman" w:eastAsia="宋体" w:cs="Times New Roman"/>
      <w:lang w:val="en-US" w:eastAsia="zh-CN" w:bidi="ar-SA"/>
    </w:rPr>
  </w:style>
  <w:style w:type="paragraph" w:customStyle="1" w:styleId="53">
    <w:name w:val="标准书脚_奇数页"/>
    <w:qFormat/>
    <w:uiPriority w:val="0"/>
    <w:pPr>
      <w:spacing w:before="120"/>
      <w:jc w:val="right"/>
    </w:pPr>
    <w:rPr>
      <w:rFonts w:ascii="Times New Roman" w:hAnsi="Times New Roman" w:eastAsia="宋体" w:cs="Times New Roman"/>
      <w:sz w:val="18"/>
      <w:lang w:val="en-US" w:eastAsia="zh-CN" w:bidi="ar-SA"/>
    </w:rPr>
  </w:style>
  <w:style w:type="character" w:customStyle="1" w:styleId="54">
    <w:name w:val="页码1"/>
    <w:qFormat/>
    <w:uiPriority w:val="0"/>
    <w:rPr>
      <w:rFonts w:ascii="Times New Roman" w:hAnsi="Times New Roman" w:eastAsia="宋体"/>
      <w:sz w:val="18"/>
    </w:rPr>
  </w:style>
  <w:style w:type="paragraph" w:customStyle="1" w:styleId="55">
    <w:name w:val="WPSOffice手动目录 1"/>
    <w:qFormat/>
    <w:uiPriority w:val="0"/>
    <w:rPr>
      <w:rFonts w:ascii="Times New Roman" w:hAnsi="Times New Roman" w:eastAsia="宋体" w:cs="Times New Roman"/>
      <w:lang w:val="en-US" w:eastAsia="zh-CN" w:bidi="ar-SA"/>
    </w:rPr>
  </w:style>
  <w:style w:type="paragraph" w:customStyle="1" w:styleId="56">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7">
    <w:name w:val="一级条标题"/>
    <w:basedOn w:val="58"/>
    <w:next w:val="1"/>
    <w:qFormat/>
    <w:uiPriority w:val="0"/>
    <w:pPr>
      <w:numPr>
        <w:ilvl w:val="2"/>
      </w:numPr>
      <w:spacing w:beforeLines="0" w:afterLines="0"/>
      <w:outlineLvl w:val="2"/>
    </w:pPr>
  </w:style>
  <w:style w:type="paragraph" w:customStyle="1" w:styleId="58">
    <w:name w:val="章标题"/>
    <w:next w:val="44"/>
    <w:qFormat/>
    <w:uiPriority w:val="0"/>
    <w:pPr>
      <w:numPr>
        <w:ilvl w:val="1"/>
        <w:numId w:val="2"/>
      </w:numPr>
      <w:spacing w:beforeLines="50" w:afterLines="50"/>
      <w:jc w:val="both"/>
      <w:outlineLvl w:val="1"/>
    </w:pPr>
    <w:rPr>
      <w:rFonts w:ascii="黑体" w:hAnsi="Calibri" w:eastAsia="黑体" w:cs="Times New Roman"/>
      <w:sz w:val="21"/>
      <w:lang w:val="en-US" w:eastAsia="zh-CN" w:bidi="ar-SA"/>
    </w:rPr>
  </w:style>
  <w:style w:type="paragraph" w:customStyle="1" w:styleId="59">
    <w:name w:val="附录标识"/>
    <w:basedOn w:val="60"/>
    <w:qFormat/>
    <w:uiPriority w:val="0"/>
    <w:pPr>
      <w:tabs>
        <w:tab w:val="left" w:pos="6405"/>
      </w:tabs>
      <w:spacing w:after="200"/>
    </w:pPr>
    <w:rPr>
      <w:sz w:val="21"/>
    </w:rPr>
  </w:style>
  <w:style w:type="paragraph" w:customStyle="1" w:styleId="60">
    <w:name w:val="前言、引言标题"/>
    <w:next w:val="1"/>
    <w:qFormat/>
    <w:uiPriority w:val="0"/>
    <w:pPr>
      <w:numPr>
        <w:ilvl w:val="0"/>
        <w:numId w:val="2"/>
      </w:numPr>
      <w:shd w:val="clear" w:color="FFFFFF" w:fill="FFFFFF"/>
      <w:spacing w:before="640" w:after="560"/>
      <w:jc w:val="center"/>
      <w:outlineLvl w:val="0"/>
    </w:pPr>
    <w:rPr>
      <w:rFonts w:ascii="黑体" w:hAnsi="Calibri" w:eastAsia="黑体" w:cs="Times New Roman"/>
      <w:sz w:val="32"/>
      <w:lang w:val="en-US" w:eastAsia="zh-CN" w:bidi="ar-SA"/>
    </w:rPr>
  </w:style>
  <w:style w:type="paragraph" w:customStyle="1" w:styleId="61">
    <w:name w:val="正文1"/>
    <w:basedOn w:val="1"/>
    <w:next w:val="12"/>
    <w:qFormat/>
    <w:uiPriority w:val="0"/>
    <w:pPr>
      <w:jc w:val="center"/>
    </w:pPr>
    <w:rPr>
      <w:rFonts w:ascii="Times New Roman" w:hAnsi="Times New Roman"/>
      <w:szCs w:val="20"/>
    </w:rPr>
  </w:style>
  <w:style w:type="paragraph" w:customStyle="1" w:styleId="62">
    <w:name w:val="标准书脚_偶数页"/>
    <w:qFormat/>
    <w:uiPriority w:val="0"/>
    <w:pPr>
      <w:spacing w:before="120"/>
    </w:pPr>
    <w:rPr>
      <w:rFonts w:ascii="Calibri" w:hAnsi="Calibri" w:eastAsia="宋体" w:cs="Times New Roman"/>
      <w:sz w:val="18"/>
      <w:lang w:val="en-US" w:eastAsia="zh-CN" w:bidi="ar-SA"/>
    </w:rPr>
  </w:style>
  <w:style w:type="paragraph" w:customStyle="1" w:styleId="63">
    <w:name w:val="目次、标准名称标题"/>
    <w:basedOn w:val="60"/>
    <w:next w:val="44"/>
    <w:qFormat/>
    <w:uiPriority w:val="0"/>
    <w:pPr>
      <w:numPr>
        <w:numId w:val="0"/>
      </w:numPr>
      <w:spacing w:line="460" w:lineRule="exact"/>
    </w:pPr>
  </w:style>
  <w:style w:type="paragraph" w:customStyle="1" w:styleId="64">
    <w:name w:val="标准书眉_奇数页"/>
    <w:next w:val="1"/>
    <w:qFormat/>
    <w:uiPriority w:val="0"/>
    <w:pPr>
      <w:tabs>
        <w:tab w:val="center" w:pos="4154"/>
        <w:tab w:val="right" w:pos="8306"/>
      </w:tabs>
      <w:spacing w:after="120"/>
      <w:jc w:val="right"/>
    </w:pPr>
    <w:rPr>
      <w:rFonts w:ascii="Calibri" w:hAnsi="Calibri" w:eastAsia="宋体" w:cs="Times New Roman"/>
      <w:sz w:val="21"/>
      <w:lang w:val="en-US" w:eastAsia="zh-CN" w:bidi="ar-SA"/>
    </w:rPr>
  </w:style>
  <w:style w:type="paragraph" w:customStyle="1" w:styleId="65">
    <w:name w:val="标准书眉_偶数页"/>
    <w:basedOn w:val="64"/>
    <w:next w:val="1"/>
    <w:qFormat/>
    <w:uiPriority w:val="0"/>
    <w:pPr>
      <w:jc w:val="left"/>
    </w:pPr>
  </w:style>
  <w:style w:type="paragraph" w:customStyle="1" w:styleId="66">
    <w:name w:val="标准文件_一级无标题"/>
    <w:basedOn w:val="67"/>
    <w:qFormat/>
    <w:uiPriority w:val="0"/>
    <w:pPr>
      <w:spacing w:beforeLines="0" w:afterLines="0"/>
      <w:outlineLvl w:val="9"/>
    </w:pPr>
    <w:rPr>
      <w:rFonts w:ascii="宋体" w:eastAsia="宋体"/>
    </w:rPr>
  </w:style>
  <w:style w:type="paragraph" w:customStyle="1" w:styleId="67">
    <w:name w:val="_二级条标题"/>
    <w:basedOn w:val="68"/>
    <w:next w:val="1"/>
    <w:qFormat/>
    <w:uiPriority w:val="0"/>
    <w:pPr>
      <w:spacing w:beforeLines="50" w:afterLines="50"/>
      <w:outlineLvl w:val="1"/>
    </w:pPr>
    <w:rPr>
      <w:rFonts w:hAnsi="黑体"/>
    </w:rPr>
  </w:style>
  <w:style w:type="paragraph" w:customStyle="1" w:styleId="68">
    <w:name w:val="标准文件_章标题"/>
    <w:next w:val="43"/>
    <w:qFormat/>
    <w:uiPriority w:val="0"/>
    <w:pPr>
      <w:spacing w:beforeLines="100" w:afterLines="100"/>
      <w:jc w:val="both"/>
      <w:outlineLvl w:val="0"/>
    </w:pPr>
    <w:rPr>
      <w:rFonts w:ascii="黑体" w:hAnsi="Times New Roman" w:eastAsia="黑体" w:cs="Times New Roman"/>
      <w:sz w:val="21"/>
      <w:lang w:val="en-US" w:eastAsia="zh-CN" w:bidi="ar-SA"/>
    </w:rPr>
  </w:style>
  <w:style w:type="paragraph" w:customStyle="1" w:styleId="69">
    <w:name w:val="xh-标题1"/>
    <w:basedOn w:val="1"/>
    <w:qFormat/>
    <w:uiPriority w:val="0"/>
    <w:pPr>
      <w:numPr>
        <w:ilvl w:val="0"/>
        <w:numId w:val="3"/>
      </w:numPr>
    </w:pPr>
  </w:style>
  <w:style w:type="paragraph" w:customStyle="1" w:styleId="70">
    <w:name w:val="xh-标题2"/>
    <w:basedOn w:val="1"/>
    <w:qFormat/>
    <w:uiPriority w:val="0"/>
    <w:pPr>
      <w:numPr>
        <w:ilvl w:val="1"/>
        <w:numId w:val="3"/>
      </w:numPr>
    </w:pPr>
  </w:style>
  <w:style w:type="paragraph" w:customStyle="1" w:styleId="71">
    <w:name w:val="xh-标题3"/>
    <w:basedOn w:val="1"/>
    <w:qFormat/>
    <w:uiPriority w:val="0"/>
    <w:pPr>
      <w:numPr>
        <w:ilvl w:val="2"/>
        <w:numId w:val="3"/>
      </w:numPr>
    </w:pPr>
  </w:style>
  <w:style w:type="paragraph" w:customStyle="1" w:styleId="72">
    <w:name w:val="xh-标题4"/>
    <w:basedOn w:val="1"/>
    <w:qFormat/>
    <w:uiPriority w:val="0"/>
    <w:pPr>
      <w:numPr>
        <w:ilvl w:val="3"/>
        <w:numId w:val="3"/>
      </w:numPr>
    </w:pPr>
  </w:style>
  <w:style w:type="paragraph" w:customStyle="1" w:styleId="73">
    <w:name w:val="xh-标题5"/>
    <w:basedOn w:val="1"/>
    <w:qFormat/>
    <w:uiPriority w:val="0"/>
    <w:pPr>
      <w:numPr>
        <w:ilvl w:val="4"/>
        <w:numId w:val="3"/>
      </w:numPr>
    </w:pPr>
  </w:style>
  <w:style w:type="character" w:customStyle="1" w:styleId="74">
    <w:name w:val="批注文字 Char"/>
    <w:basedOn w:val="27"/>
    <w:link w:val="13"/>
    <w:qFormat/>
    <w:uiPriority w:val="0"/>
    <w:rPr>
      <w:rFonts w:asciiTheme="minorHAnsi" w:hAnsiTheme="minorHAnsi" w:eastAsiaTheme="minorEastAsia" w:cstheme="minorBidi"/>
      <w:kern w:val="2"/>
      <w:sz w:val="21"/>
      <w:szCs w:val="24"/>
    </w:rPr>
  </w:style>
  <w:style w:type="character" w:customStyle="1" w:styleId="75">
    <w:name w:val="批注主题 Char"/>
    <w:basedOn w:val="74"/>
    <w:link w:val="23"/>
    <w:qFormat/>
    <w:uiPriority w:val="0"/>
    <w:rPr>
      <w:rFonts w:asciiTheme="minorHAnsi" w:hAnsiTheme="minorHAnsi" w:eastAsiaTheme="minorEastAsia" w:cstheme="minorBidi"/>
      <w:b/>
      <w:bCs/>
      <w:kern w:val="2"/>
      <w:sz w:val="21"/>
      <w:szCs w:val="24"/>
    </w:rPr>
  </w:style>
  <w:style w:type="character" w:customStyle="1" w:styleId="76">
    <w:name w:val="批注框文本 Char"/>
    <w:basedOn w:val="27"/>
    <w:link w:val="18"/>
    <w:qFormat/>
    <w:uiPriority w:val="0"/>
    <w:rPr>
      <w:rFonts w:asciiTheme="minorHAnsi" w:hAnsiTheme="minorHAnsi" w:eastAsiaTheme="minorEastAsia" w:cstheme="minorBidi"/>
      <w:kern w:val="2"/>
      <w:sz w:val="18"/>
      <w:szCs w:val="18"/>
    </w:rPr>
  </w:style>
  <w:style w:type="paragraph" w:customStyle="1" w:styleId="77">
    <w:name w:val="正文2.0.1层"/>
    <w:basedOn w:val="1"/>
    <w:qFormat/>
    <w:uiPriority w:val="0"/>
    <w:pPr>
      <w:spacing w:line="329" w:lineRule="exact"/>
    </w:pPr>
    <w:rPr>
      <w:rFonts w:hAnsi="Times New Roman"/>
      <w:spacing w:val="10"/>
    </w:rPr>
  </w:style>
  <w:style w:type="paragraph" w:customStyle="1" w:styleId="7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9">
    <w:name w:val="t表格文字居中"/>
    <w:basedOn w:val="80"/>
    <w:qFormat/>
    <w:uiPriority w:val="0"/>
    <w:pPr>
      <w:spacing w:line="240" w:lineRule="auto"/>
      <w:jc w:val="center"/>
      <w:textAlignment w:val="center"/>
    </w:pPr>
  </w:style>
  <w:style w:type="paragraph" w:customStyle="1" w:styleId="80">
    <w:name w:val="A正文"/>
    <w:basedOn w:val="1"/>
    <w:qFormat/>
    <w:uiPriority w:val="0"/>
    <w:pPr>
      <w:spacing w:line="360" w:lineRule="auto"/>
      <w:ind w:left="200" w:leftChars="100" w:right="200" w:rightChars="100"/>
    </w:pPr>
    <w:rPr>
      <w:rFonts w:ascii="宋体" w:hAnsi="宋体"/>
      <w:szCs w:val="21"/>
    </w:rPr>
  </w:style>
  <w:style w:type="paragraph" w:customStyle="1" w:styleId="8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82">
    <w:name w:val="其他发布部门"/>
    <w:basedOn w:val="42"/>
    <w:qFormat/>
    <w:uiPriority w:val="0"/>
    <w:pPr>
      <w:spacing w:line="0" w:lineRule="atLeast"/>
    </w:pPr>
    <w:rPr>
      <w:rFonts w:ascii="黑体" w:eastAsia="黑体"/>
      <w:b w:val="0"/>
    </w:rPr>
  </w:style>
  <w:style w:type="paragraph" w:customStyle="1" w:styleId="83">
    <w:name w:val="表格文字居中"/>
    <w:qFormat/>
    <w:uiPriority w:val="0"/>
    <w:pPr>
      <w:widowControl w:val="0"/>
      <w:jc w:val="center"/>
    </w:pPr>
    <w:rPr>
      <w:rFonts w:ascii="ˎ̥" w:hAnsi="Times New Roman" w:eastAsia="Courier New" w:cs="Times New Roman"/>
      <w:snapToGrid w:val="0"/>
      <w:spacing w:val="-20"/>
      <w:kern w:val="2"/>
      <w:sz w:val="21"/>
      <w:szCs w:val="21"/>
      <w:lang w:val="en-US" w:eastAsia="zh-CN" w:bidi="ar-SA"/>
    </w:rPr>
  </w:style>
  <w:style w:type="paragraph" w:customStyle="1" w:styleId="84">
    <w:name w:val="表格五号"/>
    <w:qFormat/>
    <w:uiPriority w:val="0"/>
    <w:pPr>
      <w:adjustRightInd w:val="0"/>
      <w:snapToGrid w:val="0"/>
      <w:jc w:val="center"/>
    </w:pPr>
    <w:rPr>
      <w:rFonts w:ascii="Times New Roman" w:hAnsi="Times New Roman" w:eastAsia="宋体" w:cs="Times New Roman"/>
      <w:kern w:val="2"/>
      <w:sz w:val="21"/>
      <w:szCs w:val="21"/>
      <w:lang w:val="en-US" w:eastAsia="zh-CN" w:bidi="ar-SA"/>
    </w:rPr>
  </w:style>
  <w:style w:type="paragraph" w:customStyle="1" w:styleId="85">
    <w:name w:val="A表-表内一般字"/>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86">
    <w:name w:val="标准文件_目录标题"/>
    <w:basedOn w:val="1"/>
    <w:qFormat/>
    <w:uiPriority w:val="0"/>
    <w:pPr>
      <w:spacing w:before="480" w:afterLines="150"/>
      <w:jc w:val="center"/>
    </w:pPr>
    <w:rPr>
      <w:rFonts w:ascii="黑体" w:eastAsia="黑体"/>
      <w:sz w:val="32"/>
    </w:rPr>
  </w:style>
  <w:style w:type="paragraph" w:customStyle="1" w:styleId="87">
    <w:name w:val="标准文件_前言、引言标题"/>
    <w:next w:val="1"/>
    <w:qFormat/>
    <w:uiPriority w:val="0"/>
    <w:pPr>
      <w:numPr>
        <w:ilvl w:val="0"/>
        <w:numId w:val="4"/>
      </w:numPr>
      <w:shd w:val="clear" w:color="FFFFFF" w:fill="FFFFFF"/>
      <w:spacing w:before="480" w:afterLines="150"/>
      <w:jc w:val="center"/>
      <w:outlineLvl w:val="0"/>
    </w:pPr>
    <w:rPr>
      <w:rFonts w:ascii="黑体" w:hAnsi="Times New Roman" w:eastAsia="黑体" w:cs="Times New Roman"/>
      <w:sz w:val="32"/>
      <w:lang w:val="en-US" w:eastAsia="zh-CN" w:bidi="ar-SA"/>
    </w:rPr>
  </w:style>
  <w:style w:type="paragraph" w:customStyle="1" w:styleId="88">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89">
    <w:name w:val="一级无"/>
    <w:basedOn w:val="57"/>
    <w:qFormat/>
    <w:uiPriority w:val="0"/>
    <w:pPr>
      <w:numPr>
        <w:ilvl w:val="1"/>
        <w:numId w:val="5"/>
      </w:numPr>
      <w:jc w:val="left"/>
    </w:pPr>
    <w:rPr>
      <w:rFonts w:ascii="宋体" w:eastAsia="宋体"/>
      <w:szCs w:val="21"/>
    </w:rPr>
  </w:style>
  <w:style w:type="paragraph" w:customStyle="1" w:styleId="90">
    <w:name w:val="标准文件_附录标识"/>
    <w:next w:val="43"/>
    <w:qFormat/>
    <w:uiPriority w:val="0"/>
    <w:pPr>
      <w:numPr>
        <w:ilvl w:val="0"/>
        <w:numId w:val="6"/>
      </w:numPr>
      <w:shd w:val="clear" w:color="FFFFFF" w:fill="FFFFFF"/>
      <w:spacing w:before="560" w:afterLines="50"/>
      <w:jc w:val="center"/>
      <w:outlineLvl w:val="0"/>
    </w:pPr>
    <w:rPr>
      <w:rFonts w:ascii="黑体" w:hAnsi="Times New Roman" w:eastAsia="黑体" w:cs="Times New Roman"/>
      <w:sz w:val="21"/>
      <w:lang w:val="en-US" w:eastAsia="zh-CN" w:bidi="ar-SA"/>
    </w:rPr>
  </w:style>
  <w:style w:type="paragraph" w:customStyle="1" w:styleId="9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92">
    <w:name w:val="标准文件_页眉偶数页"/>
    <w:basedOn w:val="91"/>
    <w:next w:val="1"/>
    <w:qFormat/>
    <w:uiPriority w:val="0"/>
    <w:pPr>
      <w:jc w:val="left"/>
    </w:pPr>
  </w:style>
  <w:style w:type="paragraph" w:customStyle="1" w:styleId="93">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94">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95">
    <w:name w:val="标准文件_二级无标题"/>
    <w:basedOn w:val="96"/>
    <w:qFormat/>
    <w:uiPriority w:val="0"/>
    <w:pPr>
      <w:spacing w:beforeLines="0" w:afterLines="0"/>
      <w:outlineLvl w:val="9"/>
    </w:pPr>
    <w:rPr>
      <w:rFonts w:ascii="宋体" w:eastAsia="宋体"/>
    </w:rPr>
  </w:style>
  <w:style w:type="paragraph" w:customStyle="1" w:styleId="96">
    <w:name w:val="标准文件_二级条标题"/>
    <w:next w:val="43"/>
    <w:qFormat/>
    <w:uiPriority w:val="0"/>
    <w:pPr>
      <w:widowControl w:val="0"/>
      <w:spacing w:beforeLines="50" w:afterLines="50"/>
      <w:jc w:val="both"/>
      <w:outlineLvl w:val="2"/>
    </w:pPr>
    <w:rPr>
      <w:rFonts w:ascii="黑体" w:hAnsi="Times New Roman" w:eastAsia="黑体" w:cs="Times New Roman"/>
      <w:sz w:val="21"/>
      <w:lang w:val="en-US" w:eastAsia="zh-CN" w:bidi="ar-SA"/>
    </w:rPr>
  </w:style>
  <w:style w:type="paragraph" w:customStyle="1" w:styleId="97">
    <w:name w:val="二级无标题条"/>
    <w:basedOn w:val="98"/>
    <w:qFormat/>
    <w:uiPriority w:val="0"/>
    <w:pPr>
      <w:numPr>
        <w:numId w:val="7"/>
      </w:numPr>
    </w:pPr>
  </w:style>
  <w:style w:type="paragraph" w:customStyle="1" w:styleId="98">
    <w:name w:val="二级条标题"/>
    <w:basedOn w:val="57"/>
    <w:next w:val="44"/>
    <w:qFormat/>
    <w:uiPriority w:val="0"/>
    <w:pPr>
      <w:numPr>
        <w:ilvl w:val="3"/>
      </w:numPr>
      <w:outlineLvl w:val="3"/>
    </w:pPr>
  </w:style>
  <w:style w:type="paragraph" w:customStyle="1" w:styleId="99">
    <w:name w:val="Table Text"/>
    <w:basedOn w:val="1"/>
    <w:semiHidden/>
    <w:qFormat/>
    <w:uiPriority w:val="0"/>
    <w:pPr>
      <w:ind w:firstLine="562" w:firstLineChars="200"/>
    </w:pPr>
    <w:rPr>
      <w:rFonts w:ascii="宋体" w:hAnsi="宋体" w:cs="宋体"/>
      <w:szCs w:val="21"/>
    </w:rPr>
  </w:style>
  <w:style w:type="character" w:customStyle="1" w:styleId="100">
    <w:name w:val="15"/>
    <w:basedOn w:val="27"/>
    <w:qFormat/>
    <w:uiPriority w:val="0"/>
    <w:rPr>
      <w:rFonts w:hint="default" w:ascii="Times New Roman" w:hAnsi="Times New Roman" w:eastAsia="宋体" w:cs="Times New Roman"/>
      <w:sz w:val="18"/>
      <w:szCs w:val="18"/>
    </w:rPr>
  </w:style>
  <w:style w:type="character" w:customStyle="1" w:styleId="101">
    <w:name w:val="段 Char"/>
    <w:link w:val="44"/>
    <w:qFormat/>
    <w:uiPriority w:val="0"/>
    <w:rPr>
      <w:rFonts w:ascii="宋体" w:hAnsi="Calibri"/>
      <w:kern w:val="2"/>
      <w:sz w:val="21"/>
      <w:szCs w:val="22"/>
    </w:rPr>
  </w:style>
  <w:style w:type="paragraph" w:customStyle="1" w:styleId="102">
    <w:name w:val="五级无标题条"/>
    <w:basedOn w:val="1"/>
    <w:qFormat/>
    <w:uiPriority w:val="0"/>
    <w:rPr>
      <w:rFonts w:ascii="Calibri" w:hAnsi="Calibri" w:eastAsia="宋体" w:cs="Times New Roman"/>
    </w:rPr>
  </w:style>
  <w:style w:type="paragraph" w:customStyle="1" w:styleId="103">
    <w:name w:val="一级无标题条"/>
    <w:basedOn w:val="1"/>
    <w:qFormat/>
    <w:uiPriority w:val="0"/>
    <w:rPr>
      <w:rFonts w:ascii="Calibri" w:hAnsi="Calibri" w:eastAsia="宋体" w:cs="Times New Roman"/>
    </w:rPr>
  </w:style>
  <w:style w:type="paragraph" w:customStyle="1" w:styleId="104">
    <w:name w:val="三级无标题条"/>
    <w:basedOn w:val="1"/>
    <w:qFormat/>
    <w:uiPriority w:val="0"/>
    <w:rPr>
      <w:rFonts w:ascii="Calibri" w:hAnsi="Calibri" w:eastAsia="宋体" w:cs="Times New Roman"/>
    </w:rPr>
  </w:style>
  <w:style w:type="paragraph" w:customStyle="1" w:styleId="105">
    <w:name w:val="四级无标题条"/>
    <w:basedOn w:val="1"/>
    <w:qFormat/>
    <w:uiPriority w:val="0"/>
    <w:rPr>
      <w:rFonts w:ascii="Calibri" w:hAnsi="Calibri" w:eastAsia="宋体" w:cs="Times New Roman"/>
    </w:rPr>
  </w:style>
  <w:style w:type="paragraph" w:customStyle="1" w:styleId="106">
    <w:name w:val="注："/>
    <w:next w:val="1"/>
    <w:qFormat/>
    <w:uiPriority w:val="0"/>
    <w:pPr>
      <w:widowControl w:val="0"/>
      <w:numPr>
        <w:ilvl w:val="0"/>
        <w:numId w:val="8"/>
      </w:numPr>
      <w:autoSpaceDE w:val="0"/>
      <w:autoSpaceDN w:val="0"/>
      <w:jc w:val="both"/>
    </w:pPr>
    <w:rPr>
      <w:rFonts w:ascii="宋体" w:hAnsi="Times New Roman" w:eastAsia="宋体" w:cs="Times New Roman"/>
      <w:sz w:val="18"/>
      <w:szCs w:val="18"/>
      <w:lang w:val="en-US" w:eastAsia="zh-CN" w:bidi="ar-SA"/>
    </w:rPr>
  </w:style>
  <w:style w:type="paragraph" w:customStyle="1" w:styleId="107">
    <w:name w:val="标准文件_字母编号列项（一级）"/>
    <w:qFormat/>
    <w:uiPriority w:val="0"/>
    <w:pPr>
      <w:numPr>
        <w:ilvl w:val="0"/>
        <w:numId w:val="9"/>
      </w:numPr>
      <w:jc w:val="both"/>
    </w:pPr>
    <w:rPr>
      <w:rFonts w:ascii="宋体" w:hAnsi="Times New Roman" w:eastAsia="宋体" w:cs="Times New Roman"/>
      <w:sz w:val="21"/>
      <w:lang w:val="en-US" w:eastAsia="zh-CN" w:bidi="ar-SA"/>
    </w:rPr>
  </w:style>
  <w:style w:type="paragraph" w:customStyle="1" w:styleId="108">
    <w:name w:val="标准文件_附录表标题"/>
    <w:next w:val="43"/>
    <w:qFormat/>
    <w:uiPriority w:val="0"/>
    <w:pPr>
      <w:numPr>
        <w:ilvl w:val="1"/>
        <w:numId w:val="10"/>
      </w:numPr>
      <w:adjustRightInd w:val="0"/>
      <w:snapToGrid w:val="0"/>
      <w:spacing w:beforeLines="50" w:afterLines="50"/>
      <w:jc w:val="center"/>
      <w:textAlignment w:val="baseline"/>
    </w:pPr>
    <w:rPr>
      <w:rFonts w:ascii="黑体" w:hAnsi="Times New Roman" w:eastAsia="黑体" w:cs="Times New Roman"/>
      <w:kern w:val="21"/>
      <w:sz w:val="21"/>
      <w:lang w:val="en-US" w:eastAsia="zh-CN" w:bidi="ar-SA"/>
    </w:rPr>
  </w:style>
  <w:style w:type="paragraph" w:customStyle="1" w:styleId="109">
    <w:name w:val="标准文件_图表脚注"/>
    <w:basedOn w:val="1"/>
    <w:next w:val="43"/>
    <w:qFormat/>
    <w:uiPriority w:val="0"/>
    <w:pPr>
      <w:numPr>
        <w:ilvl w:val="0"/>
        <w:numId w:val="11"/>
      </w:numPr>
      <w:adjustRightInd w:val="0"/>
      <w:jc w:val="left"/>
    </w:pPr>
    <w:rPr>
      <w:rFonts w:ascii="宋体" w:hAnsi="宋体" w:eastAsia="宋体" w:cs="Times New Roman"/>
      <w:sz w:val="18"/>
      <w:szCs w:val="21"/>
    </w:rPr>
  </w:style>
  <w:style w:type="paragraph" w:customStyle="1" w:styleId="110">
    <w:name w:val="标准文件_表格"/>
    <w:basedOn w:val="43"/>
    <w:qFormat/>
    <w:uiPriority w:val="0"/>
    <w:pPr>
      <w:ind w:firstLine="0" w:firstLineChars="0"/>
      <w:jc w:val="center"/>
    </w:pPr>
    <w:rPr>
      <w:sz w:val="18"/>
    </w:rPr>
  </w:style>
  <w:style w:type="paragraph" w:customStyle="1" w:styleId="111">
    <w:name w:val="标准文件_注："/>
    <w:next w:val="43"/>
    <w:qFormat/>
    <w:uiPriority w:val="0"/>
    <w:pPr>
      <w:widowControl w:val="0"/>
      <w:autoSpaceDE w:val="0"/>
      <w:autoSpaceDN w:val="0"/>
      <w:ind w:left="737" w:hanging="374"/>
      <w:jc w:val="both"/>
    </w:pPr>
    <w:rPr>
      <w:rFonts w:ascii="宋体" w:hAnsi="Times New Roman" w:eastAsia="宋体" w:cs="Times New Roman"/>
      <w:sz w:val="18"/>
      <w:szCs w:val="18"/>
      <w:lang w:val="en-US" w:eastAsia="zh-CN" w:bidi="ar-SA"/>
    </w:rPr>
  </w:style>
  <w:style w:type="character" w:customStyle="1" w:styleId="112">
    <w:name w:val="标准文件_段 Char"/>
    <w:link w:val="43"/>
    <w:qFormat/>
    <w:uiPriority w:val="0"/>
    <w:rPr>
      <w:rFonts w:ascii="宋体"/>
      <w:sz w:val="21"/>
    </w:rPr>
  </w:style>
  <w:style w:type="paragraph" w:customStyle="1" w:styleId="113">
    <w:name w:val="标准文件_附录表标号"/>
    <w:basedOn w:val="43"/>
    <w:next w:val="43"/>
    <w:qFormat/>
    <w:uiPriority w:val="0"/>
    <w:pPr>
      <w:numPr>
        <w:ilvl w:val="0"/>
        <w:numId w:val="10"/>
      </w:numPr>
      <w:spacing w:line="14" w:lineRule="exact"/>
      <w:ind w:firstLine="0" w:firstLineChars="0"/>
      <w:jc w:val="center"/>
    </w:pPr>
    <w:rPr>
      <w:rFonts w:eastAsia="黑体"/>
      <w:vanish/>
      <w:sz w:val="2"/>
    </w:rPr>
  </w:style>
  <w:style w:type="paragraph" w:customStyle="1" w:styleId="114">
    <w:name w:val="标准文件_附录一级条标题"/>
    <w:next w:val="43"/>
    <w:qFormat/>
    <w:uiPriority w:val="0"/>
    <w:pPr>
      <w:widowControl w:val="0"/>
      <w:spacing w:beforeLines="50" w:afterLines="50"/>
      <w:jc w:val="both"/>
      <w:outlineLvl w:val="2"/>
    </w:pPr>
    <w:rPr>
      <w:rFonts w:ascii="黑体" w:hAnsi="Times New Roman" w:eastAsia="黑体" w:cs="Times New Roman"/>
      <w:kern w:val="21"/>
      <w:sz w:val="21"/>
      <w:lang w:val="en-US" w:eastAsia="zh-CN" w:bidi="ar-SA"/>
    </w:rPr>
  </w:style>
  <w:style w:type="paragraph" w:customStyle="1" w:styleId="115">
    <w:name w:val="标准文件_附录二级条标题"/>
    <w:basedOn w:val="114"/>
    <w:next w:val="43"/>
    <w:qFormat/>
    <w:uiPriority w:val="0"/>
    <w:pPr>
      <w:widowControl/>
      <w:wordWrap w:val="0"/>
      <w:overflowPunct w:val="0"/>
      <w:autoSpaceDE w:val="0"/>
      <w:autoSpaceDN w:val="0"/>
      <w:textAlignment w:val="baseline"/>
      <w:outlineLvl w:val="3"/>
    </w:pPr>
  </w:style>
  <w:style w:type="paragraph" w:customStyle="1" w:styleId="116">
    <w:name w:val="标准文件_附录三级条标题"/>
    <w:next w:val="43"/>
    <w:qFormat/>
    <w:uiPriority w:val="0"/>
    <w:pPr>
      <w:widowControl w:val="0"/>
      <w:spacing w:beforeLines="50" w:afterLines="50"/>
      <w:jc w:val="both"/>
      <w:outlineLvl w:val="4"/>
    </w:pPr>
    <w:rPr>
      <w:rFonts w:ascii="黑体" w:hAnsi="Times New Roman" w:eastAsia="黑体" w:cs="Times New Roman"/>
      <w:kern w:val="21"/>
      <w:sz w:val="21"/>
      <w:lang w:val="en-US" w:eastAsia="zh-CN" w:bidi="ar-SA"/>
    </w:rPr>
  </w:style>
  <w:style w:type="paragraph" w:customStyle="1" w:styleId="117">
    <w:name w:val="标准文件_附录四级条标题"/>
    <w:next w:val="43"/>
    <w:qFormat/>
    <w:uiPriority w:val="0"/>
    <w:pPr>
      <w:widowControl w:val="0"/>
      <w:spacing w:beforeLines="50" w:afterLines="50"/>
      <w:jc w:val="both"/>
      <w:outlineLvl w:val="5"/>
    </w:pPr>
    <w:rPr>
      <w:rFonts w:ascii="黑体" w:hAnsi="Times New Roman" w:eastAsia="黑体" w:cs="Times New Roman"/>
      <w:kern w:val="21"/>
      <w:sz w:val="21"/>
      <w:lang w:val="en-US" w:eastAsia="zh-CN" w:bidi="ar-SA"/>
    </w:rPr>
  </w:style>
  <w:style w:type="paragraph" w:customStyle="1" w:styleId="118">
    <w:name w:val="标准文件_附录五级条标题"/>
    <w:next w:val="43"/>
    <w:qFormat/>
    <w:uiPriority w:val="0"/>
    <w:pPr>
      <w:widowControl w:val="0"/>
      <w:spacing w:beforeLines="50" w:afterLines="50"/>
      <w:jc w:val="both"/>
      <w:outlineLvl w:val="6"/>
    </w:pPr>
    <w:rPr>
      <w:rFonts w:ascii="黑体" w:hAnsi="Times New Roman" w:eastAsia="黑体" w:cs="Times New Roman"/>
      <w:kern w:val="21"/>
      <w:sz w:val="21"/>
      <w:lang w:val="en-US" w:eastAsia="zh-CN" w:bidi="ar-SA"/>
    </w:rPr>
  </w:style>
  <w:style w:type="paragraph" w:customStyle="1" w:styleId="119">
    <w:name w:val="标准文件_数字编号列项（二级）"/>
    <w:qFormat/>
    <w:uiPriority w:val="0"/>
    <w:pPr>
      <w:tabs>
        <w:tab w:val="left" w:pos="1276"/>
      </w:tabs>
      <w:ind w:left="1276" w:hanging="425"/>
      <w:jc w:val="both"/>
    </w:pPr>
    <w:rPr>
      <w:rFonts w:ascii="宋体" w:hAnsi="Times New Roman" w:eastAsia="宋体" w:cs="Times New Roman"/>
      <w:sz w:val="21"/>
      <w:lang w:val="en-US" w:eastAsia="zh-CN" w:bidi="ar-SA"/>
    </w:rPr>
  </w:style>
  <w:style w:type="paragraph" w:customStyle="1" w:styleId="120">
    <w:name w:val="标准文件_编号列项（三级）"/>
    <w:qFormat/>
    <w:uiPriority w:val="0"/>
    <w:pPr>
      <w:ind w:left="1701" w:hanging="425"/>
    </w:pPr>
    <w:rPr>
      <w:rFonts w:ascii="宋体" w:hAnsi="Times New Roman" w:eastAsia="宋体" w:cs="Times New Roman"/>
      <w:sz w:val="21"/>
      <w:lang w:val="en-US" w:eastAsia="zh-CN" w:bidi="ar-SA"/>
    </w:rPr>
  </w:style>
  <w:style w:type="paragraph" w:customStyle="1" w:styleId="121">
    <w:name w:val="标准文件_附录二级无标题"/>
    <w:basedOn w:val="115"/>
    <w:qFormat/>
    <w:uiPriority w:val="0"/>
    <w:pPr>
      <w:spacing w:beforeLines="0" w:afterLines="0" w:line="276" w:lineRule="auto"/>
      <w:outlineLvl w:val="9"/>
    </w:pPr>
    <w:rPr>
      <w:rFonts w:ascii="宋体" w:eastAsia="宋体"/>
    </w:rPr>
  </w:style>
  <w:style w:type="paragraph" w:customStyle="1" w:styleId="122">
    <w:name w:val="标准文件_注×："/>
    <w:qFormat/>
    <w:uiPriority w:val="0"/>
    <w:pPr>
      <w:widowControl w:val="0"/>
      <w:numPr>
        <w:ilvl w:val="0"/>
        <w:numId w:val="12"/>
      </w:numPr>
      <w:autoSpaceDE w:val="0"/>
      <w:autoSpaceDN w:val="0"/>
      <w:jc w:val="both"/>
    </w:pPr>
    <w:rPr>
      <w:rFonts w:ascii="宋体" w:hAnsi="Times New Roman" w:eastAsia="宋体" w:cs="Times New Roman"/>
      <w:sz w:val="18"/>
      <w:szCs w:val="18"/>
      <w:lang w:val="en-US" w:eastAsia="zh-CN" w:bidi="ar-SA"/>
    </w:rPr>
  </w:style>
  <w:style w:type="paragraph" w:customStyle="1" w:styleId="123">
    <w:name w:val="标准文件_三级条标题"/>
    <w:basedOn w:val="96"/>
    <w:next w:val="43"/>
    <w:qFormat/>
    <w:uiPriority w:val="0"/>
    <w:pPr>
      <w:widowControl/>
      <w:spacing w:before="50" w:after="50"/>
      <w:outlineLvl w:val="3"/>
    </w:pPr>
  </w:style>
  <w:style w:type="paragraph" w:customStyle="1" w:styleId="124">
    <w:name w:val="标准文件_四级条标题"/>
    <w:next w:val="43"/>
    <w:qFormat/>
    <w:uiPriority w:val="0"/>
    <w:pPr>
      <w:widowControl w:val="0"/>
      <w:spacing w:beforeLines="50" w:afterLines="50"/>
      <w:jc w:val="both"/>
      <w:outlineLvl w:val="4"/>
    </w:pPr>
    <w:rPr>
      <w:rFonts w:ascii="黑体" w:hAnsi="Times New Roman" w:eastAsia="黑体" w:cs="Times New Roman"/>
      <w:sz w:val="21"/>
      <w:lang w:val="en-US" w:eastAsia="zh-CN" w:bidi="ar-SA"/>
    </w:rPr>
  </w:style>
  <w:style w:type="paragraph" w:customStyle="1" w:styleId="125">
    <w:name w:val="标准文件_五级条标题"/>
    <w:next w:val="43"/>
    <w:qFormat/>
    <w:uiPriority w:val="0"/>
    <w:pPr>
      <w:widowControl w:val="0"/>
      <w:spacing w:beforeLines="50" w:afterLines="50"/>
      <w:jc w:val="both"/>
      <w:outlineLvl w:val="5"/>
    </w:pPr>
    <w:rPr>
      <w:rFonts w:ascii="黑体" w:hAnsi="Times New Roman" w:eastAsia="黑体" w:cs="Times New Roman"/>
      <w:sz w:val="21"/>
      <w:lang w:val="en-US" w:eastAsia="zh-CN" w:bidi="ar-SA"/>
    </w:rPr>
  </w:style>
  <w:style w:type="paragraph" w:customStyle="1" w:styleId="126">
    <w:name w:val="标准文件_一级条标题"/>
    <w:basedOn w:val="68"/>
    <w:next w:val="43"/>
    <w:qFormat/>
    <w:uiPriority w:val="0"/>
    <w:pPr>
      <w:spacing w:beforeLines="50" w:afterLines="50"/>
      <w:outlineLvl w:val="1"/>
    </w:pPr>
  </w:style>
  <w:style w:type="paragraph" w:customStyle="1" w:styleId="127">
    <w:name w:val="前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28">
    <w:name w:val="标准文件_三级无标题"/>
    <w:basedOn w:val="123"/>
    <w:qFormat/>
    <w:uiPriority w:val="0"/>
    <w:pPr>
      <w:spacing w:beforeLines="0" w:afterLines="0"/>
      <w:outlineLvl w:val="9"/>
    </w:pPr>
    <w:rPr>
      <w:rFonts w:ascii="宋体" w:eastAsia="宋体"/>
    </w:rPr>
  </w:style>
  <w:style w:type="paragraph" w:customStyle="1" w:styleId="129">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130">
    <w:name w:val="修订2"/>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131">
    <w:name w:val="正文首行缩进1"/>
    <w:basedOn w:val="14"/>
    <w:qFormat/>
    <w:uiPriority w:val="0"/>
    <w:pPr>
      <w:spacing w:before="100" w:beforeAutospacing="1"/>
      <w:ind w:firstLine="420" w:firstLineChars="100"/>
    </w:pPr>
    <w:rPr>
      <w:rFonts w:ascii="Calibri" w:hAnsi="Calibri" w:eastAsia="宋体" w:cs="Times New Roman"/>
      <w:szCs w:val="21"/>
    </w:rPr>
  </w:style>
  <w:style w:type="paragraph" w:customStyle="1" w:styleId="132">
    <w:name w:val="参考文献、索引标题"/>
    <w:basedOn w:val="60"/>
    <w:next w:val="1"/>
    <w:qFormat/>
    <w:uiPriority w:val="0"/>
    <w:pPr>
      <w:spacing w:after="200"/>
    </w:pPr>
    <w:rPr>
      <w:sz w:val="21"/>
    </w:rPr>
  </w:style>
  <w:style w:type="paragraph" w:customStyle="1" w:styleId="133">
    <w:name w:val="术语定义一级条标题"/>
    <w:basedOn w:val="57"/>
    <w:next w:val="44"/>
    <w:qFormat/>
    <w:uiPriority w:val="0"/>
    <w:pPr>
      <w:outlineLvl w:val="9"/>
    </w:p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jpeg"/><Relationship Id="rId26" Type="http://schemas.openxmlformats.org/officeDocument/2006/relationships/theme" Target="theme/theme1.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955EA3-51A6-4510-9197-D6DCC9513A76}">
  <ds:schemaRefs/>
</ds:datastoreItem>
</file>

<file path=docProps/app.xml><?xml version="1.0" encoding="utf-8"?>
<Properties xmlns="http://schemas.openxmlformats.org/officeDocument/2006/extended-properties" xmlns:vt="http://schemas.openxmlformats.org/officeDocument/2006/docPropsVTypes">
  <Template>Normal.dotm</Template>
  <Company>Sinopec</Company>
  <Pages>56</Pages>
  <Words>15882</Words>
  <Characters>16440</Characters>
  <Lines>270</Lines>
  <Paragraphs>76</Paragraphs>
  <TotalTime>259</TotalTime>
  <ScaleCrop>false</ScaleCrop>
  <LinksUpToDate>false</LinksUpToDate>
  <CharactersWithSpaces>16629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2026-01-26T03:21:00Z</dcterms:created>
  <dc:creator>Administrator</dc:creator>
  <cp:lastModifiedBy>一开心月</cp:lastModifiedBy>
  <cp:lastPrinted>2026-02-26T00:42:00Z</cp:lastPrinted>
  <dcterms:modified xsi:type="dcterms:W3CDTF">2026-04-29T09:10:35Z</dcterms:modified>
  <cp:revision>188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C966CCD2F27247A0908775E36F220EEC</vt:lpwstr>
  </property>
  <property fmtid="{D5CDD505-2E9C-101B-9397-08002B2CF9AE}" pid="4" name="KSOTemplateDocerSaveRecord">
    <vt:lpwstr>eyJoZGlkIjoiMjQ4NDg2MmY5ZTMwMzJiYTFmODk5NDNiMWJkNzIyNzkiLCJ1c2VySWQiOiIxMDYyMjU4NjU1In0=</vt:lpwstr>
  </property>
</Properties>
</file>